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92B" w:rsidRPr="00C020BC" w:rsidRDefault="007B192B" w:rsidP="007B192B">
      <w:pPr>
        <w:rPr>
          <w:lang w:val="en-US"/>
        </w:rPr>
      </w:pPr>
      <w:bookmarkStart w:id="0" w:name="_Toc404602946"/>
      <w:bookmarkStart w:id="1" w:name="_Toc404608262"/>
      <w:bookmarkStart w:id="2" w:name="_Toc404670465"/>
    </w:p>
    <w:tbl>
      <w:tblPr>
        <w:tblpPr w:leftFromText="141" w:rightFromText="141" w:vertAnchor="text" w:horzAnchor="margin" w:tblpXSpec="center" w:tblpY="-178"/>
        <w:tblW w:w="10773" w:type="dxa"/>
        <w:tblLayout w:type="fixed"/>
        <w:tblCellMar>
          <w:left w:w="0" w:type="dxa"/>
          <w:right w:w="0" w:type="dxa"/>
        </w:tblCellMar>
        <w:tblLook w:val="01E0" w:firstRow="1" w:lastRow="1" w:firstColumn="1" w:lastColumn="1" w:noHBand="0" w:noVBand="0"/>
      </w:tblPr>
      <w:tblGrid>
        <w:gridCol w:w="1133"/>
        <w:gridCol w:w="1927"/>
        <w:gridCol w:w="4680"/>
        <w:gridCol w:w="1886"/>
        <w:gridCol w:w="1147"/>
      </w:tblGrid>
      <w:tr w:rsidR="007B192B" w:rsidRPr="00A67BF5" w:rsidTr="00624B59">
        <w:tc>
          <w:tcPr>
            <w:tcW w:w="1133" w:type="dxa"/>
            <w:vAlign w:val="bottom"/>
          </w:tcPr>
          <w:p w:rsidR="007B192B" w:rsidRPr="00A67BF5" w:rsidRDefault="007B192B" w:rsidP="00624B59">
            <w:pPr>
              <w:spacing w:before="80"/>
              <w:ind w:left="113"/>
              <w:jc w:val="center"/>
            </w:pPr>
          </w:p>
        </w:tc>
        <w:tc>
          <w:tcPr>
            <w:tcW w:w="8493" w:type="dxa"/>
            <w:gridSpan w:val="3"/>
          </w:tcPr>
          <w:p w:rsidR="007B192B" w:rsidRPr="00A67BF5" w:rsidRDefault="00E802F7" w:rsidP="00624B59">
            <w:pPr>
              <w:spacing w:before="40"/>
              <w:jc w:val="center"/>
              <w:rPr>
                <w:b/>
                <w:sz w:val="27"/>
              </w:rPr>
            </w:pPr>
            <w:r>
              <w:rPr>
                <w:noProof/>
                <w:lang w:eastAsia="pl-PL"/>
              </w:rPr>
              <w:drawing>
                <wp:inline distT="0" distB="0" distL="0" distR="0">
                  <wp:extent cx="3409950" cy="949198"/>
                  <wp:effectExtent l="0" t="0" r="0" b="3810"/>
                  <wp:docPr id="5" name="Obraz 5" descr="http://intranet/GUS/GP/SIWSP/05%20-%20GUS/Materiały%20graficzne%20-%20100-lecie%20GUS/Wersja%20pozioma%20dla%20GUS/Pełna/Logo%20jubileuszowe%20wersja%20dla%20GUS%20odmiana%20pełna%20wariant%20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GUS/GP/SIWSP/05%20-%20GUS/Materiały%20graficzne%20-%20100-lecie%20GUS/Wersja%20pozioma%20dla%20GUS/Pełna/Logo%20jubileuszowe%20wersja%20dla%20GUS%20odmiana%20pełna%20wariant%20kolorow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3792" cy="953051"/>
                          </a:xfrm>
                          <a:prstGeom prst="rect">
                            <a:avLst/>
                          </a:prstGeom>
                          <a:noFill/>
                          <a:ln>
                            <a:noFill/>
                          </a:ln>
                        </pic:spPr>
                      </pic:pic>
                    </a:graphicData>
                  </a:graphic>
                </wp:inline>
              </w:drawing>
            </w:r>
          </w:p>
        </w:tc>
        <w:tc>
          <w:tcPr>
            <w:tcW w:w="1147" w:type="dxa"/>
          </w:tcPr>
          <w:p w:rsidR="003059B0" w:rsidRDefault="003059B0" w:rsidP="00624B59"/>
          <w:p w:rsidR="007B192B" w:rsidRPr="003059B0" w:rsidRDefault="007B192B" w:rsidP="003059B0">
            <w:pPr>
              <w:jc w:val="center"/>
            </w:pPr>
          </w:p>
        </w:tc>
      </w:tr>
      <w:tr w:rsidR="007B192B" w:rsidRPr="00A67BF5" w:rsidTr="003059B0">
        <w:trPr>
          <w:cantSplit/>
          <w:trHeight w:val="70"/>
        </w:trPr>
        <w:tc>
          <w:tcPr>
            <w:tcW w:w="3060" w:type="dxa"/>
            <w:gridSpan w:val="2"/>
            <w:tcBorders>
              <w:bottom w:val="single" w:sz="6" w:space="0" w:color="auto"/>
            </w:tcBorders>
          </w:tcPr>
          <w:p w:rsidR="007B192B" w:rsidRPr="00A67BF5" w:rsidRDefault="007B192B" w:rsidP="00624B59">
            <w:pPr>
              <w:spacing w:line="160" w:lineRule="exact"/>
            </w:pPr>
          </w:p>
        </w:tc>
        <w:tc>
          <w:tcPr>
            <w:tcW w:w="4680" w:type="dxa"/>
            <w:vMerge w:val="restart"/>
            <w:vAlign w:val="center"/>
          </w:tcPr>
          <w:p w:rsidR="007B192B" w:rsidRPr="00A67BF5" w:rsidRDefault="007B192B" w:rsidP="00624B59">
            <w:pPr>
              <w:spacing w:line="240" w:lineRule="exact"/>
              <w:ind w:left="-180" w:firstLine="180"/>
              <w:jc w:val="center"/>
            </w:pPr>
            <w:r w:rsidRPr="00A67BF5">
              <w:t xml:space="preserve">00-925 WARSZAWA, al. Niepodległości 208 </w:t>
            </w:r>
          </w:p>
        </w:tc>
        <w:tc>
          <w:tcPr>
            <w:tcW w:w="3033" w:type="dxa"/>
            <w:gridSpan w:val="2"/>
            <w:tcBorders>
              <w:bottom w:val="single" w:sz="6" w:space="0" w:color="auto"/>
            </w:tcBorders>
          </w:tcPr>
          <w:p w:rsidR="007B192B" w:rsidRPr="00A67BF5" w:rsidRDefault="007B192B" w:rsidP="00624B59">
            <w:pPr>
              <w:spacing w:line="160" w:lineRule="exact"/>
            </w:pPr>
          </w:p>
        </w:tc>
      </w:tr>
      <w:tr w:rsidR="007B192B" w:rsidRPr="00A67BF5" w:rsidTr="00624B59">
        <w:trPr>
          <w:cantSplit/>
        </w:trPr>
        <w:tc>
          <w:tcPr>
            <w:tcW w:w="3060" w:type="dxa"/>
            <w:gridSpan w:val="2"/>
            <w:tcBorders>
              <w:top w:val="single" w:sz="6" w:space="0" w:color="auto"/>
            </w:tcBorders>
          </w:tcPr>
          <w:p w:rsidR="007B192B" w:rsidRPr="00A67BF5" w:rsidRDefault="007B192B" w:rsidP="00624B59">
            <w:pPr>
              <w:spacing w:line="160" w:lineRule="exact"/>
            </w:pPr>
          </w:p>
        </w:tc>
        <w:tc>
          <w:tcPr>
            <w:tcW w:w="4680" w:type="dxa"/>
            <w:vMerge/>
            <w:tcBorders>
              <w:top w:val="single" w:sz="6" w:space="0" w:color="auto"/>
            </w:tcBorders>
          </w:tcPr>
          <w:p w:rsidR="007B192B" w:rsidRPr="00A67BF5" w:rsidRDefault="007B192B" w:rsidP="00624B59">
            <w:pPr>
              <w:spacing w:line="160" w:lineRule="exact"/>
            </w:pPr>
          </w:p>
        </w:tc>
        <w:tc>
          <w:tcPr>
            <w:tcW w:w="3033" w:type="dxa"/>
            <w:gridSpan w:val="2"/>
            <w:tcBorders>
              <w:top w:val="single" w:sz="6" w:space="0" w:color="auto"/>
            </w:tcBorders>
          </w:tcPr>
          <w:p w:rsidR="007B192B" w:rsidRPr="00A67BF5" w:rsidRDefault="007B192B" w:rsidP="00624B59">
            <w:pPr>
              <w:spacing w:line="160" w:lineRule="exact"/>
            </w:pPr>
          </w:p>
        </w:tc>
      </w:tr>
    </w:tbl>
    <w:p w:rsidR="007B192B" w:rsidRDefault="00D50D39" w:rsidP="007B192B">
      <w:pPr>
        <w:jc w:val="center"/>
        <w:rPr>
          <w:rFonts w:ascii="Arial" w:hAnsi="Arial" w:cs="Arial"/>
          <w:i/>
        </w:rPr>
      </w:pPr>
      <w:hyperlink r:id="rId11" w:history="1">
        <w:r w:rsidR="007B192B" w:rsidRPr="008A4452">
          <w:rPr>
            <w:rStyle w:val="Hipercze"/>
            <w:rFonts w:ascii="Arial" w:hAnsi="Arial" w:cs="Arial"/>
            <w:i/>
          </w:rPr>
          <w:t>http://www.stat.gov.pl</w:t>
        </w:r>
      </w:hyperlink>
    </w:p>
    <w:p w:rsidR="007B192B" w:rsidRDefault="007B192B" w:rsidP="007B192B">
      <w:pPr>
        <w:jc w:val="center"/>
        <w:rPr>
          <w:rFonts w:ascii="Arial" w:hAnsi="Arial" w:cs="Arial"/>
          <w:sz w:val="32"/>
        </w:rPr>
      </w:pPr>
    </w:p>
    <w:p w:rsidR="007B192B" w:rsidRDefault="007B192B" w:rsidP="007B192B">
      <w:pPr>
        <w:jc w:val="center"/>
        <w:rPr>
          <w:rFonts w:ascii="Arial" w:hAnsi="Arial" w:cs="Arial"/>
          <w:sz w:val="32"/>
        </w:rPr>
      </w:pPr>
    </w:p>
    <w:p w:rsidR="007B192B" w:rsidRDefault="007B192B" w:rsidP="007B192B">
      <w:pPr>
        <w:jc w:val="center"/>
        <w:rPr>
          <w:rFonts w:ascii="Arial" w:hAnsi="Arial" w:cs="Arial"/>
          <w:sz w:val="32"/>
        </w:rPr>
      </w:pPr>
    </w:p>
    <w:p w:rsidR="007B192B" w:rsidRDefault="007B192B" w:rsidP="007B192B">
      <w:pPr>
        <w:jc w:val="center"/>
        <w:rPr>
          <w:rFonts w:ascii="Arial" w:hAnsi="Arial" w:cs="Arial"/>
          <w:sz w:val="32"/>
        </w:rPr>
      </w:pPr>
    </w:p>
    <w:p w:rsidR="007B192B" w:rsidRDefault="007B192B" w:rsidP="007B192B">
      <w:pPr>
        <w:jc w:val="center"/>
        <w:rPr>
          <w:rFonts w:ascii="Arial" w:hAnsi="Arial" w:cs="Arial"/>
          <w:sz w:val="32"/>
        </w:rPr>
      </w:pPr>
    </w:p>
    <w:p w:rsidR="007B192B" w:rsidRPr="00FD60A7" w:rsidRDefault="007B192B" w:rsidP="007B192B">
      <w:pPr>
        <w:jc w:val="center"/>
        <w:rPr>
          <w:rFonts w:ascii="Fira Sans" w:hAnsi="Fira Sans"/>
          <w:b/>
          <w:sz w:val="48"/>
          <w:szCs w:val="48"/>
        </w:rPr>
      </w:pPr>
      <w:r w:rsidRPr="00FD60A7">
        <w:rPr>
          <w:rFonts w:ascii="Fira Sans" w:hAnsi="Fira Sans"/>
          <w:b/>
          <w:sz w:val="48"/>
          <w:szCs w:val="48"/>
        </w:rPr>
        <w:t>Informacja o sytuacji osób starszych</w:t>
      </w:r>
    </w:p>
    <w:p w:rsidR="007B192B" w:rsidRPr="00FD60A7" w:rsidRDefault="007B192B" w:rsidP="007B192B">
      <w:pPr>
        <w:jc w:val="center"/>
        <w:rPr>
          <w:rFonts w:ascii="Fira Sans" w:hAnsi="Fira Sans" w:cs="Arial"/>
          <w:sz w:val="44"/>
          <w:szCs w:val="44"/>
        </w:rPr>
      </w:pPr>
      <w:r w:rsidRPr="00FD60A7">
        <w:rPr>
          <w:rFonts w:ascii="Fira Sans" w:hAnsi="Fira Sans"/>
          <w:sz w:val="44"/>
          <w:szCs w:val="44"/>
        </w:rPr>
        <w:t>na podstawie badań Głównego Urzędu Statystycznego</w:t>
      </w:r>
    </w:p>
    <w:p w:rsidR="007B192B" w:rsidRPr="00FD60A7" w:rsidRDefault="007B192B" w:rsidP="007B192B">
      <w:pPr>
        <w:jc w:val="center"/>
        <w:rPr>
          <w:rFonts w:ascii="Fira Sans" w:hAnsi="Fira Sans"/>
          <w:sz w:val="48"/>
          <w:szCs w:val="48"/>
        </w:rPr>
      </w:pPr>
    </w:p>
    <w:p w:rsidR="007B192B" w:rsidRPr="00FD60A7" w:rsidRDefault="007B192B" w:rsidP="007B192B">
      <w:pPr>
        <w:rPr>
          <w:rFonts w:ascii="Fira Sans" w:hAnsi="Fira Sans"/>
        </w:rPr>
      </w:pPr>
    </w:p>
    <w:p w:rsidR="007B192B" w:rsidRPr="00FD60A7" w:rsidRDefault="007B192B" w:rsidP="007B192B">
      <w:pPr>
        <w:rPr>
          <w:rFonts w:ascii="Fira Sans" w:hAnsi="Fira Sans" w:cs="Arial"/>
        </w:rPr>
      </w:pPr>
    </w:p>
    <w:p w:rsidR="007B192B" w:rsidRPr="00FD60A7" w:rsidRDefault="007B192B" w:rsidP="007B192B">
      <w:pPr>
        <w:rPr>
          <w:rFonts w:ascii="Fira Sans" w:hAnsi="Fira Sans" w:cs="Arial"/>
        </w:rPr>
      </w:pPr>
    </w:p>
    <w:p w:rsidR="007B192B" w:rsidRPr="00FD60A7" w:rsidRDefault="007B192B" w:rsidP="007B192B">
      <w:pPr>
        <w:rPr>
          <w:rFonts w:ascii="Fira Sans" w:hAnsi="Fira Sans" w:cs="Arial"/>
        </w:rPr>
      </w:pPr>
    </w:p>
    <w:p w:rsidR="007B192B" w:rsidRPr="00FD60A7" w:rsidRDefault="007B192B" w:rsidP="007B192B">
      <w:pPr>
        <w:rPr>
          <w:rFonts w:ascii="Fira Sans" w:hAnsi="Fira Sans" w:cs="Arial"/>
        </w:rPr>
      </w:pPr>
    </w:p>
    <w:p w:rsidR="007B192B" w:rsidRPr="00FD60A7" w:rsidRDefault="007B192B" w:rsidP="007B192B">
      <w:pPr>
        <w:rPr>
          <w:rFonts w:ascii="Fira Sans" w:hAnsi="Fira Sans" w:cs="Arial"/>
        </w:rPr>
      </w:pPr>
    </w:p>
    <w:p w:rsidR="007B192B" w:rsidRPr="00FD60A7" w:rsidRDefault="007B192B" w:rsidP="007B192B">
      <w:pPr>
        <w:spacing w:line="360" w:lineRule="auto"/>
        <w:ind w:left="5664" w:firstLine="708"/>
        <w:rPr>
          <w:rFonts w:ascii="Fira Sans" w:hAnsi="Fira Sans" w:cs="Arial"/>
        </w:rPr>
      </w:pPr>
    </w:p>
    <w:p w:rsidR="00377466" w:rsidRPr="00FD60A7" w:rsidRDefault="00377466" w:rsidP="007B192B">
      <w:pPr>
        <w:spacing w:line="360" w:lineRule="auto"/>
        <w:ind w:left="5664" w:firstLine="708"/>
        <w:jc w:val="center"/>
        <w:rPr>
          <w:rFonts w:ascii="Fira Sans" w:hAnsi="Fira Sans" w:cs="Arial"/>
        </w:rPr>
      </w:pPr>
    </w:p>
    <w:p w:rsidR="007B192B" w:rsidRPr="00FD60A7" w:rsidRDefault="007B192B" w:rsidP="007B192B">
      <w:pPr>
        <w:spacing w:line="360" w:lineRule="auto"/>
        <w:ind w:left="5664" w:firstLine="708"/>
        <w:jc w:val="center"/>
        <w:rPr>
          <w:rFonts w:ascii="Fira Sans" w:hAnsi="Fira Sans" w:cs="Arial"/>
        </w:rPr>
      </w:pPr>
    </w:p>
    <w:p w:rsidR="007B192B" w:rsidRPr="00FD60A7" w:rsidRDefault="007B192B" w:rsidP="007B192B">
      <w:pPr>
        <w:spacing w:line="360" w:lineRule="auto"/>
        <w:ind w:left="5664" w:firstLine="708"/>
        <w:jc w:val="center"/>
        <w:rPr>
          <w:rFonts w:ascii="Fira Sans" w:hAnsi="Fira Sans" w:cs="Arial"/>
        </w:rPr>
      </w:pPr>
    </w:p>
    <w:p w:rsidR="007B192B" w:rsidRPr="00FD60A7" w:rsidRDefault="007B192B" w:rsidP="007B192B">
      <w:pPr>
        <w:spacing w:line="360" w:lineRule="auto"/>
        <w:jc w:val="center"/>
        <w:rPr>
          <w:rFonts w:ascii="Fira Sans" w:hAnsi="Fira Sans" w:cs="Arial"/>
        </w:rPr>
      </w:pPr>
      <w:r w:rsidRPr="00FD60A7">
        <w:rPr>
          <w:rFonts w:ascii="Fira Sans" w:hAnsi="Fira Sans" w:cs="Arial"/>
        </w:rPr>
        <w:t xml:space="preserve">Warszawa, </w:t>
      </w:r>
      <w:r w:rsidR="001E7D7C">
        <w:rPr>
          <w:rFonts w:ascii="Fira Sans" w:hAnsi="Fira Sans" w:cs="Arial"/>
        </w:rPr>
        <w:t>wrzesień</w:t>
      </w:r>
      <w:r w:rsidR="00CB0B6B" w:rsidRPr="00FD60A7">
        <w:rPr>
          <w:rFonts w:ascii="Fira Sans" w:hAnsi="Fira Sans" w:cs="Arial"/>
        </w:rPr>
        <w:t xml:space="preserve"> 2018</w:t>
      </w:r>
      <w:r w:rsidRPr="00FD60A7">
        <w:rPr>
          <w:rFonts w:ascii="Fira Sans" w:hAnsi="Fira Sans" w:cs="Arial"/>
        </w:rPr>
        <w:t xml:space="preserve"> r.</w:t>
      </w:r>
    </w:p>
    <w:p w:rsidR="00437056" w:rsidRPr="00FD60A7" w:rsidRDefault="00437056" w:rsidP="007B724F">
      <w:pPr>
        <w:pStyle w:val="Nagwek1"/>
        <w:jc w:val="center"/>
        <w:rPr>
          <w:rFonts w:ascii="Fira Sans" w:hAnsi="Fira Sans"/>
          <w:sz w:val="19"/>
          <w:szCs w:val="19"/>
        </w:rPr>
      </w:pPr>
      <w:bookmarkStart w:id="3" w:name="_Toc456009372"/>
    </w:p>
    <w:p w:rsidR="00437056" w:rsidRPr="00FD60A7" w:rsidRDefault="00437056" w:rsidP="000F63E7">
      <w:pPr>
        <w:tabs>
          <w:tab w:val="right" w:leader="dot" w:pos="8789"/>
        </w:tabs>
        <w:spacing w:after="80" w:line="240" w:lineRule="auto"/>
        <w:ind w:right="709"/>
        <w:rPr>
          <w:rFonts w:ascii="Fira Sans" w:hAnsi="Fira Sans" w:cs="Times New Roman"/>
          <w:sz w:val="19"/>
          <w:szCs w:val="19"/>
        </w:rPr>
      </w:pPr>
      <w:r w:rsidRPr="00FD60A7">
        <w:rPr>
          <w:rFonts w:ascii="Fira Sans" w:hAnsi="Fira Sans" w:cs="Times New Roman"/>
          <w:sz w:val="19"/>
          <w:szCs w:val="19"/>
        </w:rPr>
        <w:t>Spis treści</w:t>
      </w:r>
    </w:p>
    <w:p w:rsidR="00437056" w:rsidRPr="00FD60A7" w:rsidRDefault="00437056" w:rsidP="000F63E7">
      <w:pPr>
        <w:tabs>
          <w:tab w:val="right" w:leader="dot" w:pos="8789"/>
        </w:tabs>
        <w:spacing w:after="80" w:line="240" w:lineRule="auto"/>
        <w:ind w:right="709"/>
        <w:rPr>
          <w:rFonts w:ascii="Fira Sans" w:hAnsi="Fira Sans" w:cs="Times New Roman"/>
          <w:sz w:val="19"/>
          <w:szCs w:val="19"/>
        </w:rPr>
      </w:pPr>
    </w:p>
    <w:p w:rsidR="000F63E7" w:rsidRPr="00FD60A7" w:rsidRDefault="000F63E7" w:rsidP="000F63E7">
      <w:pPr>
        <w:tabs>
          <w:tab w:val="right" w:leader="dot" w:pos="8789"/>
        </w:tabs>
        <w:spacing w:after="80" w:line="240" w:lineRule="auto"/>
        <w:ind w:right="709"/>
        <w:rPr>
          <w:rFonts w:ascii="Fira Sans" w:hAnsi="Fira Sans" w:cs="Times New Roman"/>
          <w:sz w:val="19"/>
          <w:szCs w:val="19"/>
        </w:rPr>
      </w:pPr>
      <w:r w:rsidRPr="00FD60A7">
        <w:rPr>
          <w:rFonts w:ascii="Fira Sans" w:hAnsi="Fira Sans" w:cs="Times New Roman"/>
          <w:sz w:val="19"/>
          <w:szCs w:val="19"/>
        </w:rPr>
        <w:t>Wprowadzenie</w:t>
      </w:r>
      <w:r w:rsidRPr="00FD60A7">
        <w:rPr>
          <w:rFonts w:ascii="Fira Sans" w:hAnsi="Fira Sans" w:cs="Times New Roman"/>
          <w:sz w:val="19"/>
          <w:szCs w:val="19"/>
        </w:rPr>
        <w:tab/>
      </w:r>
      <w:r w:rsidR="00405B4B" w:rsidRPr="00FD60A7">
        <w:rPr>
          <w:rFonts w:ascii="Fira Sans" w:hAnsi="Fira Sans" w:cs="Times New Roman"/>
          <w:sz w:val="19"/>
          <w:szCs w:val="19"/>
        </w:rPr>
        <w:t>3</w:t>
      </w:r>
    </w:p>
    <w:p w:rsidR="000F63E7" w:rsidRPr="00FD60A7" w:rsidRDefault="000F63E7" w:rsidP="000F63E7">
      <w:pPr>
        <w:tabs>
          <w:tab w:val="right" w:leader="dot" w:pos="8789"/>
        </w:tabs>
        <w:spacing w:after="80" w:line="240" w:lineRule="auto"/>
        <w:ind w:right="709"/>
        <w:rPr>
          <w:rFonts w:ascii="Fira Sans" w:hAnsi="Fira Sans" w:cs="Times New Roman"/>
          <w:sz w:val="19"/>
          <w:szCs w:val="19"/>
        </w:rPr>
      </w:pPr>
      <w:r w:rsidRPr="00FD60A7">
        <w:rPr>
          <w:rFonts w:ascii="Fira Sans" w:hAnsi="Fira Sans" w:cs="Times New Roman"/>
          <w:sz w:val="19"/>
          <w:szCs w:val="19"/>
        </w:rPr>
        <w:t>Liczba i struktura ludności w 201</w:t>
      </w:r>
      <w:r w:rsidR="0034339F">
        <w:rPr>
          <w:rFonts w:ascii="Fira Sans" w:hAnsi="Fira Sans" w:cs="Times New Roman"/>
          <w:sz w:val="19"/>
          <w:szCs w:val="19"/>
        </w:rPr>
        <w:t>7</w:t>
      </w:r>
      <w:r w:rsidRPr="00FD60A7">
        <w:rPr>
          <w:rFonts w:ascii="Fira Sans" w:hAnsi="Fira Sans" w:cs="Times New Roman"/>
          <w:sz w:val="19"/>
          <w:szCs w:val="19"/>
        </w:rPr>
        <w:t xml:space="preserve"> roku</w:t>
      </w:r>
      <w:r w:rsidRPr="00FD60A7">
        <w:rPr>
          <w:rFonts w:ascii="Fira Sans" w:hAnsi="Fira Sans" w:cs="Times New Roman"/>
          <w:sz w:val="19"/>
          <w:szCs w:val="19"/>
        </w:rPr>
        <w:tab/>
      </w:r>
      <w:r w:rsidR="00405B4B" w:rsidRPr="00FD60A7">
        <w:rPr>
          <w:rFonts w:ascii="Fira Sans" w:hAnsi="Fira Sans" w:cs="Times New Roman"/>
          <w:sz w:val="19"/>
          <w:szCs w:val="19"/>
        </w:rPr>
        <w:t>4</w:t>
      </w:r>
    </w:p>
    <w:p w:rsidR="000F63E7" w:rsidRPr="00FD60A7" w:rsidRDefault="000F63E7" w:rsidP="000F63E7">
      <w:pPr>
        <w:tabs>
          <w:tab w:val="right" w:leader="dot" w:pos="8789"/>
        </w:tabs>
        <w:spacing w:after="80" w:line="240" w:lineRule="auto"/>
        <w:ind w:right="709"/>
        <w:rPr>
          <w:rFonts w:ascii="Fira Sans" w:hAnsi="Fira Sans" w:cs="Times New Roman"/>
          <w:sz w:val="19"/>
          <w:szCs w:val="19"/>
        </w:rPr>
      </w:pPr>
      <w:r w:rsidRPr="00FD60A7">
        <w:rPr>
          <w:rFonts w:ascii="Fira Sans" w:hAnsi="Fira Sans" w:cs="Times New Roman"/>
          <w:sz w:val="19"/>
          <w:szCs w:val="19"/>
        </w:rPr>
        <w:t>Zgony. Umieralność. Trwanie życia</w:t>
      </w:r>
      <w:r w:rsidRPr="00FD60A7">
        <w:rPr>
          <w:rFonts w:ascii="Fira Sans" w:hAnsi="Fira Sans" w:cs="Times New Roman"/>
          <w:sz w:val="19"/>
          <w:szCs w:val="19"/>
        </w:rPr>
        <w:tab/>
      </w:r>
      <w:r w:rsidR="00C5222F" w:rsidRPr="00FD60A7">
        <w:rPr>
          <w:rFonts w:ascii="Fira Sans" w:hAnsi="Fira Sans" w:cs="Times New Roman"/>
          <w:sz w:val="19"/>
          <w:szCs w:val="19"/>
        </w:rPr>
        <w:t>4</w:t>
      </w:r>
    </w:p>
    <w:p w:rsidR="000F63E7" w:rsidRPr="00FD60A7" w:rsidRDefault="000F63E7" w:rsidP="000F63E7">
      <w:pPr>
        <w:tabs>
          <w:tab w:val="right" w:leader="dot" w:pos="8789"/>
        </w:tabs>
        <w:spacing w:after="80" w:line="240" w:lineRule="auto"/>
        <w:ind w:right="709"/>
        <w:rPr>
          <w:rFonts w:ascii="Fira Sans" w:hAnsi="Fira Sans" w:cs="Times New Roman"/>
          <w:sz w:val="19"/>
          <w:szCs w:val="19"/>
        </w:rPr>
      </w:pPr>
      <w:r w:rsidRPr="00FD60A7">
        <w:rPr>
          <w:rFonts w:ascii="Fira Sans" w:hAnsi="Fira Sans" w:cs="Times New Roman"/>
          <w:sz w:val="19"/>
          <w:szCs w:val="19"/>
        </w:rPr>
        <w:t>Przeciętne dalsze trwanie życia</w:t>
      </w:r>
      <w:r w:rsidRPr="00FD60A7">
        <w:rPr>
          <w:rFonts w:ascii="Fira Sans" w:hAnsi="Fira Sans" w:cs="Times New Roman"/>
          <w:sz w:val="19"/>
          <w:szCs w:val="19"/>
        </w:rPr>
        <w:tab/>
      </w:r>
      <w:r w:rsidR="008E66CE">
        <w:rPr>
          <w:rFonts w:ascii="Fira Sans" w:hAnsi="Fira Sans" w:cs="Times New Roman"/>
          <w:sz w:val="19"/>
          <w:szCs w:val="19"/>
        </w:rPr>
        <w:t>5</w:t>
      </w:r>
    </w:p>
    <w:p w:rsidR="000F63E7" w:rsidRPr="00FD60A7" w:rsidRDefault="000F63E7" w:rsidP="000F63E7">
      <w:pPr>
        <w:tabs>
          <w:tab w:val="right" w:leader="dot" w:pos="8789"/>
        </w:tabs>
        <w:spacing w:after="80" w:line="240" w:lineRule="auto"/>
        <w:ind w:right="709"/>
        <w:rPr>
          <w:rFonts w:ascii="Fira Sans" w:hAnsi="Fira Sans" w:cs="Times New Roman"/>
          <w:sz w:val="19"/>
          <w:szCs w:val="19"/>
        </w:rPr>
      </w:pPr>
      <w:r w:rsidRPr="00FD60A7">
        <w:rPr>
          <w:rFonts w:ascii="Fira Sans" w:hAnsi="Fira Sans" w:cs="Times New Roman"/>
          <w:sz w:val="19"/>
          <w:szCs w:val="19"/>
        </w:rPr>
        <w:t>Stan cywilny prawny</w:t>
      </w:r>
      <w:r w:rsidRPr="00FD60A7">
        <w:rPr>
          <w:rFonts w:ascii="Fira Sans" w:hAnsi="Fira Sans" w:cs="Times New Roman"/>
          <w:sz w:val="19"/>
          <w:szCs w:val="19"/>
        </w:rPr>
        <w:tab/>
      </w:r>
      <w:r w:rsidR="00405B4B" w:rsidRPr="00FD60A7">
        <w:rPr>
          <w:rFonts w:ascii="Fira Sans" w:hAnsi="Fira Sans" w:cs="Times New Roman"/>
          <w:sz w:val="19"/>
          <w:szCs w:val="19"/>
        </w:rPr>
        <w:t>6</w:t>
      </w:r>
    </w:p>
    <w:p w:rsidR="000F63E7" w:rsidRPr="00FD60A7" w:rsidRDefault="000F63E7" w:rsidP="000F63E7">
      <w:pPr>
        <w:tabs>
          <w:tab w:val="right" w:leader="dot" w:pos="8789"/>
        </w:tabs>
        <w:spacing w:after="80" w:line="240" w:lineRule="auto"/>
        <w:ind w:right="709"/>
        <w:rPr>
          <w:rFonts w:ascii="Fira Sans" w:hAnsi="Fira Sans" w:cs="Times New Roman"/>
          <w:sz w:val="19"/>
          <w:szCs w:val="19"/>
        </w:rPr>
      </w:pPr>
      <w:r w:rsidRPr="00FD60A7">
        <w:rPr>
          <w:rFonts w:ascii="Fira Sans" w:hAnsi="Fira Sans" w:cs="Times New Roman"/>
          <w:sz w:val="19"/>
          <w:szCs w:val="19"/>
        </w:rPr>
        <w:t>Niepełnosprawność</w:t>
      </w:r>
      <w:r w:rsidRPr="00FD60A7">
        <w:rPr>
          <w:rFonts w:ascii="Fira Sans" w:hAnsi="Fira Sans" w:cs="Times New Roman"/>
          <w:sz w:val="19"/>
          <w:szCs w:val="19"/>
        </w:rPr>
        <w:tab/>
      </w:r>
      <w:r w:rsidR="008E66CE">
        <w:rPr>
          <w:rFonts w:ascii="Fira Sans" w:hAnsi="Fira Sans" w:cs="Times New Roman"/>
          <w:sz w:val="19"/>
          <w:szCs w:val="19"/>
        </w:rPr>
        <w:t>6</w:t>
      </w:r>
    </w:p>
    <w:p w:rsidR="000F63E7" w:rsidRPr="00FD60A7" w:rsidRDefault="000F63E7" w:rsidP="000F63E7">
      <w:pPr>
        <w:tabs>
          <w:tab w:val="right" w:leader="dot" w:pos="8789"/>
        </w:tabs>
        <w:spacing w:after="80" w:line="240" w:lineRule="auto"/>
        <w:ind w:right="709"/>
        <w:rPr>
          <w:rFonts w:ascii="Fira Sans" w:hAnsi="Fira Sans" w:cs="Times New Roman"/>
          <w:sz w:val="19"/>
          <w:szCs w:val="19"/>
        </w:rPr>
      </w:pPr>
      <w:r w:rsidRPr="00FD60A7">
        <w:rPr>
          <w:rFonts w:ascii="Fira Sans" w:hAnsi="Fira Sans" w:cs="Times New Roman"/>
          <w:sz w:val="19"/>
          <w:szCs w:val="19"/>
        </w:rPr>
        <w:t>Przewidywane zmiany w liczbie i strukturze ludności w wieku 60 lat i więcej w</w:t>
      </w:r>
      <w:r w:rsidR="00105ABD" w:rsidRPr="00FD60A7">
        <w:rPr>
          <w:rFonts w:ascii="Fira Sans" w:hAnsi="Fira Sans" w:cs="Times New Roman"/>
          <w:sz w:val="19"/>
          <w:szCs w:val="19"/>
        </w:rPr>
        <w:t> </w:t>
      </w:r>
      <w:r w:rsidRPr="00FD60A7">
        <w:rPr>
          <w:rFonts w:ascii="Fira Sans" w:hAnsi="Fira Sans" w:cs="Times New Roman"/>
          <w:sz w:val="19"/>
          <w:szCs w:val="19"/>
        </w:rPr>
        <w:t>perspektywie do 2050 r.</w:t>
      </w:r>
      <w:r w:rsidRPr="00FD60A7">
        <w:rPr>
          <w:rFonts w:ascii="Fira Sans" w:hAnsi="Fira Sans" w:cs="Times New Roman"/>
          <w:sz w:val="19"/>
          <w:szCs w:val="19"/>
        </w:rPr>
        <w:tab/>
      </w:r>
      <w:r w:rsidR="008E66CE">
        <w:rPr>
          <w:rFonts w:ascii="Fira Sans" w:hAnsi="Fira Sans" w:cs="Times New Roman"/>
          <w:sz w:val="19"/>
          <w:szCs w:val="19"/>
        </w:rPr>
        <w:t>6</w:t>
      </w:r>
    </w:p>
    <w:p w:rsidR="000F63E7" w:rsidRPr="00FD60A7" w:rsidRDefault="000F63E7" w:rsidP="000F63E7">
      <w:pPr>
        <w:tabs>
          <w:tab w:val="right" w:leader="dot" w:pos="8789"/>
        </w:tabs>
        <w:spacing w:after="80" w:line="240" w:lineRule="auto"/>
        <w:ind w:right="709"/>
        <w:rPr>
          <w:rFonts w:ascii="Fira Sans" w:hAnsi="Fira Sans" w:cs="Times New Roman"/>
          <w:sz w:val="19"/>
          <w:szCs w:val="19"/>
        </w:rPr>
      </w:pPr>
      <w:r w:rsidRPr="00FD60A7">
        <w:rPr>
          <w:rFonts w:ascii="Fira Sans" w:hAnsi="Fira Sans" w:cs="Times New Roman"/>
          <w:sz w:val="19"/>
          <w:szCs w:val="19"/>
        </w:rPr>
        <w:t>Gospodarstwa domowe</w:t>
      </w:r>
      <w:r w:rsidRPr="00FD60A7">
        <w:rPr>
          <w:rFonts w:ascii="Fira Sans" w:hAnsi="Fira Sans" w:cs="Times New Roman"/>
          <w:sz w:val="19"/>
          <w:szCs w:val="19"/>
        </w:rPr>
        <w:tab/>
      </w:r>
      <w:r w:rsidR="008E66CE">
        <w:rPr>
          <w:rFonts w:ascii="Fira Sans" w:hAnsi="Fira Sans" w:cs="Times New Roman"/>
          <w:sz w:val="19"/>
          <w:szCs w:val="19"/>
        </w:rPr>
        <w:t>7</w:t>
      </w:r>
    </w:p>
    <w:p w:rsidR="000F63E7" w:rsidRPr="00FD60A7" w:rsidRDefault="000F63E7" w:rsidP="000F63E7">
      <w:pPr>
        <w:tabs>
          <w:tab w:val="right" w:leader="dot" w:pos="8789"/>
        </w:tabs>
        <w:spacing w:after="80" w:line="240" w:lineRule="auto"/>
        <w:ind w:right="709"/>
        <w:rPr>
          <w:rFonts w:ascii="Fira Sans" w:hAnsi="Fira Sans" w:cs="Times New Roman"/>
          <w:sz w:val="19"/>
          <w:szCs w:val="19"/>
        </w:rPr>
      </w:pPr>
      <w:r w:rsidRPr="00FD60A7">
        <w:rPr>
          <w:rFonts w:ascii="Fira Sans" w:hAnsi="Fira Sans" w:cs="Times New Roman"/>
          <w:sz w:val="19"/>
          <w:szCs w:val="19"/>
        </w:rPr>
        <w:t>Sytuacja dochodowa, warunki bytu, w tym warunki mieszkaniowe</w:t>
      </w:r>
      <w:r w:rsidRPr="00FD60A7">
        <w:rPr>
          <w:rFonts w:ascii="Fira Sans" w:hAnsi="Fira Sans" w:cs="Times New Roman"/>
          <w:sz w:val="19"/>
          <w:szCs w:val="19"/>
        </w:rPr>
        <w:tab/>
      </w:r>
      <w:r w:rsidR="008E66CE">
        <w:rPr>
          <w:rFonts w:ascii="Fira Sans" w:hAnsi="Fira Sans" w:cs="Times New Roman"/>
          <w:sz w:val="19"/>
          <w:szCs w:val="19"/>
        </w:rPr>
        <w:t>8</w:t>
      </w:r>
    </w:p>
    <w:p w:rsidR="000F63E7" w:rsidRPr="00FD60A7" w:rsidRDefault="008E66CE" w:rsidP="000F63E7">
      <w:pPr>
        <w:tabs>
          <w:tab w:val="right" w:leader="dot" w:pos="8789"/>
        </w:tabs>
        <w:spacing w:after="80" w:line="240" w:lineRule="auto"/>
        <w:ind w:right="709"/>
        <w:rPr>
          <w:rFonts w:ascii="Fira Sans" w:hAnsi="Fira Sans" w:cs="Times New Roman"/>
          <w:sz w:val="19"/>
          <w:szCs w:val="19"/>
        </w:rPr>
      </w:pPr>
      <w:r>
        <w:rPr>
          <w:rFonts w:ascii="Fira Sans" w:hAnsi="Fira Sans" w:cs="Times New Roman"/>
          <w:sz w:val="19"/>
          <w:szCs w:val="19"/>
        </w:rPr>
        <w:t>Aktywność zawodowa</w:t>
      </w:r>
      <w:r>
        <w:rPr>
          <w:rFonts w:ascii="Fira Sans" w:hAnsi="Fira Sans" w:cs="Times New Roman"/>
          <w:sz w:val="19"/>
          <w:szCs w:val="19"/>
        </w:rPr>
        <w:tab/>
        <w:t>9</w:t>
      </w:r>
    </w:p>
    <w:p w:rsidR="000F63E7" w:rsidRPr="00FD60A7" w:rsidRDefault="000F63E7" w:rsidP="000F63E7">
      <w:pPr>
        <w:tabs>
          <w:tab w:val="right" w:leader="dot" w:pos="8789"/>
        </w:tabs>
        <w:spacing w:after="80" w:line="240" w:lineRule="auto"/>
        <w:ind w:right="709"/>
        <w:rPr>
          <w:rFonts w:ascii="Fira Sans" w:hAnsi="Fira Sans" w:cs="Times New Roman"/>
          <w:sz w:val="19"/>
          <w:szCs w:val="19"/>
        </w:rPr>
      </w:pPr>
      <w:r w:rsidRPr="00FD60A7">
        <w:rPr>
          <w:rFonts w:ascii="Fira Sans" w:hAnsi="Fira Sans" w:cs="Times New Roman"/>
          <w:sz w:val="19"/>
          <w:szCs w:val="19"/>
        </w:rPr>
        <w:t>Emeryci i renciści</w:t>
      </w:r>
      <w:r w:rsidRPr="00FD60A7">
        <w:rPr>
          <w:rFonts w:ascii="Fira Sans" w:hAnsi="Fira Sans" w:cs="Times New Roman"/>
          <w:sz w:val="19"/>
          <w:szCs w:val="19"/>
        </w:rPr>
        <w:tab/>
        <w:t>1</w:t>
      </w:r>
      <w:r w:rsidR="008E66CE">
        <w:rPr>
          <w:rFonts w:ascii="Fira Sans" w:hAnsi="Fira Sans" w:cs="Times New Roman"/>
          <w:sz w:val="19"/>
          <w:szCs w:val="19"/>
        </w:rPr>
        <w:t>0</w:t>
      </w:r>
    </w:p>
    <w:p w:rsidR="000F63E7" w:rsidRPr="00FD60A7" w:rsidRDefault="000F63E7" w:rsidP="000F63E7">
      <w:pPr>
        <w:tabs>
          <w:tab w:val="right" w:leader="dot" w:pos="8789"/>
        </w:tabs>
        <w:spacing w:after="80" w:line="240" w:lineRule="auto"/>
        <w:ind w:right="709"/>
        <w:rPr>
          <w:rFonts w:ascii="Fira Sans" w:hAnsi="Fira Sans" w:cs="Times New Roman"/>
          <w:sz w:val="19"/>
          <w:szCs w:val="19"/>
        </w:rPr>
      </w:pPr>
      <w:r w:rsidRPr="00FD60A7">
        <w:rPr>
          <w:rFonts w:ascii="Fira Sans" w:hAnsi="Fira Sans" w:cs="Times New Roman"/>
          <w:sz w:val="19"/>
          <w:szCs w:val="19"/>
        </w:rPr>
        <w:t>Zdrowie</w:t>
      </w:r>
      <w:r w:rsidRPr="00FD60A7">
        <w:rPr>
          <w:rFonts w:ascii="Fira Sans" w:hAnsi="Fira Sans" w:cs="Times New Roman"/>
          <w:sz w:val="19"/>
          <w:szCs w:val="19"/>
        </w:rPr>
        <w:tab/>
        <w:t>1</w:t>
      </w:r>
      <w:r w:rsidR="008E66CE">
        <w:rPr>
          <w:rFonts w:ascii="Fira Sans" w:hAnsi="Fira Sans" w:cs="Times New Roman"/>
          <w:sz w:val="19"/>
          <w:szCs w:val="19"/>
        </w:rPr>
        <w:t>0</w:t>
      </w:r>
    </w:p>
    <w:p w:rsidR="000F63E7" w:rsidRPr="00FD60A7" w:rsidRDefault="00BB4D3E" w:rsidP="000F63E7">
      <w:pPr>
        <w:tabs>
          <w:tab w:val="right" w:leader="dot" w:pos="8789"/>
        </w:tabs>
        <w:spacing w:after="80" w:line="240" w:lineRule="auto"/>
        <w:ind w:right="709"/>
        <w:rPr>
          <w:rFonts w:ascii="Fira Sans" w:hAnsi="Fira Sans" w:cs="Times New Roman"/>
          <w:sz w:val="19"/>
          <w:szCs w:val="19"/>
        </w:rPr>
      </w:pPr>
      <w:r w:rsidRPr="00FD60A7">
        <w:rPr>
          <w:rFonts w:ascii="Fira Sans" w:hAnsi="Fira Sans" w:cs="Times New Roman"/>
          <w:sz w:val="19"/>
          <w:szCs w:val="19"/>
        </w:rPr>
        <w:t>Samoocena zdrowia i doświadczanie ograniczeń w dostępie do usług</w:t>
      </w:r>
      <w:r w:rsidR="00743051" w:rsidRPr="00FD60A7">
        <w:rPr>
          <w:rFonts w:ascii="Fira Sans" w:hAnsi="Fira Sans" w:cs="Times New Roman"/>
          <w:sz w:val="19"/>
          <w:szCs w:val="19"/>
        </w:rPr>
        <w:t xml:space="preserve"> zdrowotnych</w:t>
      </w:r>
      <w:r w:rsidR="000F63E7" w:rsidRPr="00FD60A7">
        <w:rPr>
          <w:rFonts w:ascii="Fira Sans" w:hAnsi="Fira Sans" w:cs="Times New Roman"/>
          <w:sz w:val="19"/>
          <w:szCs w:val="19"/>
        </w:rPr>
        <w:tab/>
        <w:t>1</w:t>
      </w:r>
      <w:r w:rsidR="008E66CE">
        <w:rPr>
          <w:rFonts w:ascii="Fira Sans" w:hAnsi="Fira Sans" w:cs="Times New Roman"/>
          <w:sz w:val="19"/>
          <w:szCs w:val="19"/>
        </w:rPr>
        <w:t>0</w:t>
      </w:r>
    </w:p>
    <w:p w:rsidR="000F63E7" w:rsidRPr="00FD60A7" w:rsidRDefault="000F63E7" w:rsidP="000F63E7">
      <w:pPr>
        <w:tabs>
          <w:tab w:val="right" w:leader="dot" w:pos="8789"/>
        </w:tabs>
        <w:spacing w:after="80" w:line="240" w:lineRule="auto"/>
        <w:ind w:right="709"/>
        <w:rPr>
          <w:rFonts w:ascii="Fira Sans" w:hAnsi="Fira Sans" w:cs="Times New Roman"/>
          <w:sz w:val="19"/>
          <w:szCs w:val="19"/>
        </w:rPr>
      </w:pPr>
      <w:r w:rsidRPr="00FD60A7">
        <w:rPr>
          <w:rFonts w:ascii="Fira Sans" w:hAnsi="Fira Sans" w:cs="Times New Roman"/>
          <w:sz w:val="19"/>
          <w:szCs w:val="19"/>
        </w:rPr>
        <w:t>Choroby przewlekłe i dolegliwości zdrowotne występujące w okresie ostatnich 12</w:t>
      </w:r>
      <w:r w:rsidR="00105ABD" w:rsidRPr="00FD60A7">
        <w:rPr>
          <w:rFonts w:ascii="Fira Sans" w:hAnsi="Fira Sans" w:cs="Times New Roman"/>
          <w:sz w:val="19"/>
          <w:szCs w:val="19"/>
        </w:rPr>
        <w:t> </w:t>
      </w:r>
      <w:r w:rsidRPr="00FD60A7">
        <w:rPr>
          <w:rFonts w:ascii="Fira Sans" w:hAnsi="Fira Sans" w:cs="Times New Roman"/>
          <w:sz w:val="19"/>
          <w:szCs w:val="19"/>
        </w:rPr>
        <w:t>miesięcy</w:t>
      </w:r>
      <w:r w:rsidRPr="00FD60A7">
        <w:rPr>
          <w:rFonts w:ascii="Fira Sans" w:hAnsi="Fira Sans" w:cs="Times New Roman"/>
          <w:sz w:val="19"/>
          <w:szCs w:val="19"/>
        </w:rPr>
        <w:tab/>
        <w:t>1</w:t>
      </w:r>
      <w:r w:rsidR="008E66CE">
        <w:rPr>
          <w:rFonts w:ascii="Fira Sans" w:hAnsi="Fira Sans" w:cs="Times New Roman"/>
          <w:sz w:val="19"/>
          <w:szCs w:val="19"/>
        </w:rPr>
        <w:t>1</w:t>
      </w:r>
    </w:p>
    <w:p w:rsidR="000F63E7" w:rsidRPr="00FD60A7" w:rsidRDefault="000F63E7" w:rsidP="000F63E7">
      <w:pPr>
        <w:tabs>
          <w:tab w:val="right" w:leader="dot" w:pos="8789"/>
        </w:tabs>
        <w:spacing w:after="80" w:line="240" w:lineRule="auto"/>
        <w:ind w:right="709"/>
        <w:rPr>
          <w:rFonts w:ascii="Fira Sans" w:hAnsi="Fira Sans" w:cs="Times New Roman"/>
          <w:sz w:val="19"/>
          <w:szCs w:val="19"/>
        </w:rPr>
      </w:pPr>
      <w:r w:rsidRPr="00FD60A7">
        <w:rPr>
          <w:rFonts w:ascii="Fira Sans" w:hAnsi="Fira Sans" w:cs="Times New Roman"/>
          <w:sz w:val="19"/>
          <w:szCs w:val="19"/>
        </w:rPr>
        <w:t>Sprawność narządów zmysłu i ruchu oraz poziom możliwości samoobsługi i</w:t>
      </w:r>
      <w:r w:rsidR="00105ABD" w:rsidRPr="00FD60A7">
        <w:rPr>
          <w:rFonts w:ascii="Fira Sans" w:hAnsi="Fira Sans" w:cs="Times New Roman"/>
          <w:sz w:val="19"/>
          <w:szCs w:val="19"/>
        </w:rPr>
        <w:t> </w:t>
      </w:r>
      <w:r w:rsidRPr="00FD60A7">
        <w:rPr>
          <w:rFonts w:ascii="Fira Sans" w:hAnsi="Fira Sans" w:cs="Times New Roman"/>
          <w:sz w:val="19"/>
          <w:szCs w:val="19"/>
        </w:rPr>
        <w:t>wykonania czynności domowych</w:t>
      </w:r>
      <w:r w:rsidRPr="00FD60A7">
        <w:rPr>
          <w:rFonts w:ascii="Fira Sans" w:hAnsi="Fira Sans" w:cs="Times New Roman"/>
          <w:sz w:val="19"/>
          <w:szCs w:val="19"/>
        </w:rPr>
        <w:tab/>
        <w:t>1</w:t>
      </w:r>
      <w:r w:rsidR="008E66CE">
        <w:rPr>
          <w:rFonts w:ascii="Fira Sans" w:hAnsi="Fira Sans" w:cs="Times New Roman"/>
          <w:sz w:val="19"/>
          <w:szCs w:val="19"/>
        </w:rPr>
        <w:t>2</w:t>
      </w:r>
    </w:p>
    <w:p w:rsidR="000F63E7" w:rsidRPr="00FD60A7" w:rsidRDefault="000F63E7" w:rsidP="000F63E7">
      <w:pPr>
        <w:tabs>
          <w:tab w:val="right" w:leader="dot" w:pos="8789"/>
        </w:tabs>
        <w:spacing w:after="80" w:line="240" w:lineRule="auto"/>
        <w:ind w:right="709"/>
        <w:rPr>
          <w:rFonts w:ascii="Fira Sans" w:hAnsi="Fira Sans" w:cs="Times New Roman"/>
          <w:sz w:val="19"/>
          <w:szCs w:val="19"/>
        </w:rPr>
      </w:pPr>
      <w:r w:rsidRPr="00FD60A7">
        <w:rPr>
          <w:rFonts w:ascii="Fira Sans" w:hAnsi="Fira Sans" w:cs="Times New Roman"/>
          <w:sz w:val="19"/>
          <w:szCs w:val="19"/>
        </w:rPr>
        <w:t>Profilaktyka zdrowotna i częstość korzystania z usług medycznych</w:t>
      </w:r>
      <w:r w:rsidRPr="00FD60A7">
        <w:rPr>
          <w:rFonts w:ascii="Fira Sans" w:hAnsi="Fira Sans" w:cs="Times New Roman"/>
          <w:sz w:val="19"/>
          <w:szCs w:val="19"/>
        </w:rPr>
        <w:tab/>
        <w:t>1</w:t>
      </w:r>
      <w:r w:rsidR="008E66CE">
        <w:rPr>
          <w:rFonts w:ascii="Fira Sans" w:hAnsi="Fira Sans" w:cs="Times New Roman"/>
          <w:sz w:val="19"/>
          <w:szCs w:val="19"/>
        </w:rPr>
        <w:t>3</w:t>
      </w:r>
    </w:p>
    <w:p w:rsidR="000F63E7" w:rsidRPr="00FD60A7" w:rsidRDefault="000F63E7" w:rsidP="000F63E7">
      <w:pPr>
        <w:tabs>
          <w:tab w:val="right" w:leader="dot" w:pos="8789"/>
        </w:tabs>
        <w:spacing w:after="80" w:line="240" w:lineRule="auto"/>
        <w:ind w:right="709"/>
        <w:rPr>
          <w:rFonts w:ascii="Fira Sans" w:hAnsi="Fira Sans" w:cs="Times New Roman"/>
          <w:sz w:val="19"/>
          <w:szCs w:val="19"/>
        </w:rPr>
      </w:pPr>
      <w:r w:rsidRPr="00FD60A7">
        <w:rPr>
          <w:rFonts w:ascii="Fira Sans" w:hAnsi="Fira Sans" w:cs="Times New Roman"/>
          <w:sz w:val="19"/>
          <w:szCs w:val="19"/>
        </w:rPr>
        <w:t>Wybrane elementy stylu życia</w:t>
      </w:r>
      <w:r w:rsidRPr="00FD60A7">
        <w:rPr>
          <w:rFonts w:ascii="Fira Sans" w:hAnsi="Fira Sans" w:cs="Times New Roman"/>
          <w:sz w:val="19"/>
          <w:szCs w:val="19"/>
        </w:rPr>
        <w:tab/>
        <w:t>1</w:t>
      </w:r>
      <w:r w:rsidR="008E66CE">
        <w:rPr>
          <w:rFonts w:ascii="Fira Sans" w:hAnsi="Fira Sans" w:cs="Times New Roman"/>
          <w:sz w:val="19"/>
          <w:szCs w:val="19"/>
        </w:rPr>
        <w:t>4</w:t>
      </w:r>
    </w:p>
    <w:p w:rsidR="000F63E7" w:rsidRPr="00FD60A7" w:rsidRDefault="000F63E7" w:rsidP="000F63E7">
      <w:pPr>
        <w:tabs>
          <w:tab w:val="right" w:leader="dot" w:pos="8789"/>
        </w:tabs>
        <w:spacing w:after="80" w:line="240" w:lineRule="auto"/>
        <w:ind w:right="709"/>
        <w:rPr>
          <w:rFonts w:ascii="Fira Sans" w:hAnsi="Fira Sans" w:cs="Times New Roman"/>
          <w:sz w:val="19"/>
          <w:szCs w:val="19"/>
        </w:rPr>
      </w:pPr>
      <w:r w:rsidRPr="00FD60A7">
        <w:rPr>
          <w:rFonts w:ascii="Fira Sans" w:hAnsi="Fira Sans" w:cs="Times New Roman"/>
          <w:sz w:val="19"/>
          <w:szCs w:val="19"/>
        </w:rPr>
        <w:t>Opieka zdrowotna</w:t>
      </w:r>
      <w:r w:rsidRPr="00FD60A7">
        <w:rPr>
          <w:rFonts w:ascii="Fira Sans" w:hAnsi="Fira Sans" w:cs="Times New Roman"/>
          <w:sz w:val="19"/>
          <w:szCs w:val="19"/>
        </w:rPr>
        <w:tab/>
        <w:t>1</w:t>
      </w:r>
      <w:r w:rsidR="008E66CE">
        <w:rPr>
          <w:rFonts w:ascii="Fira Sans" w:hAnsi="Fira Sans" w:cs="Times New Roman"/>
          <w:sz w:val="19"/>
          <w:szCs w:val="19"/>
        </w:rPr>
        <w:t>5</w:t>
      </w:r>
    </w:p>
    <w:p w:rsidR="000F63E7" w:rsidRPr="00FD60A7" w:rsidRDefault="000F63E7" w:rsidP="000F63E7">
      <w:pPr>
        <w:tabs>
          <w:tab w:val="right" w:leader="dot" w:pos="8789"/>
        </w:tabs>
        <w:spacing w:after="80" w:line="240" w:lineRule="auto"/>
        <w:ind w:right="709"/>
        <w:rPr>
          <w:rFonts w:ascii="Fira Sans" w:hAnsi="Fira Sans" w:cs="Times New Roman"/>
          <w:sz w:val="19"/>
          <w:szCs w:val="19"/>
        </w:rPr>
      </w:pPr>
      <w:r w:rsidRPr="00FD60A7">
        <w:rPr>
          <w:rFonts w:ascii="Fira Sans" w:hAnsi="Fira Sans" w:cs="Times New Roman"/>
          <w:sz w:val="19"/>
          <w:szCs w:val="19"/>
        </w:rPr>
        <w:t>Ambulatoryjna opieka zdrowotna</w:t>
      </w:r>
      <w:r w:rsidRPr="00FD60A7">
        <w:rPr>
          <w:rFonts w:ascii="Fira Sans" w:hAnsi="Fira Sans" w:cs="Times New Roman"/>
          <w:sz w:val="19"/>
          <w:szCs w:val="19"/>
        </w:rPr>
        <w:tab/>
        <w:t>1</w:t>
      </w:r>
      <w:r w:rsidR="008E66CE">
        <w:rPr>
          <w:rFonts w:ascii="Fira Sans" w:hAnsi="Fira Sans" w:cs="Times New Roman"/>
          <w:sz w:val="19"/>
          <w:szCs w:val="19"/>
        </w:rPr>
        <w:t>5</w:t>
      </w:r>
    </w:p>
    <w:p w:rsidR="000F63E7" w:rsidRPr="00FD60A7" w:rsidRDefault="00894CED" w:rsidP="000F63E7">
      <w:pPr>
        <w:tabs>
          <w:tab w:val="right" w:leader="dot" w:pos="8789"/>
        </w:tabs>
        <w:spacing w:after="80" w:line="240" w:lineRule="auto"/>
        <w:ind w:right="709"/>
        <w:rPr>
          <w:rFonts w:ascii="Fira Sans" w:hAnsi="Fira Sans" w:cs="Times New Roman"/>
          <w:sz w:val="19"/>
          <w:szCs w:val="19"/>
        </w:rPr>
      </w:pPr>
      <w:r w:rsidRPr="00FD60A7">
        <w:rPr>
          <w:rFonts w:ascii="Fira Sans" w:hAnsi="Fira Sans" w:cs="Times New Roman"/>
          <w:sz w:val="19"/>
          <w:szCs w:val="19"/>
        </w:rPr>
        <w:t>Stacjonarna opieka zdrowotna</w:t>
      </w:r>
      <w:r w:rsidRPr="00FD60A7">
        <w:rPr>
          <w:rFonts w:ascii="Fira Sans" w:hAnsi="Fira Sans" w:cs="Times New Roman"/>
          <w:sz w:val="19"/>
          <w:szCs w:val="19"/>
        </w:rPr>
        <w:tab/>
      </w:r>
      <w:r w:rsidR="008E66CE">
        <w:rPr>
          <w:rFonts w:ascii="Fira Sans" w:hAnsi="Fira Sans" w:cs="Times New Roman"/>
          <w:sz w:val="19"/>
          <w:szCs w:val="19"/>
        </w:rPr>
        <w:t>15</w:t>
      </w:r>
    </w:p>
    <w:p w:rsidR="000F63E7" w:rsidRPr="00FD60A7" w:rsidRDefault="000F63E7" w:rsidP="000F63E7">
      <w:pPr>
        <w:tabs>
          <w:tab w:val="right" w:leader="dot" w:pos="8789"/>
        </w:tabs>
        <w:spacing w:after="80" w:line="240" w:lineRule="auto"/>
        <w:ind w:right="709"/>
        <w:rPr>
          <w:rFonts w:ascii="Fira Sans" w:hAnsi="Fira Sans" w:cs="Times New Roman"/>
          <w:sz w:val="19"/>
          <w:szCs w:val="19"/>
        </w:rPr>
      </w:pPr>
      <w:r w:rsidRPr="00FD60A7">
        <w:rPr>
          <w:rFonts w:ascii="Fira Sans" w:hAnsi="Fira Sans" w:cs="Times New Roman"/>
          <w:sz w:val="19"/>
          <w:szCs w:val="19"/>
        </w:rPr>
        <w:t>Ratownictwo medyczne</w:t>
      </w:r>
      <w:r w:rsidRPr="00FD60A7">
        <w:rPr>
          <w:rFonts w:ascii="Fira Sans" w:hAnsi="Fira Sans" w:cs="Times New Roman"/>
          <w:sz w:val="19"/>
          <w:szCs w:val="19"/>
        </w:rPr>
        <w:tab/>
      </w:r>
      <w:r w:rsidR="008E66CE">
        <w:rPr>
          <w:rFonts w:ascii="Fira Sans" w:hAnsi="Fira Sans" w:cs="Times New Roman"/>
          <w:sz w:val="19"/>
          <w:szCs w:val="19"/>
        </w:rPr>
        <w:t>16</w:t>
      </w:r>
    </w:p>
    <w:p w:rsidR="000F63E7" w:rsidRPr="00FD60A7" w:rsidRDefault="008E66CE" w:rsidP="000F63E7">
      <w:pPr>
        <w:tabs>
          <w:tab w:val="right" w:leader="dot" w:pos="8789"/>
        </w:tabs>
        <w:spacing w:after="80" w:line="240" w:lineRule="auto"/>
        <w:ind w:right="709"/>
        <w:rPr>
          <w:rFonts w:ascii="Fira Sans" w:hAnsi="Fira Sans" w:cs="Times New Roman"/>
          <w:sz w:val="19"/>
          <w:szCs w:val="19"/>
        </w:rPr>
      </w:pPr>
      <w:r>
        <w:rPr>
          <w:rFonts w:ascii="Fira Sans" w:hAnsi="Fira Sans" w:cs="Times New Roman"/>
          <w:sz w:val="19"/>
          <w:szCs w:val="19"/>
        </w:rPr>
        <w:t>Dostępność usług socjalnych</w:t>
      </w:r>
      <w:r>
        <w:rPr>
          <w:rFonts w:ascii="Fira Sans" w:hAnsi="Fira Sans" w:cs="Times New Roman"/>
          <w:sz w:val="19"/>
          <w:szCs w:val="19"/>
        </w:rPr>
        <w:tab/>
        <w:t>16</w:t>
      </w:r>
    </w:p>
    <w:p w:rsidR="000F63E7" w:rsidRPr="00FD60A7" w:rsidRDefault="000F63E7" w:rsidP="000F63E7">
      <w:pPr>
        <w:tabs>
          <w:tab w:val="right" w:leader="dot" w:pos="8789"/>
        </w:tabs>
        <w:spacing w:after="80" w:line="240" w:lineRule="auto"/>
        <w:ind w:right="709"/>
        <w:rPr>
          <w:rFonts w:ascii="Fira Sans" w:hAnsi="Fira Sans" w:cs="Times New Roman"/>
          <w:sz w:val="19"/>
          <w:szCs w:val="19"/>
        </w:rPr>
      </w:pPr>
      <w:r w:rsidRPr="00FD60A7">
        <w:rPr>
          <w:rFonts w:ascii="Fira Sans" w:hAnsi="Fira Sans" w:cs="Times New Roman"/>
          <w:sz w:val="19"/>
          <w:szCs w:val="19"/>
        </w:rPr>
        <w:t>Pensjonariusze zakładów stacjonarnyc</w:t>
      </w:r>
      <w:r w:rsidR="00405B4B" w:rsidRPr="00FD60A7">
        <w:rPr>
          <w:rFonts w:ascii="Fira Sans" w:hAnsi="Fira Sans" w:cs="Times New Roman"/>
          <w:sz w:val="19"/>
          <w:szCs w:val="19"/>
        </w:rPr>
        <w:t>h pomocy społeczn</w:t>
      </w:r>
      <w:r w:rsidR="008E66CE">
        <w:rPr>
          <w:rFonts w:ascii="Fira Sans" w:hAnsi="Fira Sans" w:cs="Times New Roman"/>
          <w:sz w:val="19"/>
          <w:szCs w:val="19"/>
        </w:rPr>
        <w:t>ej</w:t>
      </w:r>
      <w:r w:rsidR="008E66CE">
        <w:rPr>
          <w:rFonts w:ascii="Fira Sans" w:hAnsi="Fira Sans" w:cs="Times New Roman"/>
          <w:sz w:val="19"/>
          <w:szCs w:val="19"/>
        </w:rPr>
        <w:tab/>
        <w:t>16</w:t>
      </w:r>
    </w:p>
    <w:p w:rsidR="000F63E7" w:rsidRPr="00FD60A7" w:rsidRDefault="000F63E7" w:rsidP="000F63E7">
      <w:pPr>
        <w:tabs>
          <w:tab w:val="right" w:leader="dot" w:pos="8789"/>
        </w:tabs>
        <w:spacing w:after="80" w:line="240" w:lineRule="auto"/>
        <w:ind w:right="709"/>
        <w:rPr>
          <w:rFonts w:ascii="Fira Sans" w:hAnsi="Fira Sans" w:cs="Times New Roman"/>
          <w:sz w:val="19"/>
          <w:szCs w:val="19"/>
        </w:rPr>
      </w:pPr>
      <w:r w:rsidRPr="00FD60A7">
        <w:rPr>
          <w:rFonts w:ascii="Fira Sans" w:hAnsi="Fira Sans" w:cs="Times New Roman"/>
          <w:sz w:val="19"/>
          <w:szCs w:val="19"/>
        </w:rPr>
        <w:t>Aktywność społeczna i obywatelska</w:t>
      </w:r>
      <w:r w:rsidRPr="00FD60A7">
        <w:rPr>
          <w:rFonts w:ascii="Fira Sans" w:hAnsi="Fira Sans" w:cs="Times New Roman"/>
          <w:sz w:val="19"/>
          <w:szCs w:val="19"/>
        </w:rPr>
        <w:tab/>
      </w:r>
      <w:r w:rsidR="008E66CE">
        <w:rPr>
          <w:rFonts w:ascii="Fira Sans" w:hAnsi="Fira Sans" w:cs="Times New Roman"/>
          <w:sz w:val="19"/>
          <w:szCs w:val="19"/>
        </w:rPr>
        <w:t>16</w:t>
      </w:r>
    </w:p>
    <w:p w:rsidR="000F63E7" w:rsidRPr="00FD60A7" w:rsidRDefault="000F63E7" w:rsidP="000F63E7">
      <w:pPr>
        <w:tabs>
          <w:tab w:val="right" w:leader="dot" w:pos="8789"/>
        </w:tabs>
        <w:spacing w:after="80" w:line="240" w:lineRule="auto"/>
        <w:ind w:right="709"/>
        <w:rPr>
          <w:rFonts w:ascii="Fira Sans" w:hAnsi="Fira Sans" w:cs="Times New Roman"/>
          <w:sz w:val="19"/>
          <w:szCs w:val="19"/>
        </w:rPr>
      </w:pPr>
      <w:r w:rsidRPr="00FD60A7">
        <w:rPr>
          <w:rFonts w:ascii="Fira Sans" w:hAnsi="Fira Sans" w:cs="Times New Roman"/>
          <w:sz w:val="19"/>
          <w:szCs w:val="19"/>
        </w:rPr>
        <w:t>Aktywność edukacyjna i kulturalna</w:t>
      </w:r>
      <w:r w:rsidRPr="00FD60A7">
        <w:rPr>
          <w:rFonts w:ascii="Fira Sans" w:hAnsi="Fira Sans" w:cs="Times New Roman"/>
          <w:sz w:val="19"/>
          <w:szCs w:val="19"/>
        </w:rPr>
        <w:tab/>
      </w:r>
      <w:r w:rsidR="008E66CE">
        <w:rPr>
          <w:rFonts w:ascii="Fira Sans" w:hAnsi="Fira Sans" w:cs="Times New Roman"/>
          <w:sz w:val="19"/>
          <w:szCs w:val="19"/>
        </w:rPr>
        <w:t>17</w:t>
      </w:r>
    </w:p>
    <w:p w:rsidR="000F63E7" w:rsidRPr="00FD60A7" w:rsidRDefault="000F63E7" w:rsidP="000F63E7">
      <w:pPr>
        <w:tabs>
          <w:tab w:val="right" w:leader="dot" w:pos="8789"/>
        </w:tabs>
        <w:spacing w:after="80" w:line="240" w:lineRule="auto"/>
        <w:ind w:right="709"/>
        <w:rPr>
          <w:rFonts w:ascii="Fira Sans" w:hAnsi="Fira Sans" w:cs="Times New Roman"/>
          <w:sz w:val="19"/>
          <w:szCs w:val="19"/>
        </w:rPr>
      </w:pPr>
      <w:r w:rsidRPr="00FD60A7">
        <w:rPr>
          <w:rFonts w:ascii="Fira Sans" w:hAnsi="Fira Sans" w:cs="Times New Roman"/>
          <w:sz w:val="19"/>
          <w:szCs w:val="19"/>
        </w:rPr>
        <w:t>Aktywność edukacyjna</w:t>
      </w:r>
      <w:r w:rsidRPr="00FD60A7">
        <w:rPr>
          <w:rFonts w:ascii="Fira Sans" w:hAnsi="Fira Sans" w:cs="Times New Roman"/>
          <w:sz w:val="19"/>
          <w:szCs w:val="19"/>
        </w:rPr>
        <w:tab/>
      </w:r>
      <w:r w:rsidR="008E66CE">
        <w:rPr>
          <w:rFonts w:ascii="Fira Sans" w:hAnsi="Fira Sans" w:cs="Times New Roman"/>
          <w:sz w:val="19"/>
          <w:szCs w:val="19"/>
        </w:rPr>
        <w:t>17</w:t>
      </w:r>
    </w:p>
    <w:p w:rsidR="000F63E7" w:rsidRPr="00FD60A7" w:rsidRDefault="000F63E7" w:rsidP="000F63E7">
      <w:pPr>
        <w:tabs>
          <w:tab w:val="right" w:leader="dot" w:pos="8789"/>
        </w:tabs>
        <w:spacing w:after="80" w:line="240" w:lineRule="auto"/>
        <w:ind w:right="709"/>
        <w:rPr>
          <w:rFonts w:ascii="Fira Sans" w:hAnsi="Fira Sans" w:cs="Times New Roman"/>
          <w:sz w:val="19"/>
          <w:szCs w:val="19"/>
        </w:rPr>
      </w:pPr>
      <w:r w:rsidRPr="00FD60A7">
        <w:rPr>
          <w:rFonts w:ascii="Fira Sans" w:hAnsi="Fira Sans" w:cs="Times New Roman"/>
          <w:sz w:val="19"/>
          <w:szCs w:val="19"/>
        </w:rPr>
        <w:t xml:space="preserve">Uczestnictwo w kulturze </w:t>
      </w:r>
      <w:r w:rsidR="008E66CE">
        <w:rPr>
          <w:rFonts w:ascii="Fira Sans" w:hAnsi="Fira Sans" w:cs="Times New Roman"/>
          <w:sz w:val="19"/>
          <w:szCs w:val="19"/>
        </w:rPr>
        <w:t>osób w wieku 60 lat lub więcej</w:t>
      </w:r>
      <w:r w:rsidR="008E66CE">
        <w:rPr>
          <w:rFonts w:ascii="Fira Sans" w:hAnsi="Fira Sans" w:cs="Times New Roman"/>
          <w:sz w:val="19"/>
          <w:szCs w:val="19"/>
        </w:rPr>
        <w:tab/>
        <w:t>17</w:t>
      </w:r>
    </w:p>
    <w:p w:rsidR="006437A6" w:rsidRPr="00FD60A7" w:rsidRDefault="006437A6" w:rsidP="000F63E7">
      <w:pPr>
        <w:tabs>
          <w:tab w:val="right" w:leader="dot" w:pos="8789"/>
        </w:tabs>
        <w:spacing w:after="80" w:line="240" w:lineRule="auto"/>
        <w:ind w:right="709"/>
        <w:rPr>
          <w:rFonts w:ascii="Fira Sans" w:hAnsi="Fira Sans" w:cs="Times New Roman"/>
          <w:sz w:val="19"/>
          <w:szCs w:val="19"/>
        </w:rPr>
      </w:pPr>
      <w:r w:rsidRPr="00FD60A7">
        <w:rPr>
          <w:rFonts w:ascii="Fira Sans" w:hAnsi="Fira Sans" w:cs="Times New Roman"/>
          <w:sz w:val="19"/>
          <w:szCs w:val="19"/>
        </w:rPr>
        <w:t>Uczestnict</w:t>
      </w:r>
      <w:r w:rsidR="008E66CE">
        <w:rPr>
          <w:rFonts w:ascii="Fira Sans" w:hAnsi="Fira Sans" w:cs="Times New Roman"/>
          <w:sz w:val="19"/>
          <w:szCs w:val="19"/>
        </w:rPr>
        <w:t>wo osób starszych w podróżach</w:t>
      </w:r>
      <w:r w:rsidR="008E66CE">
        <w:rPr>
          <w:rFonts w:ascii="Fira Sans" w:hAnsi="Fira Sans" w:cs="Times New Roman"/>
          <w:sz w:val="19"/>
          <w:szCs w:val="19"/>
        </w:rPr>
        <w:tab/>
        <w:t>18</w:t>
      </w:r>
    </w:p>
    <w:p w:rsidR="000F63E7" w:rsidRPr="00FD60A7" w:rsidRDefault="008E66CE" w:rsidP="000F63E7">
      <w:pPr>
        <w:tabs>
          <w:tab w:val="right" w:leader="dot" w:pos="8789"/>
        </w:tabs>
        <w:spacing w:after="80" w:line="240" w:lineRule="auto"/>
        <w:ind w:right="709"/>
        <w:rPr>
          <w:rFonts w:ascii="Fira Sans" w:hAnsi="Fira Sans" w:cs="Times New Roman"/>
          <w:sz w:val="19"/>
          <w:szCs w:val="19"/>
        </w:rPr>
      </w:pPr>
      <w:r>
        <w:rPr>
          <w:rFonts w:ascii="Fira Sans" w:hAnsi="Fira Sans" w:cs="Times New Roman"/>
          <w:sz w:val="19"/>
          <w:szCs w:val="19"/>
        </w:rPr>
        <w:t>Aktywność sportowa</w:t>
      </w:r>
      <w:r>
        <w:rPr>
          <w:rFonts w:ascii="Fira Sans" w:hAnsi="Fira Sans" w:cs="Times New Roman"/>
          <w:sz w:val="19"/>
          <w:szCs w:val="19"/>
        </w:rPr>
        <w:tab/>
        <w:t>19</w:t>
      </w:r>
    </w:p>
    <w:p w:rsidR="00CB0B6B" w:rsidRPr="00FD60A7" w:rsidRDefault="00CB0B6B">
      <w:pPr>
        <w:rPr>
          <w:rFonts w:ascii="Fira Sans" w:eastAsiaTheme="majorEastAsia" w:hAnsi="Fira Sans" w:cstheme="majorBidi"/>
          <w:color w:val="2E74B5" w:themeColor="accent1" w:themeShade="BF"/>
          <w:sz w:val="19"/>
          <w:szCs w:val="19"/>
        </w:rPr>
      </w:pPr>
      <w:r w:rsidRPr="00FD60A7">
        <w:rPr>
          <w:rFonts w:ascii="Fira Sans" w:hAnsi="Fira Sans"/>
          <w:sz w:val="19"/>
          <w:szCs w:val="19"/>
        </w:rPr>
        <w:br w:type="page"/>
      </w:r>
    </w:p>
    <w:p w:rsidR="00CE77CF" w:rsidRPr="00FD60A7" w:rsidRDefault="00AE3677" w:rsidP="000D1535">
      <w:pPr>
        <w:pStyle w:val="Nagwek1"/>
        <w:rPr>
          <w:rFonts w:ascii="Fira Sans" w:hAnsi="Fira Sans"/>
          <w:sz w:val="28"/>
          <w:szCs w:val="28"/>
        </w:rPr>
      </w:pPr>
      <w:r w:rsidRPr="00FD60A7">
        <w:rPr>
          <w:rFonts w:ascii="Fira Sans" w:hAnsi="Fira Sans"/>
          <w:sz w:val="28"/>
          <w:szCs w:val="28"/>
        </w:rPr>
        <w:lastRenderedPageBreak/>
        <w:t>W</w:t>
      </w:r>
      <w:r w:rsidR="000A20D7" w:rsidRPr="00FD60A7">
        <w:rPr>
          <w:rFonts w:ascii="Fira Sans" w:hAnsi="Fira Sans"/>
          <w:sz w:val="28"/>
          <w:szCs w:val="28"/>
        </w:rPr>
        <w:t>prowadzenie</w:t>
      </w:r>
      <w:bookmarkEnd w:id="3"/>
    </w:p>
    <w:p w:rsidR="000A20D7" w:rsidRPr="00FD60A7" w:rsidRDefault="000A20D7" w:rsidP="000A20D7">
      <w:pPr>
        <w:spacing w:before="120" w:after="120" w:line="360" w:lineRule="auto"/>
        <w:ind w:firstLine="709"/>
        <w:jc w:val="both"/>
        <w:rPr>
          <w:rFonts w:ascii="Fira Sans" w:hAnsi="Fira Sans" w:cs="Times New Roman"/>
          <w:sz w:val="19"/>
          <w:szCs w:val="19"/>
        </w:rPr>
      </w:pPr>
      <w:r w:rsidRPr="00FD60A7">
        <w:rPr>
          <w:rFonts w:ascii="Fira Sans" w:hAnsi="Fira Sans" w:cs="Times New Roman"/>
          <w:sz w:val="19"/>
          <w:szCs w:val="19"/>
        </w:rPr>
        <w:t>Opracowanie niniejsze zawiera informacj</w:t>
      </w:r>
      <w:r w:rsidR="00105ABD" w:rsidRPr="00FD60A7">
        <w:rPr>
          <w:rFonts w:ascii="Fira Sans" w:hAnsi="Fira Sans" w:cs="Times New Roman"/>
          <w:sz w:val="19"/>
          <w:szCs w:val="19"/>
        </w:rPr>
        <w:t>ę</w:t>
      </w:r>
      <w:r w:rsidRPr="00FD60A7">
        <w:rPr>
          <w:rFonts w:ascii="Fira Sans" w:hAnsi="Fira Sans" w:cs="Times New Roman"/>
          <w:sz w:val="19"/>
          <w:szCs w:val="19"/>
        </w:rPr>
        <w:t xml:space="preserve"> o osobach starszych przygotowaną w</w:t>
      </w:r>
      <w:r w:rsidR="00105ABD" w:rsidRPr="00FD60A7">
        <w:rPr>
          <w:rFonts w:ascii="Fira Sans" w:hAnsi="Fira Sans" w:cs="Times New Roman"/>
          <w:sz w:val="19"/>
          <w:szCs w:val="19"/>
        </w:rPr>
        <w:t> </w:t>
      </w:r>
      <w:r w:rsidR="00FD60A7">
        <w:rPr>
          <w:rFonts w:ascii="Fira Sans" w:hAnsi="Fira Sans" w:cs="Times New Roman"/>
          <w:sz w:val="19"/>
          <w:szCs w:val="19"/>
        </w:rPr>
        <w:t>oparciu o </w:t>
      </w:r>
      <w:r w:rsidRPr="00FD60A7">
        <w:rPr>
          <w:rFonts w:ascii="Fira Sans" w:hAnsi="Fira Sans" w:cs="Times New Roman"/>
          <w:sz w:val="19"/>
          <w:szCs w:val="19"/>
        </w:rPr>
        <w:t xml:space="preserve">najnowsze dostępne wyniki badań prowadzonych przez </w:t>
      </w:r>
      <w:r w:rsidR="00312FFF" w:rsidRPr="00FD60A7">
        <w:rPr>
          <w:rFonts w:ascii="Fira Sans" w:hAnsi="Fira Sans" w:cs="Times New Roman"/>
          <w:sz w:val="19"/>
          <w:szCs w:val="19"/>
        </w:rPr>
        <w:t xml:space="preserve">Główny Urząd Statystyczny </w:t>
      </w:r>
      <w:r w:rsidRPr="00FD60A7">
        <w:rPr>
          <w:rFonts w:ascii="Fira Sans" w:hAnsi="Fira Sans" w:cs="Times New Roman"/>
          <w:sz w:val="19"/>
          <w:szCs w:val="19"/>
        </w:rPr>
        <w:t xml:space="preserve">w ramach Programu </w:t>
      </w:r>
      <w:r w:rsidR="00A00595" w:rsidRPr="00FD60A7">
        <w:rPr>
          <w:rFonts w:ascii="Fira Sans" w:hAnsi="Fira Sans" w:cs="Times New Roman"/>
          <w:sz w:val="19"/>
          <w:szCs w:val="19"/>
        </w:rPr>
        <w:t>b</w:t>
      </w:r>
      <w:r w:rsidRPr="00FD60A7">
        <w:rPr>
          <w:rFonts w:ascii="Fira Sans" w:hAnsi="Fira Sans" w:cs="Times New Roman"/>
          <w:sz w:val="19"/>
          <w:szCs w:val="19"/>
        </w:rPr>
        <w:t xml:space="preserve">adań </w:t>
      </w:r>
      <w:r w:rsidR="00A00595" w:rsidRPr="00FD60A7">
        <w:rPr>
          <w:rFonts w:ascii="Fira Sans" w:hAnsi="Fira Sans" w:cs="Times New Roman"/>
          <w:sz w:val="19"/>
          <w:szCs w:val="19"/>
        </w:rPr>
        <w:t>s</w:t>
      </w:r>
      <w:r w:rsidRPr="00FD60A7">
        <w:rPr>
          <w:rFonts w:ascii="Fira Sans" w:hAnsi="Fira Sans" w:cs="Times New Roman"/>
          <w:sz w:val="19"/>
          <w:szCs w:val="19"/>
        </w:rPr>
        <w:t xml:space="preserve">tatystycznych </w:t>
      </w:r>
      <w:r w:rsidR="00A00595" w:rsidRPr="00FD60A7">
        <w:rPr>
          <w:rFonts w:ascii="Fira Sans" w:hAnsi="Fira Sans" w:cs="Times New Roman"/>
          <w:sz w:val="19"/>
          <w:szCs w:val="19"/>
        </w:rPr>
        <w:t>s</w:t>
      </w:r>
      <w:r w:rsidRPr="00FD60A7">
        <w:rPr>
          <w:rFonts w:ascii="Fira Sans" w:hAnsi="Fira Sans" w:cs="Times New Roman"/>
          <w:sz w:val="19"/>
          <w:szCs w:val="19"/>
        </w:rPr>
        <w:t xml:space="preserve">tatystyki </w:t>
      </w:r>
      <w:r w:rsidR="00A00595" w:rsidRPr="00FD60A7">
        <w:rPr>
          <w:rFonts w:ascii="Fira Sans" w:hAnsi="Fira Sans" w:cs="Times New Roman"/>
          <w:sz w:val="19"/>
          <w:szCs w:val="19"/>
        </w:rPr>
        <w:t>p</w:t>
      </w:r>
      <w:r w:rsidRPr="00FD60A7">
        <w:rPr>
          <w:rFonts w:ascii="Fira Sans" w:hAnsi="Fira Sans" w:cs="Times New Roman"/>
          <w:sz w:val="19"/>
          <w:szCs w:val="19"/>
        </w:rPr>
        <w:t xml:space="preserve">ublicznej bądź w oparciu o dane zbiorcze opracowywane w GUS na podstawie sprawozdawczości resortowej. Tekst analityczny został </w:t>
      </w:r>
      <w:r w:rsidR="00914122" w:rsidRPr="00FD60A7">
        <w:rPr>
          <w:rFonts w:ascii="Fira Sans" w:hAnsi="Fira Sans" w:cs="Times New Roman"/>
          <w:sz w:val="19"/>
          <w:szCs w:val="19"/>
        </w:rPr>
        <w:t xml:space="preserve">uzupełniony </w:t>
      </w:r>
      <w:r w:rsidRPr="00FD60A7">
        <w:rPr>
          <w:rFonts w:ascii="Fira Sans" w:hAnsi="Fira Sans" w:cs="Times New Roman"/>
          <w:sz w:val="19"/>
          <w:szCs w:val="19"/>
        </w:rPr>
        <w:t>aneksem tabelarycznym.</w:t>
      </w:r>
    </w:p>
    <w:p w:rsidR="000A20D7" w:rsidRPr="00FD60A7" w:rsidRDefault="000A20D7" w:rsidP="000A20D7">
      <w:pPr>
        <w:spacing w:before="120" w:after="120" w:line="360" w:lineRule="auto"/>
        <w:ind w:firstLine="709"/>
        <w:jc w:val="both"/>
        <w:rPr>
          <w:rFonts w:ascii="Fira Sans" w:hAnsi="Fira Sans" w:cs="Times New Roman"/>
          <w:sz w:val="19"/>
          <w:szCs w:val="19"/>
        </w:rPr>
      </w:pPr>
      <w:r w:rsidRPr="00FD60A7">
        <w:rPr>
          <w:rFonts w:ascii="Fira Sans" w:hAnsi="Fira Sans" w:cs="Times New Roman"/>
          <w:sz w:val="19"/>
          <w:szCs w:val="19"/>
        </w:rPr>
        <w:t xml:space="preserve">Dane opracowane zostały </w:t>
      </w:r>
      <w:r w:rsidR="00110C72" w:rsidRPr="00FD60A7">
        <w:rPr>
          <w:rFonts w:ascii="Fira Sans" w:hAnsi="Fira Sans" w:cs="Times New Roman"/>
          <w:sz w:val="19"/>
          <w:szCs w:val="19"/>
        </w:rPr>
        <w:t>na podstawie</w:t>
      </w:r>
      <w:r w:rsidRPr="00FD60A7">
        <w:rPr>
          <w:rFonts w:ascii="Fira Sans" w:hAnsi="Fira Sans" w:cs="Times New Roman"/>
          <w:sz w:val="19"/>
          <w:szCs w:val="19"/>
        </w:rPr>
        <w:t xml:space="preserve"> wynik</w:t>
      </w:r>
      <w:r w:rsidR="00110C72" w:rsidRPr="00FD60A7">
        <w:rPr>
          <w:rFonts w:ascii="Fira Sans" w:hAnsi="Fira Sans" w:cs="Times New Roman"/>
          <w:sz w:val="19"/>
          <w:szCs w:val="19"/>
        </w:rPr>
        <w:t>ów</w:t>
      </w:r>
      <w:r w:rsidRPr="00FD60A7">
        <w:rPr>
          <w:rFonts w:ascii="Fira Sans" w:hAnsi="Fira Sans" w:cs="Times New Roman"/>
          <w:sz w:val="19"/>
          <w:szCs w:val="19"/>
        </w:rPr>
        <w:t xml:space="preserve"> sprawozdawczości bieżącej oraz badań ankietowych. Dodatkowo informacje demograficzne zostały wzbogacone o wyniki Narodowego Spisu Powszechnego 2011 i prognozy demograficzne</w:t>
      </w:r>
      <w:r w:rsidR="0034339F">
        <w:rPr>
          <w:rFonts w:ascii="Fira Sans" w:hAnsi="Fira Sans" w:cs="Times New Roman"/>
          <w:sz w:val="19"/>
          <w:szCs w:val="19"/>
        </w:rPr>
        <w:t>j</w:t>
      </w:r>
      <w:r w:rsidR="00110C72" w:rsidRPr="00FD60A7">
        <w:rPr>
          <w:rFonts w:ascii="Fira Sans" w:hAnsi="Fira Sans" w:cs="Times New Roman"/>
          <w:sz w:val="19"/>
          <w:szCs w:val="19"/>
        </w:rPr>
        <w:t xml:space="preserve"> na lata 2014-2050.</w:t>
      </w:r>
      <w:r w:rsidRPr="00FD60A7">
        <w:rPr>
          <w:rFonts w:ascii="Fira Sans" w:hAnsi="Fira Sans" w:cs="Times New Roman"/>
          <w:sz w:val="19"/>
          <w:szCs w:val="19"/>
        </w:rPr>
        <w:t xml:space="preserve"> </w:t>
      </w:r>
    </w:p>
    <w:p w:rsidR="000A20D7" w:rsidRPr="00FD60A7" w:rsidRDefault="00110C72" w:rsidP="000A20D7">
      <w:pPr>
        <w:spacing w:before="120" w:after="120" w:line="360" w:lineRule="auto"/>
        <w:ind w:firstLine="709"/>
        <w:jc w:val="both"/>
        <w:rPr>
          <w:rFonts w:ascii="Fira Sans" w:hAnsi="Fira Sans" w:cs="Times New Roman"/>
          <w:sz w:val="19"/>
          <w:szCs w:val="19"/>
        </w:rPr>
      </w:pPr>
      <w:r w:rsidRPr="00FD60A7">
        <w:rPr>
          <w:rFonts w:ascii="Fira Sans" w:hAnsi="Fira Sans" w:cs="Times New Roman"/>
          <w:sz w:val="19"/>
          <w:szCs w:val="19"/>
        </w:rPr>
        <w:t>Stosownie do zapisów ustawy o osobach starszych p</w:t>
      </w:r>
      <w:r w:rsidR="000A20D7" w:rsidRPr="00FD60A7">
        <w:rPr>
          <w:rFonts w:ascii="Fira Sans" w:hAnsi="Fira Sans" w:cs="Times New Roman"/>
          <w:sz w:val="19"/>
          <w:szCs w:val="19"/>
        </w:rPr>
        <w:t>rezentowane dane demograficzne oraz wyniki badań ankietowych dotyczą osób w</w:t>
      </w:r>
      <w:r w:rsidR="00105ABD" w:rsidRPr="00FD60A7">
        <w:rPr>
          <w:rFonts w:ascii="Fira Sans" w:hAnsi="Fira Sans" w:cs="Times New Roman"/>
          <w:sz w:val="19"/>
          <w:szCs w:val="19"/>
        </w:rPr>
        <w:t> </w:t>
      </w:r>
      <w:r w:rsidR="000A20D7" w:rsidRPr="00FD60A7">
        <w:rPr>
          <w:rFonts w:ascii="Fira Sans" w:hAnsi="Fira Sans" w:cs="Times New Roman"/>
          <w:sz w:val="19"/>
          <w:szCs w:val="19"/>
        </w:rPr>
        <w:t xml:space="preserve">wieku 60 lat i więcej. </w:t>
      </w:r>
      <w:r w:rsidRPr="00FD60A7">
        <w:rPr>
          <w:rFonts w:ascii="Fira Sans" w:hAnsi="Fira Sans" w:cs="Times New Roman"/>
          <w:sz w:val="19"/>
          <w:szCs w:val="19"/>
        </w:rPr>
        <w:t>Z kolei w</w:t>
      </w:r>
      <w:r w:rsidR="000A20D7" w:rsidRPr="00FD60A7">
        <w:rPr>
          <w:rFonts w:ascii="Fira Sans" w:hAnsi="Fira Sans" w:cs="Times New Roman"/>
          <w:sz w:val="19"/>
          <w:szCs w:val="19"/>
        </w:rPr>
        <w:t>yniki sprawozdawczoś</w:t>
      </w:r>
      <w:r w:rsidRPr="00FD60A7">
        <w:rPr>
          <w:rFonts w:ascii="Fira Sans" w:hAnsi="Fira Sans" w:cs="Times New Roman"/>
          <w:sz w:val="19"/>
          <w:szCs w:val="19"/>
        </w:rPr>
        <w:t>ci bieżącej</w:t>
      </w:r>
      <w:r w:rsidR="000A20D7" w:rsidRPr="00FD60A7">
        <w:rPr>
          <w:rFonts w:ascii="Fira Sans" w:hAnsi="Fira Sans" w:cs="Times New Roman"/>
          <w:sz w:val="19"/>
          <w:szCs w:val="19"/>
        </w:rPr>
        <w:t xml:space="preserve"> obejmują grupę wieku wyodrębnioną na sprawozdaniach, najbliższą grupie określonej w</w:t>
      </w:r>
      <w:r w:rsidR="00312FFF" w:rsidRPr="00FD60A7">
        <w:rPr>
          <w:rFonts w:ascii="Fira Sans" w:hAnsi="Fira Sans" w:cs="Times New Roman"/>
          <w:sz w:val="19"/>
          <w:szCs w:val="19"/>
        </w:rPr>
        <w:t xml:space="preserve"> ustawie</w:t>
      </w:r>
      <w:r w:rsidR="000A20D7" w:rsidRPr="00FD60A7">
        <w:rPr>
          <w:rFonts w:ascii="Fira Sans" w:hAnsi="Fira Sans" w:cs="Times New Roman"/>
          <w:sz w:val="19"/>
          <w:szCs w:val="19"/>
        </w:rPr>
        <w:t xml:space="preserve">. Dla lepszego zobrazowania sytuacji omawianej </w:t>
      </w:r>
      <w:r w:rsidRPr="00FD60A7">
        <w:rPr>
          <w:rFonts w:ascii="Fira Sans" w:hAnsi="Fira Sans" w:cs="Times New Roman"/>
          <w:sz w:val="19"/>
          <w:szCs w:val="19"/>
        </w:rPr>
        <w:t>zbiorowości</w:t>
      </w:r>
      <w:r w:rsidR="000A20D7" w:rsidRPr="00FD60A7">
        <w:rPr>
          <w:rFonts w:ascii="Fira Sans" w:hAnsi="Fira Sans" w:cs="Times New Roman"/>
          <w:sz w:val="19"/>
          <w:szCs w:val="19"/>
        </w:rPr>
        <w:t xml:space="preserve">, informacje przedstawiono na tle </w:t>
      </w:r>
      <w:r w:rsidRPr="00FD60A7">
        <w:rPr>
          <w:rFonts w:ascii="Fira Sans" w:hAnsi="Fira Sans" w:cs="Times New Roman"/>
          <w:sz w:val="19"/>
          <w:szCs w:val="19"/>
        </w:rPr>
        <w:t>populacji ogółem</w:t>
      </w:r>
      <w:r w:rsidR="000A20D7" w:rsidRPr="00FD60A7">
        <w:rPr>
          <w:rFonts w:ascii="Fira Sans" w:hAnsi="Fira Sans" w:cs="Times New Roman"/>
          <w:sz w:val="19"/>
          <w:szCs w:val="19"/>
        </w:rPr>
        <w:t xml:space="preserve"> bądź zestawiono je z </w:t>
      </w:r>
      <w:r w:rsidR="00F424C1" w:rsidRPr="00FD60A7">
        <w:rPr>
          <w:rFonts w:ascii="Fira Sans" w:hAnsi="Fira Sans" w:cs="Times New Roman"/>
          <w:sz w:val="19"/>
          <w:szCs w:val="19"/>
        </w:rPr>
        <w:t xml:space="preserve">osobami </w:t>
      </w:r>
      <w:r w:rsidR="000A20D7" w:rsidRPr="00FD60A7">
        <w:rPr>
          <w:rFonts w:ascii="Fira Sans" w:hAnsi="Fira Sans" w:cs="Times New Roman"/>
          <w:sz w:val="19"/>
          <w:szCs w:val="19"/>
        </w:rPr>
        <w:t>w wieku poniżej 60 lat. Niekiedy w grupie osób starszych wyodrębniono dodatkowe kategorie wieku.</w:t>
      </w:r>
    </w:p>
    <w:p w:rsidR="00177D6F" w:rsidRPr="00FD60A7" w:rsidRDefault="00177D6F" w:rsidP="000A20D7">
      <w:pPr>
        <w:spacing w:before="120" w:after="120" w:line="360" w:lineRule="auto"/>
        <w:ind w:firstLine="709"/>
        <w:jc w:val="both"/>
        <w:rPr>
          <w:rFonts w:ascii="Fira Sans" w:hAnsi="Fira Sans" w:cs="Times New Roman"/>
          <w:sz w:val="19"/>
          <w:szCs w:val="19"/>
        </w:rPr>
      </w:pPr>
      <w:r w:rsidRPr="00FD60A7">
        <w:rPr>
          <w:rFonts w:ascii="Fira Sans" w:hAnsi="Fira Sans" w:cs="Times New Roman"/>
          <w:sz w:val="19"/>
          <w:szCs w:val="19"/>
        </w:rPr>
        <w:t xml:space="preserve">Z uwagi na zaokrąglenia przedstawione w tablicach dane </w:t>
      </w:r>
      <w:r w:rsidR="0034339F">
        <w:rPr>
          <w:rFonts w:ascii="Fira Sans" w:hAnsi="Fira Sans" w:cs="Times New Roman"/>
          <w:sz w:val="19"/>
          <w:szCs w:val="19"/>
        </w:rPr>
        <w:t xml:space="preserve">według wyszczególnionych przekrojów </w:t>
      </w:r>
      <w:r w:rsidRPr="00FD60A7">
        <w:rPr>
          <w:rFonts w:ascii="Fira Sans" w:hAnsi="Fira Sans" w:cs="Times New Roman"/>
          <w:sz w:val="19"/>
          <w:szCs w:val="19"/>
        </w:rPr>
        <w:t>mogą się nie sumować</w:t>
      </w:r>
      <w:r w:rsidR="0034339F">
        <w:rPr>
          <w:rFonts w:ascii="Fira Sans" w:hAnsi="Fira Sans" w:cs="Times New Roman"/>
          <w:sz w:val="19"/>
          <w:szCs w:val="19"/>
        </w:rPr>
        <w:t xml:space="preserve"> na w</w:t>
      </w:r>
      <w:r w:rsidR="00D7367D">
        <w:rPr>
          <w:rFonts w:ascii="Fira Sans" w:hAnsi="Fira Sans" w:cs="Times New Roman"/>
          <w:sz w:val="19"/>
          <w:szCs w:val="19"/>
        </w:rPr>
        <w:t>ielko</w:t>
      </w:r>
      <w:r w:rsidR="0034339F">
        <w:rPr>
          <w:rFonts w:ascii="Fira Sans" w:hAnsi="Fira Sans" w:cs="Times New Roman"/>
          <w:sz w:val="19"/>
          <w:szCs w:val="19"/>
        </w:rPr>
        <w:t>ści ogółem</w:t>
      </w:r>
      <w:r w:rsidRPr="00FD60A7">
        <w:rPr>
          <w:rFonts w:ascii="Fira Sans" w:hAnsi="Fira Sans" w:cs="Times New Roman"/>
          <w:sz w:val="19"/>
          <w:szCs w:val="19"/>
        </w:rPr>
        <w:t>.</w:t>
      </w:r>
    </w:p>
    <w:p w:rsidR="000A20D7" w:rsidRPr="000D1535" w:rsidRDefault="000A20D7" w:rsidP="000A20D7">
      <w:pPr>
        <w:spacing w:before="120" w:after="120" w:line="360" w:lineRule="auto"/>
        <w:ind w:firstLine="709"/>
        <w:jc w:val="both"/>
        <w:rPr>
          <w:rFonts w:ascii="Times New Roman" w:hAnsi="Times New Roman" w:cs="Times New Roman"/>
          <w:sz w:val="24"/>
          <w:szCs w:val="24"/>
        </w:rPr>
      </w:pPr>
    </w:p>
    <w:p w:rsidR="006F6437" w:rsidRPr="000D1535" w:rsidRDefault="006F6437" w:rsidP="000A20D7">
      <w:pPr>
        <w:spacing w:before="120" w:after="120" w:line="360" w:lineRule="auto"/>
        <w:ind w:firstLine="709"/>
        <w:jc w:val="both"/>
        <w:rPr>
          <w:rFonts w:ascii="Times New Roman" w:hAnsi="Times New Roman" w:cs="Times New Roman"/>
          <w:sz w:val="24"/>
          <w:szCs w:val="24"/>
        </w:rPr>
      </w:pPr>
      <w:r w:rsidRPr="000D1535">
        <w:rPr>
          <w:rFonts w:ascii="Times New Roman" w:hAnsi="Times New Roman" w:cs="Times New Roman"/>
          <w:sz w:val="24"/>
          <w:szCs w:val="24"/>
        </w:rPr>
        <w:br w:type="page"/>
      </w:r>
      <w:bookmarkStart w:id="4" w:name="_GoBack"/>
      <w:bookmarkEnd w:id="4"/>
    </w:p>
    <w:p w:rsidR="006E300C" w:rsidRPr="00FD60A7" w:rsidRDefault="006E300C" w:rsidP="006E300C">
      <w:pPr>
        <w:pStyle w:val="Default"/>
        <w:pageBreakBefore/>
        <w:spacing w:line="360" w:lineRule="auto"/>
        <w:jc w:val="both"/>
        <w:rPr>
          <w:rFonts w:ascii="Fira Sans" w:hAnsi="Fira Sans" w:cs="Calibri Light"/>
          <w:color w:val="0070C0"/>
          <w:sz w:val="28"/>
          <w:szCs w:val="28"/>
        </w:rPr>
      </w:pPr>
      <w:bookmarkStart w:id="5" w:name="_Toc456009373"/>
      <w:r w:rsidRPr="00FD60A7">
        <w:rPr>
          <w:rFonts w:ascii="Fira Sans" w:hAnsi="Fira Sans" w:cs="Calibri Light"/>
          <w:color w:val="0070C0"/>
          <w:sz w:val="28"/>
          <w:szCs w:val="28"/>
        </w:rPr>
        <w:lastRenderedPageBreak/>
        <w:t>Liczba i struktura ludności w 2017 roku</w:t>
      </w:r>
      <w:r w:rsidRPr="00FD60A7">
        <w:rPr>
          <w:rStyle w:val="Odwoanieprzypisudolnego"/>
          <w:rFonts w:ascii="Fira Sans" w:hAnsi="Fira Sans" w:cs="Calibri Light"/>
          <w:color w:val="0070C0"/>
          <w:sz w:val="28"/>
          <w:szCs w:val="28"/>
        </w:rPr>
        <w:footnoteReference w:id="1"/>
      </w:r>
    </w:p>
    <w:p w:rsidR="006E300C" w:rsidRPr="00FD60A7" w:rsidRDefault="006E300C" w:rsidP="006E300C">
      <w:pPr>
        <w:pStyle w:val="Default"/>
        <w:spacing w:line="360" w:lineRule="auto"/>
        <w:ind w:firstLine="709"/>
        <w:jc w:val="both"/>
        <w:rPr>
          <w:rFonts w:ascii="Fira Sans" w:hAnsi="Fira Sans" w:cs="Times New Roman"/>
          <w:color w:val="auto"/>
          <w:sz w:val="19"/>
          <w:szCs w:val="19"/>
        </w:rPr>
      </w:pPr>
      <w:r w:rsidRPr="00FD60A7">
        <w:rPr>
          <w:rFonts w:ascii="Fira Sans" w:hAnsi="Fira Sans" w:cs="Times New Roman"/>
          <w:color w:val="auto"/>
          <w:sz w:val="19"/>
          <w:szCs w:val="19"/>
        </w:rPr>
        <w:t xml:space="preserve">W okresie minionych 30 lat obserwujemy w Polsce spowolnienie rozwoju demograficznego oraz znaczące zmiany w strukturze wieku jej mieszkańców. Trwający proces starzenia się ludności Polski będący wynikiem korzystnego zjawiska, jakim jest wydłużanie </w:t>
      </w:r>
      <w:r w:rsidR="00BB2C17" w:rsidRPr="00FD60A7">
        <w:rPr>
          <w:rFonts w:ascii="Fira Sans" w:hAnsi="Fira Sans" w:cs="Times New Roman"/>
          <w:color w:val="auto"/>
          <w:sz w:val="19"/>
          <w:szCs w:val="19"/>
        </w:rPr>
        <w:t>s</w:t>
      </w:r>
      <w:r w:rsidRPr="00FD60A7">
        <w:rPr>
          <w:rFonts w:ascii="Fira Sans" w:hAnsi="Fira Sans" w:cs="Times New Roman"/>
          <w:color w:val="auto"/>
          <w:sz w:val="19"/>
          <w:szCs w:val="19"/>
        </w:rPr>
        <w:t xml:space="preserve">ię trwania życia, jest pogłębiany niskim poziomem dzietności. </w:t>
      </w:r>
    </w:p>
    <w:p w:rsidR="006E300C" w:rsidRPr="00FD60A7" w:rsidRDefault="006E300C" w:rsidP="006E300C">
      <w:pPr>
        <w:pStyle w:val="Default"/>
        <w:spacing w:line="360" w:lineRule="auto"/>
        <w:ind w:firstLine="709"/>
        <w:jc w:val="both"/>
        <w:rPr>
          <w:rFonts w:ascii="Fira Sans" w:hAnsi="Fira Sans" w:cs="Times New Roman"/>
          <w:color w:val="auto"/>
          <w:sz w:val="19"/>
          <w:szCs w:val="19"/>
        </w:rPr>
      </w:pPr>
      <w:r w:rsidRPr="00FD60A7">
        <w:rPr>
          <w:rFonts w:ascii="Fira Sans" w:hAnsi="Fira Sans" w:cs="Times New Roman"/>
          <w:color w:val="auto"/>
          <w:sz w:val="19"/>
          <w:szCs w:val="19"/>
        </w:rPr>
        <w:t>W końcu 2017 r. liczba ludności Polski wyniosła 38,4 mln, w ty</w:t>
      </w:r>
      <w:r w:rsidR="00FD60A7">
        <w:rPr>
          <w:rFonts w:ascii="Fira Sans" w:hAnsi="Fira Sans" w:cs="Times New Roman"/>
          <w:color w:val="auto"/>
          <w:sz w:val="19"/>
          <w:szCs w:val="19"/>
        </w:rPr>
        <w:t>m ponad 9 mln stanowiły osoby w </w:t>
      </w:r>
      <w:r w:rsidRPr="00FD60A7">
        <w:rPr>
          <w:rFonts w:ascii="Fira Sans" w:hAnsi="Fira Sans" w:cs="Times New Roman"/>
          <w:color w:val="auto"/>
          <w:sz w:val="19"/>
          <w:szCs w:val="19"/>
        </w:rPr>
        <w:t>wieku 60 lat i więcej (ponad 24%). W latach 1989-2016 liczba osób w star</w:t>
      </w:r>
      <w:r w:rsidR="00FD60A7">
        <w:rPr>
          <w:rFonts w:ascii="Fira Sans" w:hAnsi="Fira Sans" w:cs="Times New Roman"/>
          <w:color w:val="auto"/>
          <w:sz w:val="19"/>
          <w:szCs w:val="19"/>
        </w:rPr>
        <w:t>szym wieku wzrosła o prawie 3,7 </w:t>
      </w:r>
      <w:r w:rsidRPr="00FD60A7">
        <w:rPr>
          <w:rFonts w:ascii="Fira Sans" w:hAnsi="Fira Sans" w:cs="Times New Roman"/>
          <w:color w:val="auto"/>
          <w:sz w:val="19"/>
          <w:szCs w:val="19"/>
        </w:rPr>
        <w:t xml:space="preserve">mln, w tym największy liczebny wzrost - o ponad 0,9 mln - odnotowano dla grupy 60-64 latków. Udział osób w wieku co najmniej 60 lat w ogólnej populacji wzrósł o prawie 10 punktów procentowych, tj. z 14,7% w 1989 r. do  24,2% w 2017 r. (w tym czasie odsetek dzieci i młodzieży zmniejszył się o ok. 12 p. proc.). </w:t>
      </w:r>
    </w:p>
    <w:p w:rsidR="006E300C" w:rsidRPr="00FD60A7" w:rsidRDefault="006E300C" w:rsidP="006E300C">
      <w:pPr>
        <w:pStyle w:val="Default"/>
        <w:spacing w:line="360" w:lineRule="auto"/>
        <w:ind w:firstLine="709"/>
        <w:jc w:val="both"/>
        <w:rPr>
          <w:rFonts w:ascii="Fira Sans" w:hAnsi="Fira Sans" w:cs="Times New Roman"/>
          <w:color w:val="auto"/>
          <w:sz w:val="19"/>
          <w:szCs w:val="19"/>
        </w:rPr>
      </w:pPr>
      <w:r w:rsidRPr="00FD60A7">
        <w:rPr>
          <w:rFonts w:ascii="Fira Sans" w:hAnsi="Fira Sans" w:cs="Times New Roman"/>
          <w:color w:val="auto"/>
          <w:sz w:val="19"/>
          <w:szCs w:val="19"/>
        </w:rPr>
        <w:t>W subpopulacji osób w starszym wieku najliczniejszą grupę (p</w:t>
      </w:r>
      <w:r w:rsidR="00FD60A7">
        <w:rPr>
          <w:rFonts w:ascii="Fira Sans" w:hAnsi="Fira Sans" w:cs="Times New Roman"/>
          <w:color w:val="auto"/>
          <w:sz w:val="19"/>
          <w:szCs w:val="19"/>
        </w:rPr>
        <w:t>rawie 1/3) stanowią osoby 60</w:t>
      </w:r>
      <w:r w:rsidR="00FD60A7">
        <w:rPr>
          <w:rFonts w:ascii="Fira Sans" w:hAnsi="Fira Sans" w:cs="Times New Roman"/>
          <w:color w:val="auto"/>
          <w:sz w:val="19"/>
          <w:szCs w:val="19"/>
        </w:rPr>
        <w:noBreakHyphen/>
        <w:t>64</w:t>
      </w:r>
      <w:r w:rsidR="00FD60A7">
        <w:rPr>
          <w:rFonts w:ascii="Fira Sans" w:hAnsi="Fira Sans" w:cs="Times New Roman"/>
          <w:color w:val="auto"/>
          <w:sz w:val="19"/>
          <w:szCs w:val="19"/>
        </w:rPr>
        <w:noBreakHyphen/>
      </w:r>
      <w:r w:rsidRPr="00FD60A7">
        <w:rPr>
          <w:rFonts w:ascii="Fira Sans" w:hAnsi="Fira Sans" w:cs="Times New Roman"/>
          <w:color w:val="auto"/>
          <w:sz w:val="19"/>
          <w:szCs w:val="19"/>
        </w:rPr>
        <w:t>letnie i  w okresie ostatniego ćwierćwiecza - ich liczebność wzrosła o ponad połowę. Należy zwrócić uwagę, że prawie 18% osób starszych stanowią osoby w wieku co najmniej 80 lat (</w:t>
      </w:r>
      <w:r w:rsidRPr="00FD60A7">
        <w:rPr>
          <w:rFonts w:ascii="Fira Sans" w:hAnsi="Fira Sans" w:cs="Times New Roman"/>
          <w:i/>
          <w:iCs/>
          <w:color w:val="auto"/>
          <w:sz w:val="19"/>
          <w:szCs w:val="19"/>
        </w:rPr>
        <w:t>tabl. 1.1.1</w:t>
      </w:r>
      <w:r w:rsidRPr="00FD60A7">
        <w:rPr>
          <w:rFonts w:ascii="Fira Sans" w:hAnsi="Fira Sans" w:cs="Times New Roman"/>
          <w:color w:val="auto"/>
          <w:sz w:val="19"/>
          <w:szCs w:val="19"/>
        </w:rPr>
        <w:t xml:space="preserve">). </w:t>
      </w:r>
    </w:p>
    <w:p w:rsidR="006E300C" w:rsidRPr="00FD60A7" w:rsidRDefault="006E300C" w:rsidP="006E300C">
      <w:pPr>
        <w:pStyle w:val="Default"/>
        <w:spacing w:line="360" w:lineRule="auto"/>
        <w:ind w:firstLine="709"/>
        <w:jc w:val="both"/>
        <w:rPr>
          <w:rFonts w:ascii="Fira Sans" w:hAnsi="Fira Sans" w:cs="Times New Roman"/>
          <w:color w:val="auto"/>
          <w:sz w:val="19"/>
          <w:szCs w:val="19"/>
        </w:rPr>
      </w:pPr>
      <w:r w:rsidRPr="00FD60A7">
        <w:rPr>
          <w:rFonts w:ascii="Fira Sans" w:hAnsi="Fira Sans" w:cs="Times New Roman"/>
          <w:color w:val="auto"/>
          <w:sz w:val="19"/>
          <w:szCs w:val="19"/>
        </w:rPr>
        <w:t>Wśród populacji osób w starszym wieku większość stanowią kobiety (ponad 58%), na 100 mężczyzn przypada ich 140 (dla całej ludności Polski wskaźnik feminizacji wynosi 107). Rosnący wraz z wiekiem udział kobiet w populacji jest konsekwencją nadumieralności mężczyzn i zróżnicowania parametrów trwania życia – kobiety osiągające wiek 60 lat mają przed sobą o 5 lat więcej dalszego trwania życia niż mężczyźni. Przewaga liczebna kobiet wzrasta wraz z przechodzeniem do kolejny</w:t>
      </w:r>
      <w:r w:rsidR="00FD60A7">
        <w:rPr>
          <w:rFonts w:ascii="Fira Sans" w:hAnsi="Fira Sans" w:cs="Times New Roman"/>
          <w:color w:val="auto"/>
          <w:sz w:val="19"/>
          <w:szCs w:val="19"/>
        </w:rPr>
        <w:t>ch grup podeszłego wieku, np. w </w:t>
      </w:r>
      <w:r w:rsidRPr="00FD60A7">
        <w:rPr>
          <w:rFonts w:ascii="Fira Sans" w:hAnsi="Fira Sans" w:cs="Times New Roman"/>
          <w:color w:val="auto"/>
          <w:sz w:val="19"/>
          <w:szCs w:val="19"/>
        </w:rPr>
        <w:t>grupie 60-64 lata kobiety stanowią ponad 53% zbiorowości i współczynnik feminizacji wy</w:t>
      </w:r>
      <w:r w:rsidR="00FD60A7">
        <w:rPr>
          <w:rFonts w:ascii="Fira Sans" w:hAnsi="Fira Sans" w:cs="Times New Roman"/>
          <w:color w:val="auto"/>
          <w:sz w:val="19"/>
          <w:szCs w:val="19"/>
        </w:rPr>
        <w:t>nosi 114, a </w:t>
      </w:r>
      <w:r w:rsidRPr="00FD60A7">
        <w:rPr>
          <w:rFonts w:ascii="Fira Sans" w:hAnsi="Fira Sans" w:cs="Times New Roman"/>
          <w:color w:val="auto"/>
          <w:sz w:val="19"/>
          <w:szCs w:val="19"/>
        </w:rPr>
        <w:t xml:space="preserve">wśród osób co najmniej 85-letnich już ponad 72% to kobiety i na 100 mężczyzn przypada ich 260 </w:t>
      </w:r>
      <w:r w:rsidR="00FD60A7">
        <w:rPr>
          <w:rFonts w:ascii="Fira Sans" w:hAnsi="Fira Sans" w:cs="Times New Roman"/>
          <w:color w:val="auto"/>
          <w:sz w:val="19"/>
          <w:szCs w:val="19"/>
        </w:rPr>
        <w:t>(w </w:t>
      </w:r>
      <w:r w:rsidRPr="00FD60A7">
        <w:rPr>
          <w:rFonts w:ascii="Fira Sans" w:hAnsi="Fira Sans" w:cs="Times New Roman"/>
          <w:color w:val="auto"/>
          <w:sz w:val="19"/>
          <w:szCs w:val="19"/>
        </w:rPr>
        <w:t>miastach 251, a na wsi 277) (</w:t>
      </w:r>
      <w:r w:rsidRPr="00FD60A7">
        <w:rPr>
          <w:rFonts w:ascii="Fira Sans" w:hAnsi="Fira Sans" w:cs="Times New Roman"/>
          <w:i/>
          <w:iCs/>
          <w:color w:val="auto"/>
          <w:sz w:val="19"/>
          <w:szCs w:val="19"/>
        </w:rPr>
        <w:t>tabl. 1.1.2 i 1.1.3</w:t>
      </w:r>
      <w:r w:rsidRPr="00FD60A7">
        <w:rPr>
          <w:rFonts w:ascii="Fira Sans" w:hAnsi="Fira Sans" w:cs="Times New Roman"/>
          <w:color w:val="auto"/>
          <w:sz w:val="19"/>
          <w:szCs w:val="19"/>
        </w:rPr>
        <w:t>) – od początku lat 90. XX w</w:t>
      </w:r>
      <w:r w:rsidR="00FD60A7">
        <w:rPr>
          <w:rFonts w:ascii="Fira Sans" w:hAnsi="Fira Sans" w:cs="Times New Roman"/>
          <w:color w:val="auto"/>
          <w:sz w:val="19"/>
          <w:szCs w:val="19"/>
        </w:rPr>
        <w:t>ieku parametr ten obniżył się o </w:t>
      </w:r>
      <w:r w:rsidRPr="00FD60A7">
        <w:rPr>
          <w:rFonts w:ascii="Fira Sans" w:hAnsi="Fira Sans" w:cs="Times New Roman"/>
          <w:color w:val="auto"/>
          <w:sz w:val="19"/>
          <w:szCs w:val="19"/>
        </w:rPr>
        <w:t xml:space="preserve">14 p. proc. </w:t>
      </w:r>
    </w:p>
    <w:p w:rsidR="006E300C" w:rsidRPr="00FD60A7" w:rsidRDefault="006E300C" w:rsidP="006E300C">
      <w:pPr>
        <w:pStyle w:val="Default"/>
        <w:spacing w:line="360" w:lineRule="auto"/>
        <w:ind w:firstLine="709"/>
        <w:jc w:val="both"/>
        <w:rPr>
          <w:rFonts w:ascii="Fira Sans" w:hAnsi="Fira Sans" w:cs="Times New Roman"/>
          <w:color w:val="auto"/>
          <w:sz w:val="19"/>
          <w:szCs w:val="19"/>
        </w:rPr>
      </w:pPr>
      <w:r w:rsidRPr="00FD60A7">
        <w:rPr>
          <w:rFonts w:ascii="Fira Sans" w:hAnsi="Fira Sans" w:cs="Times New Roman"/>
          <w:color w:val="auto"/>
          <w:sz w:val="19"/>
          <w:szCs w:val="19"/>
        </w:rPr>
        <w:t>W miastach ludność w starszym wieku stanowi  ponad 26% populacji</w:t>
      </w:r>
      <w:r w:rsidR="00B76882">
        <w:rPr>
          <w:rFonts w:ascii="Fira Sans" w:hAnsi="Fira Sans" w:cs="Times New Roman"/>
          <w:color w:val="auto"/>
          <w:sz w:val="19"/>
          <w:szCs w:val="19"/>
        </w:rPr>
        <w:t>,</w:t>
      </w:r>
      <w:r w:rsidRPr="00FD60A7">
        <w:rPr>
          <w:rFonts w:ascii="Fira Sans" w:hAnsi="Fira Sans" w:cs="Times New Roman"/>
          <w:color w:val="auto"/>
          <w:sz w:val="19"/>
          <w:szCs w:val="19"/>
        </w:rPr>
        <w:t xml:space="preserve"> na terenach wiejskich mieszka ich mniej i stanowią 21% mieszkańców. </w:t>
      </w:r>
    </w:p>
    <w:p w:rsidR="006E300C" w:rsidRPr="00C8096C" w:rsidRDefault="006E300C" w:rsidP="006E300C">
      <w:pPr>
        <w:pStyle w:val="Default"/>
        <w:spacing w:line="360" w:lineRule="auto"/>
        <w:jc w:val="both"/>
        <w:rPr>
          <w:rFonts w:ascii="Fira Sans" w:hAnsi="Fira Sans" w:cs="Times New Roman"/>
          <w:color w:val="auto"/>
          <w:sz w:val="18"/>
          <w:szCs w:val="18"/>
        </w:rPr>
      </w:pPr>
    </w:p>
    <w:p w:rsidR="006E300C" w:rsidRPr="00FD60A7" w:rsidRDefault="006E300C" w:rsidP="006E300C">
      <w:pPr>
        <w:pStyle w:val="Default"/>
        <w:spacing w:line="360" w:lineRule="auto"/>
        <w:jc w:val="both"/>
        <w:rPr>
          <w:rFonts w:ascii="Fira Sans" w:hAnsi="Fira Sans" w:cstheme="majorHAnsi"/>
          <w:color w:val="0070C0"/>
        </w:rPr>
      </w:pPr>
      <w:r w:rsidRPr="00FD60A7">
        <w:rPr>
          <w:rFonts w:ascii="Fira Sans" w:hAnsi="Fira Sans" w:cstheme="majorHAnsi"/>
          <w:color w:val="0070C0"/>
        </w:rPr>
        <w:t>Zgony. Umieralność. Trwanie życia</w:t>
      </w:r>
      <w:r w:rsidRPr="00FD60A7">
        <w:rPr>
          <w:rFonts w:ascii="Fira Sans" w:hAnsi="Fira Sans" w:cstheme="majorHAnsi"/>
          <w:color w:val="0070C0"/>
          <w:vertAlign w:val="superscript"/>
        </w:rPr>
        <w:t xml:space="preserve">1 </w:t>
      </w:r>
    </w:p>
    <w:p w:rsidR="006E300C" w:rsidRPr="00FD60A7" w:rsidRDefault="006E300C" w:rsidP="001E7D7C">
      <w:pPr>
        <w:pStyle w:val="Default"/>
        <w:spacing w:before="120" w:line="360" w:lineRule="auto"/>
        <w:ind w:firstLine="709"/>
        <w:jc w:val="both"/>
        <w:rPr>
          <w:rFonts w:ascii="Fira Sans" w:hAnsi="Fira Sans" w:cs="Times New Roman"/>
          <w:color w:val="auto"/>
          <w:sz w:val="19"/>
          <w:szCs w:val="19"/>
        </w:rPr>
      </w:pPr>
      <w:r w:rsidRPr="00FD60A7">
        <w:rPr>
          <w:rFonts w:ascii="Fira Sans" w:hAnsi="Fira Sans" w:cs="Times New Roman"/>
          <w:color w:val="auto"/>
          <w:sz w:val="19"/>
          <w:szCs w:val="19"/>
        </w:rPr>
        <w:t xml:space="preserve">Wśród 403 tys. osób zmarłych w 2017 roku osoby w wieku 60 lat i więcej stanowiły ponad 84%, natomiast na początku lat 90 - 74%. Wielkość tego wskaźnika jest uwarunkowana nie tylko czynnikami demograficznymi, ale i biologicznymi, tj. zwiększającym się udziałem ludności w starszym wieku w ogólnej populacji Polski, ale także spadkiem częstości zgonów młodszych osób, tj. w wieku poniżej 60 lat. </w:t>
      </w:r>
    </w:p>
    <w:p w:rsidR="006E300C" w:rsidRPr="00FD60A7" w:rsidRDefault="006E300C" w:rsidP="00B3464C">
      <w:pPr>
        <w:pStyle w:val="Default"/>
        <w:spacing w:line="360" w:lineRule="auto"/>
        <w:ind w:firstLine="709"/>
        <w:jc w:val="both"/>
        <w:rPr>
          <w:rFonts w:ascii="Fira Sans" w:hAnsi="Fira Sans" w:cs="Times New Roman"/>
          <w:color w:val="auto"/>
          <w:sz w:val="19"/>
          <w:szCs w:val="19"/>
        </w:rPr>
      </w:pPr>
      <w:r w:rsidRPr="00FD60A7">
        <w:rPr>
          <w:rFonts w:ascii="Fira Sans" w:hAnsi="Fira Sans" w:cs="Times New Roman"/>
          <w:color w:val="auto"/>
          <w:sz w:val="19"/>
          <w:szCs w:val="19"/>
        </w:rPr>
        <w:t>Na przestrzeni ostatnich prawie 30 lat, pomimo wzrostu liczebności subpopulacji w wieku co najmniej 60 lat i tym samym wzrostu liczby zgonów w tej grupie, zdecydowanie zmniejszyło się natężenie umieralności. W 2017 r. współczynnik zgonów</w:t>
      </w:r>
      <w:r w:rsidRPr="00FD60A7">
        <w:rPr>
          <w:rStyle w:val="Odwoanieprzypisudolnego"/>
          <w:rFonts w:ascii="Fira Sans" w:hAnsi="Fira Sans" w:cs="Times New Roman"/>
          <w:color w:val="auto"/>
          <w:sz w:val="19"/>
          <w:szCs w:val="19"/>
        </w:rPr>
        <w:footnoteReference w:id="2"/>
      </w:r>
      <w:r w:rsidRPr="00FD60A7">
        <w:rPr>
          <w:rFonts w:ascii="Fira Sans" w:hAnsi="Fira Sans" w:cs="Times New Roman"/>
          <w:color w:val="auto"/>
          <w:sz w:val="19"/>
          <w:szCs w:val="19"/>
        </w:rPr>
        <w:t xml:space="preserve"> dla całej grupy starszych osób wyniósł 37‰, a w przypadku osób w wieku 85 lat i więcej - 153‰, natomiast w 1990 r. umieralność kształtowała się na poziomie – odpowiednio: 50‰ oraz 202‰ (współczynnik dla całej populacji Polski wynosi </w:t>
      </w:r>
      <w:r w:rsidR="00B76882" w:rsidRPr="00FD60A7">
        <w:rPr>
          <w:rFonts w:ascii="Fira Sans" w:hAnsi="Fira Sans" w:cs="Times New Roman"/>
          <w:color w:val="auto"/>
          <w:sz w:val="19"/>
          <w:szCs w:val="19"/>
        </w:rPr>
        <w:t xml:space="preserve">obecnie </w:t>
      </w:r>
      <w:r w:rsidRPr="00FD60A7">
        <w:rPr>
          <w:rFonts w:ascii="Fira Sans" w:hAnsi="Fira Sans" w:cs="Times New Roman"/>
          <w:color w:val="auto"/>
          <w:sz w:val="19"/>
          <w:szCs w:val="19"/>
        </w:rPr>
        <w:t xml:space="preserve">10,5‰) </w:t>
      </w:r>
      <w:r w:rsidRPr="00FD60A7">
        <w:rPr>
          <w:rFonts w:ascii="Fira Sans" w:hAnsi="Fira Sans" w:cs="Times New Roman"/>
          <w:i/>
          <w:color w:val="auto"/>
          <w:sz w:val="19"/>
          <w:szCs w:val="19"/>
        </w:rPr>
        <w:t>(</w:t>
      </w:r>
      <w:r w:rsidRPr="00FD60A7">
        <w:rPr>
          <w:rFonts w:ascii="Fira Sans" w:hAnsi="Fira Sans" w:cs="Times New Roman"/>
          <w:i/>
          <w:iCs/>
          <w:color w:val="auto"/>
          <w:sz w:val="19"/>
          <w:szCs w:val="19"/>
        </w:rPr>
        <w:t>tabl. 1.2.1</w:t>
      </w:r>
      <w:r w:rsidRPr="00FD60A7">
        <w:rPr>
          <w:rFonts w:ascii="Fira Sans" w:hAnsi="Fira Sans" w:cs="Times New Roman"/>
          <w:i/>
          <w:color w:val="auto"/>
          <w:sz w:val="19"/>
          <w:szCs w:val="19"/>
        </w:rPr>
        <w:t>)</w:t>
      </w:r>
      <w:r w:rsidRPr="00FD60A7">
        <w:rPr>
          <w:rFonts w:ascii="Fira Sans" w:hAnsi="Fira Sans" w:cs="Times New Roman"/>
          <w:color w:val="auto"/>
          <w:sz w:val="19"/>
          <w:szCs w:val="19"/>
        </w:rPr>
        <w:t xml:space="preserve">. </w:t>
      </w:r>
    </w:p>
    <w:p w:rsidR="006E300C" w:rsidRPr="00FD60A7" w:rsidRDefault="006E300C" w:rsidP="00B3464C">
      <w:pPr>
        <w:pStyle w:val="Default"/>
        <w:spacing w:line="360" w:lineRule="auto"/>
        <w:ind w:firstLine="709"/>
        <w:jc w:val="both"/>
        <w:rPr>
          <w:rFonts w:ascii="Fira Sans" w:hAnsi="Fira Sans" w:cs="Times New Roman"/>
          <w:color w:val="auto"/>
          <w:sz w:val="19"/>
          <w:szCs w:val="19"/>
        </w:rPr>
      </w:pPr>
      <w:r w:rsidRPr="00FD60A7">
        <w:rPr>
          <w:rFonts w:ascii="Fira Sans" w:hAnsi="Fira Sans" w:cs="Times New Roman"/>
          <w:color w:val="auto"/>
          <w:sz w:val="19"/>
          <w:szCs w:val="19"/>
        </w:rPr>
        <w:t xml:space="preserve">Dodatkowo, należy podkreślić przesuwanie – wśród osób starszych – największego odsetka zgonów w stronę coraz to starszych grup wieku, co może wskazywać na poprawę stanu zdrowia ludności. </w:t>
      </w:r>
      <w:r w:rsidRPr="00FD60A7">
        <w:rPr>
          <w:rFonts w:ascii="Fira Sans" w:hAnsi="Fira Sans" w:cs="Times New Roman"/>
          <w:color w:val="auto"/>
          <w:sz w:val="19"/>
          <w:szCs w:val="19"/>
        </w:rPr>
        <w:lastRenderedPageBreak/>
        <w:t xml:space="preserve">Na początku lat 90. ub. w. wśród zmarłych osób starszych największy odsetek stanowiły osoby w grupie wieku 80-84 lata, od 2000 r. jest to grupa w wieku 85 lat i więcej. Przedstawione zmiany znajdują odzwierciedlenie w wydłużaniu się przeciętnego dalszego trwania życia ludności. </w:t>
      </w:r>
    </w:p>
    <w:p w:rsidR="006E300C" w:rsidRPr="00FD60A7" w:rsidRDefault="006E300C" w:rsidP="00B3464C">
      <w:pPr>
        <w:pStyle w:val="Default"/>
        <w:spacing w:line="360" w:lineRule="auto"/>
        <w:ind w:firstLine="709"/>
        <w:jc w:val="both"/>
        <w:rPr>
          <w:rFonts w:ascii="Fira Sans" w:hAnsi="Fira Sans" w:cs="Times New Roman"/>
          <w:color w:val="auto"/>
          <w:sz w:val="19"/>
          <w:szCs w:val="19"/>
        </w:rPr>
      </w:pPr>
      <w:r w:rsidRPr="00FD60A7">
        <w:rPr>
          <w:rFonts w:ascii="Fira Sans" w:hAnsi="Fira Sans" w:cs="Times New Roman"/>
          <w:color w:val="auto"/>
          <w:sz w:val="19"/>
          <w:szCs w:val="19"/>
        </w:rPr>
        <w:t xml:space="preserve">Ze starzeniem się najbardziej związane są choroby układu krążenia. W 2016 roku spośród ogólnej liczby zgonów spowodowanych chorobami układu krążenia ponad 90% dotyczyło osób w wieku co najmniej 60 lat. Wśród wszystkich osób starszych zgony kardiologiczne stanowiły blisko połowę zgonów, a wśród kobiet oraz mieszkańców wsi – ponad połowę (51-52%). W przypadku seniorów (85 lat i więcej) – tylko co 3 umiera w wyniku innych przyczyn niż kardiologiczne – szczególnie wśród kobiet oraz mieszkańców wsi. </w:t>
      </w:r>
    </w:p>
    <w:p w:rsidR="006E300C" w:rsidRPr="00FD60A7" w:rsidRDefault="006E300C" w:rsidP="00B3464C">
      <w:pPr>
        <w:pStyle w:val="Default"/>
        <w:spacing w:line="360" w:lineRule="auto"/>
        <w:ind w:firstLine="709"/>
        <w:jc w:val="both"/>
        <w:rPr>
          <w:rFonts w:ascii="Fira Sans" w:hAnsi="Fira Sans" w:cs="Times New Roman"/>
          <w:color w:val="auto"/>
          <w:sz w:val="19"/>
          <w:szCs w:val="19"/>
        </w:rPr>
      </w:pPr>
      <w:r w:rsidRPr="00FD60A7">
        <w:rPr>
          <w:rFonts w:ascii="Fira Sans" w:hAnsi="Fira Sans" w:cs="Times New Roman"/>
          <w:color w:val="auto"/>
          <w:sz w:val="19"/>
          <w:szCs w:val="19"/>
        </w:rPr>
        <w:t>Drugą najczęstszą przyczyną zgonów są nowotwory, w tym nowotwory złośliwe. Ich udział wśród przyczyn umieralności rośnie. W 2016 r. zarówno w całej populacji, jak i w grupie osób starszych co czwarty zgon był spowodowany chorobami nowotworowymi (w 1990 r. było to 18%). Dane Krajowego Rejestru Nowotworów (KRN) wskazują, że obecnie spośród wszystkich wykrywanych nowotworów złośliwych ponad 70% dotyczy osób w wieku co najmniej 60 lat. O skali tego zjawiska może</w:t>
      </w:r>
      <w:r w:rsidR="0032059A">
        <w:rPr>
          <w:rFonts w:ascii="Fira Sans" w:hAnsi="Fira Sans" w:cs="Times New Roman"/>
          <w:color w:val="auto"/>
          <w:sz w:val="19"/>
          <w:szCs w:val="19"/>
        </w:rPr>
        <w:t xml:space="preserve"> świadczyć fakt, że - zgodnie z </w:t>
      </w:r>
      <w:r w:rsidRPr="00FD60A7">
        <w:rPr>
          <w:rFonts w:ascii="Fira Sans" w:hAnsi="Fira Sans" w:cs="Times New Roman"/>
          <w:color w:val="auto"/>
          <w:sz w:val="19"/>
          <w:szCs w:val="19"/>
        </w:rPr>
        <w:t>najnowszymi danymi KRN – w 2015 r. na ponad 163 tys. wszystkich zachorowań na nowotwory ok. 117 tys. przypadków dotyczyło osób w starszym wieku, jest to o blisko 43 tys. więcej niż w 2000 r. Spośród nowotworów najczęściej u osób starszych występuje nowotwór tchawicy, oskrzeli i płuc oraz nowotwory jelita grubego. Inne przyczyny zgonów osób starszych to: cukrzyca, zapalenie płuc, choroby układu moczowo-płciowego (w tym zapalenie nerek), choroba wrzodowa żołądka i dwunastnicy oraz przewlekła choroba wątroby (</w:t>
      </w:r>
      <w:r w:rsidRPr="00FD60A7">
        <w:rPr>
          <w:rFonts w:ascii="Fira Sans" w:hAnsi="Fira Sans" w:cs="Times New Roman"/>
          <w:i/>
          <w:iCs/>
          <w:color w:val="auto"/>
          <w:sz w:val="19"/>
          <w:szCs w:val="19"/>
        </w:rPr>
        <w:t>tabl. 1.2.2</w:t>
      </w:r>
      <w:r w:rsidRPr="00FD60A7">
        <w:rPr>
          <w:rFonts w:ascii="Fira Sans" w:hAnsi="Fira Sans" w:cs="Times New Roman"/>
          <w:color w:val="auto"/>
          <w:sz w:val="19"/>
          <w:szCs w:val="19"/>
        </w:rPr>
        <w:t xml:space="preserve">). </w:t>
      </w:r>
    </w:p>
    <w:p w:rsidR="006E300C" w:rsidRPr="00FD60A7" w:rsidRDefault="006E300C" w:rsidP="00B3464C">
      <w:pPr>
        <w:pStyle w:val="Default"/>
        <w:spacing w:line="360" w:lineRule="auto"/>
        <w:ind w:firstLine="709"/>
        <w:jc w:val="both"/>
        <w:rPr>
          <w:rFonts w:ascii="Fira Sans" w:hAnsi="Fira Sans" w:cs="Times New Roman"/>
          <w:color w:val="auto"/>
          <w:sz w:val="19"/>
          <w:szCs w:val="19"/>
        </w:rPr>
      </w:pPr>
      <w:r w:rsidRPr="00FD60A7">
        <w:rPr>
          <w:rFonts w:ascii="Fira Sans" w:hAnsi="Fira Sans" w:cs="Times New Roman"/>
          <w:color w:val="auto"/>
          <w:sz w:val="19"/>
          <w:szCs w:val="19"/>
        </w:rPr>
        <w:t xml:space="preserve">Struktura i częstość zgonów jest zróżnicowana według płci – zarówno dla całej populacji, jak i dla grupy osób w wieku 60 lat i więcej. Umieralność wśród mężczyzn jest zdecydowanie wyższa niż wśród kobiet i proces ten nasila się wraz z wiekiem. Wśród kobiet częstszą przyczyną zgonu są choroby układu krążenia, natomiast mężczyźni częściej niż kobiety umierają na skutek nowotworów złośliwych. </w:t>
      </w:r>
    </w:p>
    <w:p w:rsidR="006E300C" w:rsidRPr="00C8096C" w:rsidRDefault="006E300C" w:rsidP="006E300C">
      <w:pPr>
        <w:pStyle w:val="Default"/>
        <w:spacing w:line="360" w:lineRule="auto"/>
        <w:jc w:val="both"/>
        <w:rPr>
          <w:rFonts w:ascii="Fira Sans" w:hAnsi="Fira Sans" w:cs="Times New Roman"/>
          <w:color w:val="auto"/>
          <w:sz w:val="18"/>
          <w:szCs w:val="18"/>
        </w:rPr>
      </w:pPr>
    </w:p>
    <w:p w:rsidR="006E300C" w:rsidRPr="0032059A" w:rsidRDefault="006E300C" w:rsidP="006E300C">
      <w:pPr>
        <w:pStyle w:val="Default"/>
        <w:spacing w:line="360" w:lineRule="auto"/>
        <w:jc w:val="both"/>
        <w:rPr>
          <w:rFonts w:ascii="Fira Sans" w:hAnsi="Fira Sans" w:cstheme="majorHAnsi"/>
          <w:color w:val="0070C0"/>
        </w:rPr>
      </w:pPr>
      <w:r w:rsidRPr="0032059A">
        <w:rPr>
          <w:rFonts w:ascii="Fira Sans" w:hAnsi="Fira Sans" w:cstheme="majorHAnsi"/>
          <w:color w:val="0070C0"/>
        </w:rPr>
        <w:t xml:space="preserve">Przeciętne dalsze trwanie życia </w:t>
      </w:r>
    </w:p>
    <w:p w:rsidR="006E300C" w:rsidRPr="0032059A" w:rsidRDefault="006E300C" w:rsidP="0041083C">
      <w:pPr>
        <w:pStyle w:val="Default"/>
        <w:spacing w:line="360" w:lineRule="auto"/>
        <w:ind w:firstLine="709"/>
        <w:jc w:val="both"/>
        <w:rPr>
          <w:rFonts w:ascii="Fira Sans" w:hAnsi="Fira Sans" w:cs="Times New Roman"/>
          <w:color w:val="auto"/>
          <w:sz w:val="19"/>
          <w:szCs w:val="19"/>
        </w:rPr>
      </w:pPr>
      <w:r w:rsidRPr="0032059A">
        <w:rPr>
          <w:rFonts w:ascii="Fira Sans" w:hAnsi="Fira Sans" w:cs="Times New Roman"/>
          <w:color w:val="auto"/>
          <w:sz w:val="19"/>
          <w:szCs w:val="19"/>
        </w:rPr>
        <w:t>Obserwowane w Polsce pozytywne zmiany w natężeniu zgonów są przyczyną - trwającego od  ćwierćwiecza (od 1992 r.) - wzrostu przeciętnego trwania życia. W 2016 r. przeciętne trwanie życia noworodka płci męskiej wynosiło 73,9 lat, natomiast płci żeńskiej 81,9 - odpowiednio o nieco ponad 8 lat i prawie 7 lat więcej niż w 1991 r. (t</w:t>
      </w:r>
      <w:r w:rsidRPr="0032059A">
        <w:rPr>
          <w:rFonts w:ascii="Fira Sans" w:hAnsi="Fira Sans" w:cs="Times New Roman"/>
          <w:i/>
          <w:iCs/>
          <w:color w:val="auto"/>
          <w:sz w:val="19"/>
          <w:szCs w:val="19"/>
        </w:rPr>
        <w:t>abl. 1.2.3</w:t>
      </w:r>
      <w:r w:rsidRPr="0032059A">
        <w:rPr>
          <w:rFonts w:ascii="Fira Sans" w:hAnsi="Fira Sans" w:cs="Times New Roman"/>
          <w:color w:val="auto"/>
          <w:sz w:val="19"/>
          <w:szCs w:val="19"/>
        </w:rPr>
        <w:t xml:space="preserve">). </w:t>
      </w:r>
    </w:p>
    <w:p w:rsidR="006E300C" w:rsidRPr="0032059A" w:rsidRDefault="006E300C" w:rsidP="0041083C">
      <w:pPr>
        <w:spacing w:line="360" w:lineRule="auto"/>
        <w:ind w:firstLine="709"/>
        <w:jc w:val="both"/>
        <w:rPr>
          <w:rFonts w:ascii="Fira Sans" w:hAnsi="Fira Sans" w:cs="Times New Roman"/>
          <w:sz w:val="19"/>
          <w:szCs w:val="19"/>
        </w:rPr>
      </w:pPr>
      <w:r w:rsidRPr="0032059A">
        <w:rPr>
          <w:rFonts w:ascii="Fira Sans" w:hAnsi="Fira Sans" w:cs="Times New Roman"/>
          <w:sz w:val="19"/>
          <w:szCs w:val="19"/>
        </w:rPr>
        <w:t>Korzystne zmiany obserwowane są we wszystkich grupach wieku.</w:t>
      </w:r>
      <w:r w:rsidR="0032059A">
        <w:rPr>
          <w:rFonts w:ascii="Fira Sans" w:hAnsi="Fira Sans" w:cs="Times New Roman"/>
          <w:sz w:val="19"/>
          <w:szCs w:val="19"/>
        </w:rPr>
        <w:t xml:space="preserve"> W Polsce w 2016 r. mężczyzna w </w:t>
      </w:r>
      <w:r w:rsidRPr="0032059A">
        <w:rPr>
          <w:rFonts w:ascii="Fira Sans" w:hAnsi="Fira Sans" w:cs="Times New Roman"/>
          <w:sz w:val="19"/>
          <w:szCs w:val="19"/>
        </w:rPr>
        <w:t>wieku 60 lat miał przed sobą jeszcze – średnio – nieco ponad 19 lat życia, zaś kobieta w tym wieku ponad 24 lata, czyli o 4-5 lat więcej niż w 1991 r. W 2016 r. przeciętne trwanie</w:t>
      </w:r>
      <w:r w:rsidR="0032059A">
        <w:rPr>
          <w:rFonts w:ascii="Fira Sans" w:hAnsi="Fira Sans" w:cs="Times New Roman"/>
          <w:sz w:val="19"/>
          <w:szCs w:val="19"/>
        </w:rPr>
        <w:t xml:space="preserve"> życia mężczyzn zamieszkałych w </w:t>
      </w:r>
      <w:r w:rsidRPr="0032059A">
        <w:rPr>
          <w:rFonts w:ascii="Fira Sans" w:hAnsi="Fira Sans" w:cs="Times New Roman"/>
          <w:sz w:val="19"/>
          <w:szCs w:val="19"/>
        </w:rPr>
        <w:t>miastach wynosiło 74,4 lata, tj. o prawie 1 rok dłużej niż mężczyzn na wsi, natomiast trwanie życia kobiet było wyrównane bez względu na miejsce zamieszkania.</w:t>
      </w:r>
    </w:p>
    <w:p w:rsidR="006E300C" w:rsidRPr="0032059A" w:rsidRDefault="006E300C" w:rsidP="0041083C">
      <w:pPr>
        <w:spacing w:line="360" w:lineRule="auto"/>
        <w:ind w:firstLine="709"/>
        <w:jc w:val="both"/>
        <w:rPr>
          <w:rFonts w:ascii="Fira Sans" w:hAnsi="Fira Sans" w:cs="Times New Roman"/>
          <w:sz w:val="19"/>
          <w:szCs w:val="19"/>
        </w:rPr>
      </w:pPr>
      <w:r w:rsidRPr="0032059A">
        <w:rPr>
          <w:rFonts w:ascii="Fira Sans" w:hAnsi="Fira Sans" w:cs="Times New Roman"/>
          <w:sz w:val="19"/>
          <w:szCs w:val="19"/>
        </w:rPr>
        <w:t xml:space="preserve">Obok długości trwania życia, istotne znaczenie dla jakości życia ma trwanie życia w zdrowiu (średnia liczba lat bez niepełnosprawności). Wyniki badań Eurostatu dotyczące </w:t>
      </w:r>
      <w:r w:rsidRPr="0032059A">
        <w:rPr>
          <w:rFonts w:ascii="Fira Sans" w:hAnsi="Fira Sans" w:cs="Times New Roman"/>
          <w:b/>
          <w:sz w:val="19"/>
          <w:szCs w:val="19"/>
        </w:rPr>
        <w:t>2016 r.</w:t>
      </w:r>
      <w:r w:rsidR="0032059A">
        <w:rPr>
          <w:rFonts w:ascii="Fira Sans" w:hAnsi="Fira Sans" w:cs="Times New Roman"/>
          <w:sz w:val="19"/>
          <w:szCs w:val="19"/>
        </w:rPr>
        <w:t xml:space="preserve"> wskazują, że w </w:t>
      </w:r>
      <w:r w:rsidRPr="0032059A">
        <w:rPr>
          <w:rFonts w:ascii="Fira Sans" w:hAnsi="Fira Sans" w:cs="Times New Roman"/>
          <w:sz w:val="19"/>
          <w:szCs w:val="19"/>
        </w:rPr>
        <w:t xml:space="preserve">Polsce 65-letni mężczyzna ma przed sobą jeszcze średnio około </w:t>
      </w:r>
      <w:r w:rsidRPr="0032059A">
        <w:rPr>
          <w:rFonts w:ascii="Fira Sans" w:hAnsi="Fira Sans" w:cs="Times New Roman"/>
          <w:b/>
          <w:sz w:val="19"/>
          <w:szCs w:val="19"/>
        </w:rPr>
        <w:t>16</w:t>
      </w:r>
      <w:r w:rsidRPr="0032059A">
        <w:rPr>
          <w:rFonts w:ascii="Fira Sans" w:hAnsi="Fira Sans" w:cs="Times New Roman"/>
          <w:sz w:val="19"/>
          <w:szCs w:val="19"/>
        </w:rPr>
        <w:t xml:space="preserve"> lat życia, w tym </w:t>
      </w:r>
      <w:r w:rsidRPr="0032059A">
        <w:rPr>
          <w:rFonts w:ascii="Fira Sans" w:hAnsi="Fira Sans" w:cs="Times New Roman"/>
          <w:b/>
          <w:sz w:val="19"/>
          <w:szCs w:val="19"/>
        </w:rPr>
        <w:t>8,2</w:t>
      </w:r>
      <w:r w:rsidRPr="0032059A">
        <w:rPr>
          <w:rFonts w:ascii="Fira Sans" w:hAnsi="Fira Sans" w:cs="Times New Roman"/>
          <w:sz w:val="19"/>
          <w:szCs w:val="19"/>
        </w:rPr>
        <w:t xml:space="preserve"> </w:t>
      </w:r>
      <w:r w:rsidR="000F5644">
        <w:rPr>
          <w:rFonts w:ascii="Fira Sans" w:hAnsi="Fira Sans" w:cs="Times New Roman"/>
          <w:sz w:val="19"/>
          <w:szCs w:val="19"/>
        </w:rPr>
        <w:t xml:space="preserve"> lat </w:t>
      </w:r>
      <w:r w:rsidRPr="0032059A">
        <w:rPr>
          <w:rFonts w:ascii="Fira Sans" w:hAnsi="Fira Sans" w:cs="Times New Roman"/>
          <w:sz w:val="19"/>
          <w:szCs w:val="19"/>
        </w:rPr>
        <w:t xml:space="preserve">życia w zdrowiu, natomiast kobieta  </w:t>
      </w:r>
      <w:r w:rsidRPr="0032059A">
        <w:rPr>
          <w:rFonts w:ascii="Fira Sans" w:hAnsi="Fira Sans" w:cs="Times New Roman"/>
          <w:b/>
          <w:sz w:val="19"/>
          <w:szCs w:val="19"/>
        </w:rPr>
        <w:t>8,9</w:t>
      </w:r>
      <w:r w:rsidRPr="0032059A">
        <w:rPr>
          <w:rFonts w:ascii="Fira Sans" w:hAnsi="Fira Sans" w:cs="Times New Roman"/>
          <w:sz w:val="19"/>
          <w:szCs w:val="19"/>
        </w:rPr>
        <w:t xml:space="preserve"> lat w zdrowiu z pozostałych jej około </w:t>
      </w:r>
      <w:r w:rsidRPr="0032059A">
        <w:rPr>
          <w:rFonts w:ascii="Fira Sans" w:hAnsi="Fira Sans" w:cs="Times New Roman"/>
          <w:b/>
          <w:sz w:val="19"/>
          <w:szCs w:val="19"/>
        </w:rPr>
        <w:t>20,5</w:t>
      </w:r>
      <w:r w:rsidRPr="0032059A">
        <w:rPr>
          <w:rFonts w:ascii="Fira Sans" w:hAnsi="Fira Sans" w:cs="Times New Roman"/>
          <w:sz w:val="19"/>
          <w:szCs w:val="19"/>
        </w:rPr>
        <w:t xml:space="preserve"> lat życia.</w:t>
      </w:r>
    </w:p>
    <w:p w:rsidR="006E300C" w:rsidRPr="006E300C" w:rsidRDefault="006E300C" w:rsidP="006E300C">
      <w:pPr>
        <w:rPr>
          <w:rFonts w:ascii="Times New Roman" w:hAnsi="Times New Roman" w:cs="Times New Roman"/>
          <w:sz w:val="24"/>
          <w:szCs w:val="24"/>
        </w:rPr>
      </w:pPr>
    </w:p>
    <w:p w:rsidR="00DE6CBA" w:rsidRPr="0032059A" w:rsidRDefault="00DE6CBA" w:rsidP="0041083C">
      <w:pPr>
        <w:pStyle w:val="Nagwek1"/>
        <w:spacing w:before="0" w:line="360" w:lineRule="auto"/>
        <w:rPr>
          <w:rFonts w:ascii="Fira Sans" w:hAnsi="Fira Sans"/>
          <w:sz w:val="24"/>
          <w:szCs w:val="24"/>
          <w:lang w:eastAsia="pl-PL"/>
        </w:rPr>
      </w:pPr>
      <w:bookmarkStart w:id="6" w:name="_Toc456009376"/>
      <w:bookmarkEnd w:id="0"/>
      <w:bookmarkEnd w:id="1"/>
      <w:bookmarkEnd w:id="2"/>
      <w:bookmarkEnd w:id="5"/>
      <w:r w:rsidRPr="0032059A">
        <w:rPr>
          <w:rFonts w:ascii="Fira Sans" w:hAnsi="Fira Sans"/>
          <w:sz w:val="24"/>
          <w:szCs w:val="24"/>
          <w:lang w:eastAsia="pl-PL"/>
        </w:rPr>
        <w:lastRenderedPageBreak/>
        <w:t xml:space="preserve">Stan cywilny </w:t>
      </w:r>
      <w:r w:rsidRPr="0032059A">
        <w:rPr>
          <w:rFonts w:ascii="Fira Sans" w:hAnsi="Fira Sans"/>
          <w:sz w:val="24"/>
          <w:szCs w:val="24"/>
        </w:rPr>
        <w:t>prawny</w:t>
      </w:r>
      <w:r w:rsidR="00AE73EF" w:rsidRPr="0032059A">
        <w:rPr>
          <w:rStyle w:val="Odwoanieprzypisudolnego"/>
          <w:rFonts w:ascii="Fira Sans" w:hAnsi="Fira Sans" w:cs="Times New Roman"/>
          <w:sz w:val="24"/>
          <w:szCs w:val="24"/>
          <w:lang w:eastAsia="pl-PL"/>
        </w:rPr>
        <w:footnoteReference w:id="3"/>
      </w:r>
      <w:bookmarkEnd w:id="6"/>
      <w:r w:rsidRPr="0032059A">
        <w:rPr>
          <w:rFonts w:ascii="Fira Sans" w:hAnsi="Fira Sans"/>
          <w:sz w:val="24"/>
          <w:szCs w:val="24"/>
          <w:lang w:eastAsia="pl-PL"/>
        </w:rPr>
        <w:t xml:space="preserve"> </w:t>
      </w:r>
    </w:p>
    <w:p w:rsidR="00DE6CBA" w:rsidRPr="0032059A" w:rsidRDefault="00DE6CBA" w:rsidP="0041083C">
      <w:pPr>
        <w:spacing w:after="0" w:line="360" w:lineRule="auto"/>
        <w:ind w:firstLine="709"/>
        <w:jc w:val="both"/>
        <w:rPr>
          <w:rFonts w:ascii="Fira Sans" w:eastAsia="Times New Roman" w:hAnsi="Fira Sans" w:cs="Times New Roman"/>
          <w:color w:val="000000" w:themeColor="text1"/>
          <w:sz w:val="19"/>
          <w:szCs w:val="19"/>
          <w:lang w:eastAsia="pl-PL"/>
        </w:rPr>
      </w:pPr>
      <w:r w:rsidRPr="0032059A">
        <w:rPr>
          <w:rFonts w:ascii="Fira Sans" w:eastAsia="Times New Roman" w:hAnsi="Fira Sans" w:cs="Times New Roman"/>
          <w:color w:val="000000" w:themeColor="text1"/>
          <w:sz w:val="19"/>
          <w:szCs w:val="19"/>
          <w:lang w:eastAsia="pl-PL"/>
        </w:rPr>
        <w:t>W strukturze ludności według stanu cywilnego najbardziej liczną grupą są osoby pozostające w</w:t>
      </w:r>
      <w:r w:rsidR="007402E0" w:rsidRPr="0032059A">
        <w:rPr>
          <w:rFonts w:ascii="Fira Sans" w:eastAsia="Times New Roman" w:hAnsi="Fira Sans" w:cs="Times New Roman"/>
          <w:color w:val="000000" w:themeColor="text1"/>
          <w:sz w:val="19"/>
          <w:szCs w:val="19"/>
          <w:lang w:eastAsia="pl-PL"/>
        </w:rPr>
        <w:t> </w:t>
      </w:r>
      <w:r w:rsidRPr="0032059A">
        <w:rPr>
          <w:rFonts w:ascii="Fira Sans" w:eastAsia="Times New Roman" w:hAnsi="Fira Sans" w:cs="Times New Roman"/>
          <w:color w:val="000000" w:themeColor="text1"/>
          <w:sz w:val="19"/>
          <w:szCs w:val="19"/>
          <w:lang w:eastAsia="pl-PL"/>
        </w:rPr>
        <w:t xml:space="preserve">związku małżeńskim, które stanowią nieco ponad połowę całej populacji Polski (56% osób w wieku 15 lat i więcej) – trochę więcej wśród mężczyzn (58%) niż wśród kobiet (54%). Jednakże wraz ze wzrostem wieku tendencja ta ulega </w:t>
      </w:r>
      <w:r w:rsidR="00AE73EF" w:rsidRPr="0032059A">
        <w:rPr>
          <w:rFonts w:ascii="Fira Sans" w:eastAsia="Times New Roman" w:hAnsi="Fira Sans" w:cs="Times New Roman"/>
          <w:color w:val="000000" w:themeColor="text1"/>
          <w:sz w:val="19"/>
          <w:szCs w:val="19"/>
          <w:lang w:eastAsia="pl-PL"/>
        </w:rPr>
        <w:t xml:space="preserve">znaczącym </w:t>
      </w:r>
      <w:r w:rsidRPr="0032059A">
        <w:rPr>
          <w:rFonts w:ascii="Fira Sans" w:eastAsia="Times New Roman" w:hAnsi="Fira Sans" w:cs="Times New Roman"/>
          <w:color w:val="000000" w:themeColor="text1"/>
          <w:sz w:val="19"/>
          <w:szCs w:val="19"/>
          <w:lang w:eastAsia="pl-PL"/>
        </w:rPr>
        <w:t xml:space="preserve">zmianom – wśród osób starszych (60 lat i więcej) w małżeństwie </w:t>
      </w:r>
      <w:r w:rsidR="00105ABD" w:rsidRPr="0032059A">
        <w:rPr>
          <w:rFonts w:ascii="Fira Sans" w:eastAsia="Times New Roman" w:hAnsi="Fira Sans" w:cs="Times New Roman"/>
          <w:color w:val="000000" w:themeColor="text1"/>
          <w:sz w:val="19"/>
          <w:szCs w:val="19"/>
          <w:lang w:eastAsia="pl-PL"/>
        </w:rPr>
        <w:t xml:space="preserve">żyje 78% mężczyzn i </w:t>
      </w:r>
      <w:r w:rsidRPr="0032059A">
        <w:rPr>
          <w:rFonts w:ascii="Fira Sans" w:eastAsia="Times New Roman" w:hAnsi="Fira Sans" w:cs="Times New Roman"/>
          <w:color w:val="000000" w:themeColor="text1"/>
          <w:sz w:val="19"/>
          <w:szCs w:val="19"/>
          <w:lang w:eastAsia="pl-PL"/>
        </w:rPr>
        <w:t>tylko 42% kobiet (</w:t>
      </w:r>
      <w:r w:rsidRPr="0032059A">
        <w:rPr>
          <w:rFonts w:ascii="Fira Sans" w:eastAsia="Times New Roman" w:hAnsi="Fira Sans" w:cs="Times New Roman"/>
          <w:i/>
          <w:color w:val="000000" w:themeColor="text1"/>
          <w:sz w:val="19"/>
          <w:szCs w:val="19"/>
          <w:lang w:eastAsia="pl-PL"/>
        </w:rPr>
        <w:t>tabl. 1.3.1</w:t>
      </w:r>
      <w:r w:rsidRPr="0032059A">
        <w:rPr>
          <w:rFonts w:ascii="Fira Sans" w:eastAsia="Times New Roman" w:hAnsi="Fira Sans" w:cs="Times New Roman"/>
          <w:color w:val="000000" w:themeColor="text1"/>
          <w:sz w:val="19"/>
          <w:szCs w:val="19"/>
          <w:lang w:eastAsia="pl-PL"/>
        </w:rPr>
        <w:t>)</w:t>
      </w:r>
      <w:r w:rsidR="00AE73EF" w:rsidRPr="0032059A">
        <w:rPr>
          <w:rFonts w:ascii="Fira Sans" w:eastAsia="Times New Roman" w:hAnsi="Fira Sans" w:cs="Times New Roman"/>
          <w:color w:val="000000" w:themeColor="text1"/>
          <w:sz w:val="19"/>
          <w:szCs w:val="19"/>
          <w:lang w:eastAsia="pl-PL"/>
        </w:rPr>
        <w:t>.</w:t>
      </w:r>
      <w:r w:rsidRPr="0032059A">
        <w:rPr>
          <w:rFonts w:ascii="Fira Sans" w:eastAsia="Times New Roman" w:hAnsi="Fira Sans" w:cs="Times New Roman"/>
          <w:color w:val="000000" w:themeColor="text1"/>
          <w:sz w:val="19"/>
          <w:szCs w:val="19"/>
          <w:lang w:eastAsia="pl-PL"/>
        </w:rPr>
        <w:t xml:space="preserve"> Wśród osób w</w:t>
      </w:r>
      <w:r w:rsidR="007402E0" w:rsidRPr="0032059A">
        <w:rPr>
          <w:rFonts w:ascii="Fira Sans" w:eastAsia="Times New Roman" w:hAnsi="Fira Sans" w:cs="Times New Roman"/>
          <w:color w:val="000000" w:themeColor="text1"/>
          <w:sz w:val="19"/>
          <w:szCs w:val="19"/>
          <w:lang w:eastAsia="pl-PL"/>
        </w:rPr>
        <w:t> </w:t>
      </w:r>
      <w:r w:rsidRPr="0032059A">
        <w:rPr>
          <w:rFonts w:ascii="Fira Sans" w:eastAsia="Times New Roman" w:hAnsi="Fira Sans" w:cs="Times New Roman"/>
          <w:color w:val="000000" w:themeColor="text1"/>
          <w:sz w:val="19"/>
          <w:szCs w:val="19"/>
          <w:lang w:eastAsia="pl-PL"/>
        </w:rPr>
        <w:t>wieku sędziwym – aż 2/3 to osoby owdowiałe, w tym ponad 90% to samotnie żyjące kobiety. Przedstawione tendencje wynikają ze zjawiska wyższej umieralności mężczyzn, która – w konsekwencji – powoduje częstsze owdowienia kobiet. W</w:t>
      </w:r>
      <w:r w:rsidR="00ED1A35" w:rsidRPr="0032059A">
        <w:rPr>
          <w:rFonts w:ascii="Fira Sans" w:eastAsia="Times New Roman" w:hAnsi="Fira Sans" w:cs="Times New Roman"/>
          <w:color w:val="000000" w:themeColor="text1"/>
          <w:sz w:val="19"/>
          <w:szCs w:val="19"/>
          <w:lang w:eastAsia="pl-PL"/>
        </w:rPr>
        <w:t> </w:t>
      </w:r>
      <w:r w:rsidRPr="0032059A">
        <w:rPr>
          <w:rFonts w:ascii="Fira Sans" w:eastAsia="Times New Roman" w:hAnsi="Fira Sans" w:cs="Times New Roman"/>
          <w:color w:val="000000" w:themeColor="text1"/>
          <w:sz w:val="19"/>
          <w:szCs w:val="19"/>
          <w:lang w:eastAsia="pl-PL"/>
        </w:rPr>
        <w:t>miarę przechodzenia do starszych grup wieku proces nasila się – w</w:t>
      </w:r>
      <w:r w:rsidR="007402E0" w:rsidRPr="0032059A">
        <w:rPr>
          <w:rFonts w:ascii="Fira Sans" w:eastAsia="Times New Roman" w:hAnsi="Fira Sans" w:cs="Times New Roman"/>
          <w:color w:val="000000" w:themeColor="text1"/>
          <w:sz w:val="19"/>
          <w:szCs w:val="19"/>
          <w:lang w:eastAsia="pl-PL"/>
        </w:rPr>
        <w:t> </w:t>
      </w:r>
      <w:r w:rsidRPr="0032059A">
        <w:rPr>
          <w:rFonts w:ascii="Fira Sans" w:eastAsia="Times New Roman" w:hAnsi="Fira Sans" w:cs="Times New Roman"/>
          <w:color w:val="000000" w:themeColor="text1"/>
          <w:sz w:val="19"/>
          <w:szCs w:val="19"/>
          <w:lang w:eastAsia="pl-PL"/>
        </w:rPr>
        <w:t>rezultacie starsi mężczyźni najczęściej do końca życia pozostają żonaci, a starsze kobiety są wdowami (</w:t>
      </w:r>
      <w:r w:rsidRPr="0032059A">
        <w:rPr>
          <w:rFonts w:ascii="Fira Sans" w:eastAsia="Times New Roman" w:hAnsi="Fira Sans" w:cs="Times New Roman"/>
          <w:i/>
          <w:color w:val="000000" w:themeColor="text1"/>
          <w:sz w:val="19"/>
          <w:szCs w:val="19"/>
          <w:lang w:eastAsia="pl-PL"/>
        </w:rPr>
        <w:t>tabl. 1.3.2</w:t>
      </w:r>
      <w:r w:rsidRPr="0032059A">
        <w:rPr>
          <w:rFonts w:ascii="Fira Sans" w:eastAsia="Times New Roman" w:hAnsi="Fira Sans" w:cs="Times New Roman"/>
          <w:color w:val="000000" w:themeColor="text1"/>
          <w:sz w:val="19"/>
          <w:szCs w:val="19"/>
          <w:lang w:eastAsia="pl-PL"/>
        </w:rPr>
        <w:t>)</w:t>
      </w:r>
      <w:r w:rsidR="007A6D67" w:rsidRPr="0032059A">
        <w:rPr>
          <w:rFonts w:ascii="Fira Sans" w:eastAsia="Times New Roman" w:hAnsi="Fira Sans" w:cs="Times New Roman"/>
          <w:color w:val="000000" w:themeColor="text1"/>
          <w:sz w:val="19"/>
          <w:szCs w:val="19"/>
          <w:lang w:eastAsia="pl-PL"/>
        </w:rPr>
        <w:t>.</w:t>
      </w:r>
    </w:p>
    <w:p w:rsidR="00DE6CBA" w:rsidRPr="0032059A" w:rsidRDefault="00DE6CBA" w:rsidP="000D1535">
      <w:pPr>
        <w:pStyle w:val="Nagwek1"/>
        <w:rPr>
          <w:rFonts w:ascii="Fira Sans" w:hAnsi="Fira Sans"/>
          <w:sz w:val="24"/>
          <w:szCs w:val="24"/>
          <w:lang w:eastAsia="pl-PL"/>
        </w:rPr>
      </w:pPr>
      <w:bookmarkStart w:id="7" w:name="_Toc456009377"/>
      <w:r w:rsidRPr="0032059A">
        <w:rPr>
          <w:rFonts w:ascii="Fira Sans" w:hAnsi="Fira Sans"/>
          <w:sz w:val="24"/>
          <w:szCs w:val="24"/>
        </w:rPr>
        <w:t>Niepełnosprawność</w:t>
      </w:r>
      <w:r w:rsidR="007A6D67" w:rsidRPr="0032059A">
        <w:rPr>
          <w:rStyle w:val="Odwoanieprzypisudolnego"/>
          <w:rFonts w:ascii="Fira Sans" w:hAnsi="Fira Sans" w:cs="Times New Roman"/>
          <w:sz w:val="24"/>
          <w:szCs w:val="24"/>
          <w:lang w:eastAsia="pl-PL"/>
        </w:rPr>
        <w:footnoteReference w:id="4"/>
      </w:r>
      <w:bookmarkEnd w:id="7"/>
      <w:r w:rsidRPr="0032059A">
        <w:rPr>
          <w:rFonts w:ascii="Fira Sans" w:hAnsi="Fira Sans"/>
          <w:sz w:val="24"/>
          <w:szCs w:val="24"/>
          <w:lang w:eastAsia="pl-PL"/>
        </w:rPr>
        <w:t xml:space="preserve"> </w:t>
      </w:r>
    </w:p>
    <w:p w:rsidR="00DE6CBA" w:rsidRPr="0032059A" w:rsidRDefault="00DE6CBA" w:rsidP="00951550">
      <w:pPr>
        <w:spacing w:before="240" w:after="120" w:line="360" w:lineRule="auto"/>
        <w:ind w:firstLine="709"/>
        <w:jc w:val="both"/>
        <w:rPr>
          <w:rFonts w:ascii="Fira Sans" w:eastAsia="Times New Roman" w:hAnsi="Fira Sans" w:cs="Times New Roman"/>
          <w:color w:val="000000" w:themeColor="text1"/>
          <w:sz w:val="19"/>
          <w:szCs w:val="19"/>
          <w:lang w:eastAsia="pl-PL"/>
        </w:rPr>
      </w:pPr>
      <w:r w:rsidRPr="0032059A">
        <w:rPr>
          <w:rFonts w:ascii="Fira Sans" w:eastAsia="Times New Roman" w:hAnsi="Fira Sans" w:cs="Times New Roman"/>
          <w:color w:val="000000" w:themeColor="text1"/>
          <w:sz w:val="19"/>
          <w:szCs w:val="19"/>
          <w:lang w:eastAsia="pl-PL"/>
        </w:rPr>
        <w:t>Według wyników ostatniego spisu ludności mieszkań z 2011 roku wśród ogółu ludności Polski prawie 4,7 mln osób (tj. ponad 12% populacji) określiło swój stan zdrowia jako niezadawalający, tj.</w:t>
      </w:r>
      <w:r w:rsidR="007402E0" w:rsidRPr="0032059A">
        <w:rPr>
          <w:rFonts w:ascii="Fira Sans" w:eastAsia="Times New Roman" w:hAnsi="Fira Sans" w:cs="Times New Roman"/>
          <w:color w:val="000000" w:themeColor="text1"/>
          <w:sz w:val="19"/>
          <w:szCs w:val="19"/>
          <w:lang w:eastAsia="pl-PL"/>
        </w:rPr>
        <w:t> </w:t>
      </w:r>
      <w:r w:rsidRPr="0032059A">
        <w:rPr>
          <w:rFonts w:ascii="Fira Sans" w:eastAsia="Times New Roman" w:hAnsi="Fira Sans" w:cs="Times New Roman"/>
          <w:color w:val="000000" w:themeColor="text1"/>
          <w:sz w:val="19"/>
          <w:szCs w:val="19"/>
          <w:lang w:eastAsia="pl-PL"/>
        </w:rPr>
        <w:t xml:space="preserve">stwierdziło problemy zdrowotne (kalectwo lub chorobę przewlekłą) długotrwale ograniczające możliwość wykonywania codziennych czynności. </w:t>
      </w:r>
    </w:p>
    <w:p w:rsidR="00DE6CBA" w:rsidRPr="0032059A" w:rsidRDefault="00DE6CBA" w:rsidP="0011143F">
      <w:pPr>
        <w:autoSpaceDE w:val="0"/>
        <w:autoSpaceDN w:val="0"/>
        <w:adjustRightInd w:val="0"/>
        <w:spacing w:before="60" w:after="120" w:line="360" w:lineRule="auto"/>
        <w:ind w:firstLine="708"/>
        <w:jc w:val="both"/>
        <w:rPr>
          <w:rFonts w:ascii="Fira Sans" w:eastAsia="Times New Roman" w:hAnsi="Fira Sans" w:cs="Times New Roman"/>
          <w:color w:val="000000" w:themeColor="text1"/>
          <w:sz w:val="19"/>
          <w:szCs w:val="19"/>
          <w:lang w:eastAsia="pl-PL"/>
        </w:rPr>
      </w:pPr>
      <w:r w:rsidRPr="0032059A">
        <w:rPr>
          <w:rFonts w:ascii="Fira Sans" w:eastAsia="Times New Roman" w:hAnsi="Fira Sans" w:cs="Times New Roman"/>
          <w:color w:val="000000" w:themeColor="text1"/>
          <w:sz w:val="19"/>
          <w:szCs w:val="19"/>
          <w:lang w:eastAsia="pl-PL"/>
        </w:rPr>
        <w:t xml:space="preserve">Wśród tej zbiorowości osób ponad 2,5 mln osób </w:t>
      </w:r>
      <w:r w:rsidRPr="0032059A">
        <w:rPr>
          <w:rFonts w:ascii="Fira Sans" w:eastAsia="Times New Roman" w:hAnsi="Fira Sans" w:cs="Times New Roman"/>
          <w:bCs/>
          <w:color w:val="000000" w:themeColor="text1"/>
          <w:sz w:val="19"/>
          <w:szCs w:val="19"/>
          <w:lang w:eastAsia="pl-PL"/>
        </w:rPr>
        <w:t xml:space="preserve">to ludzie starsi – </w:t>
      </w:r>
      <w:r w:rsidRPr="0032059A">
        <w:rPr>
          <w:rFonts w:ascii="Fira Sans" w:eastAsia="Times New Roman" w:hAnsi="Fira Sans" w:cs="Times New Roman"/>
          <w:color w:val="000000" w:themeColor="text1"/>
          <w:sz w:val="19"/>
          <w:szCs w:val="19"/>
          <w:lang w:eastAsia="pl-PL"/>
        </w:rPr>
        <w:t>w</w:t>
      </w:r>
      <w:r w:rsidR="0032059A">
        <w:rPr>
          <w:rFonts w:ascii="Fira Sans" w:eastAsia="Times New Roman" w:hAnsi="Fira Sans" w:cs="Times New Roman"/>
          <w:color w:val="000000" w:themeColor="text1"/>
          <w:sz w:val="19"/>
          <w:szCs w:val="19"/>
          <w:lang w:eastAsia="pl-PL"/>
        </w:rPr>
        <w:t xml:space="preserve"> wieku co najmniej 60 lat, co w </w:t>
      </w:r>
      <w:r w:rsidRPr="0032059A">
        <w:rPr>
          <w:rFonts w:ascii="Fira Sans" w:eastAsia="Times New Roman" w:hAnsi="Fira Sans" w:cs="Times New Roman"/>
          <w:color w:val="000000" w:themeColor="text1"/>
          <w:sz w:val="19"/>
          <w:szCs w:val="19"/>
          <w:lang w:eastAsia="pl-PL"/>
        </w:rPr>
        <w:t xml:space="preserve">2011 r. stanowiło </w:t>
      </w:r>
      <w:r w:rsidRPr="0032059A">
        <w:rPr>
          <w:rFonts w:ascii="Fira Sans" w:eastAsia="Times New Roman" w:hAnsi="Fira Sans" w:cs="Times New Roman"/>
          <w:bCs/>
          <w:color w:val="000000" w:themeColor="text1"/>
          <w:sz w:val="19"/>
          <w:szCs w:val="19"/>
          <w:lang w:eastAsia="pl-PL"/>
        </w:rPr>
        <w:t>ponad połowę (54%) zbiorowości osób niepełnosprawnych</w:t>
      </w:r>
      <w:r w:rsidR="003059B0" w:rsidRPr="0032059A">
        <w:rPr>
          <w:rFonts w:ascii="Fira Sans" w:eastAsia="Times New Roman" w:hAnsi="Fira Sans" w:cs="Times New Roman"/>
          <w:bCs/>
          <w:color w:val="000000" w:themeColor="text1"/>
          <w:sz w:val="19"/>
          <w:szCs w:val="19"/>
          <w:lang w:eastAsia="pl-PL"/>
        </w:rPr>
        <w:t xml:space="preserve"> </w:t>
      </w:r>
      <w:r w:rsidRPr="0032059A">
        <w:rPr>
          <w:rFonts w:ascii="Fira Sans" w:eastAsia="Times New Roman" w:hAnsi="Fira Sans" w:cs="Times New Roman"/>
          <w:bCs/>
          <w:color w:val="000000" w:themeColor="text1"/>
          <w:sz w:val="19"/>
          <w:szCs w:val="19"/>
          <w:lang w:eastAsia="pl-PL"/>
        </w:rPr>
        <w:t>(</w:t>
      </w:r>
      <w:r w:rsidR="003416EC" w:rsidRPr="0032059A">
        <w:rPr>
          <w:rFonts w:ascii="Fira Sans" w:eastAsia="Times New Roman" w:hAnsi="Fira Sans" w:cs="Times New Roman"/>
          <w:bCs/>
          <w:i/>
          <w:color w:val="000000" w:themeColor="text1"/>
          <w:sz w:val="19"/>
          <w:szCs w:val="19"/>
          <w:lang w:eastAsia="pl-PL"/>
        </w:rPr>
        <w:t>tabl</w:t>
      </w:r>
      <w:r w:rsidRPr="0032059A">
        <w:rPr>
          <w:rFonts w:ascii="Fira Sans" w:eastAsia="Times New Roman" w:hAnsi="Fira Sans" w:cs="Times New Roman"/>
          <w:bCs/>
          <w:i/>
          <w:color w:val="000000" w:themeColor="text1"/>
          <w:sz w:val="19"/>
          <w:szCs w:val="19"/>
          <w:lang w:eastAsia="pl-PL"/>
        </w:rPr>
        <w:t>. 1.4.1</w:t>
      </w:r>
      <w:r w:rsidR="003059B0" w:rsidRPr="0032059A">
        <w:rPr>
          <w:rFonts w:ascii="Fira Sans" w:eastAsia="Times New Roman" w:hAnsi="Fira Sans" w:cs="Times New Roman"/>
          <w:bCs/>
          <w:color w:val="000000" w:themeColor="text1"/>
          <w:sz w:val="19"/>
          <w:szCs w:val="19"/>
          <w:lang w:eastAsia="pl-PL"/>
        </w:rPr>
        <w:t>).</w:t>
      </w:r>
    </w:p>
    <w:p w:rsidR="00DE6CBA" w:rsidRPr="0032059A" w:rsidRDefault="00DE6CBA" w:rsidP="0011143F">
      <w:pPr>
        <w:spacing w:before="60" w:after="120" w:line="360" w:lineRule="auto"/>
        <w:ind w:firstLine="708"/>
        <w:jc w:val="both"/>
        <w:rPr>
          <w:rFonts w:ascii="Fira Sans" w:eastAsia="Times New Roman" w:hAnsi="Fira Sans" w:cs="Times New Roman"/>
          <w:color w:val="000000" w:themeColor="text1"/>
          <w:sz w:val="19"/>
          <w:szCs w:val="19"/>
          <w:lang w:eastAsia="pl-PL"/>
        </w:rPr>
      </w:pPr>
      <w:r w:rsidRPr="0032059A">
        <w:rPr>
          <w:rFonts w:ascii="Fira Sans" w:eastAsia="Times New Roman" w:hAnsi="Fira Sans" w:cs="Times New Roman"/>
          <w:color w:val="000000" w:themeColor="text1"/>
          <w:sz w:val="19"/>
          <w:szCs w:val="19"/>
          <w:lang w:eastAsia="pl-PL"/>
        </w:rPr>
        <w:t>Większość (1501 tys., tj. 60%) niepełnosprawnych osób starszych dysponowała prawnym potwierdzeniem swej niepełnosprawności. Wśród nich najbardziej liczną grupę stanowiły osoby w wieku 60-64 lata oraz w wieku 80 lat i więcej. Należy jednak zaznaczyć, że</w:t>
      </w:r>
      <w:r w:rsidR="00D36F4C" w:rsidRPr="0032059A">
        <w:rPr>
          <w:rFonts w:ascii="Fira Sans" w:eastAsia="Times New Roman" w:hAnsi="Fira Sans" w:cs="Times New Roman"/>
          <w:color w:val="000000" w:themeColor="text1"/>
          <w:sz w:val="19"/>
          <w:szCs w:val="19"/>
          <w:lang w:eastAsia="pl-PL"/>
        </w:rPr>
        <w:t> </w:t>
      </w:r>
      <w:r w:rsidRPr="0032059A">
        <w:rPr>
          <w:rFonts w:ascii="Fira Sans" w:eastAsia="Times New Roman" w:hAnsi="Fira Sans" w:cs="Times New Roman"/>
          <w:color w:val="000000" w:themeColor="text1"/>
          <w:sz w:val="19"/>
          <w:szCs w:val="19"/>
          <w:lang w:eastAsia="pl-PL"/>
        </w:rPr>
        <w:t>wśród osób niepełnosprawnych powyżej 80 roku życia, liczebności posiadających orzeczenie o niepełnosprawności, jak i deklarujących jedynie ograniczenie sprawności (niepełno</w:t>
      </w:r>
      <w:r w:rsidR="00D36F4C" w:rsidRPr="0032059A">
        <w:rPr>
          <w:rFonts w:ascii="Fira Sans" w:eastAsia="Times New Roman" w:hAnsi="Fira Sans" w:cs="Times New Roman"/>
          <w:color w:val="000000" w:themeColor="text1"/>
          <w:sz w:val="19"/>
          <w:szCs w:val="19"/>
          <w:lang w:eastAsia="pl-PL"/>
        </w:rPr>
        <w:t>s</w:t>
      </w:r>
      <w:r w:rsidRPr="0032059A">
        <w:rPr>
          <w:rFonts w:ascii="Fira Sans" w:eastAsia="Times New Roman" w:hAnsi="Fira Sans" w:cs="Times New Roman"/>
          <w:color w:val="000000" w:themeColor="text1"/>
          <w:sz w:val="19"/>
          <w:szCs w:val="19"/>
          <w:lang w:eastAsia="pl-PL"/>
        </w:rPr>
        <w:t>prawni tylko biologicznie), były niemal równe.</w:t>
      </w:r>
    </w:p>
    <w:p w:rsidR="00DE6CBA" w:rsidRPr="0032059A" w:rsidRDefault="00DE6CBA" w:rsidP="0011143F">
      <w:pPr>
        <w:autoSpaceDE w:val="0"/>
        <w:autoSpaceDN w:val="0"/>
        <w:adjustRightInd w:val="0"/>
        <w:spacing w:before="60" w:after="120" w:line="360" w:lineRule="auto"/>
        <w:ind w:firstLine="708"/>
        <w:jc w:val="both"/>
        <w:rPr>
          <w:rFonts w:ascii="Fira Sans" w:eastAsia="Times New Roman" w:hAnsi="Fira Sans" w:cs="Times New Roman"/>
          <w:color w:val="000000" w:themeColor="text1"/>
          <w:sz w:val="19"/>
          <w:szCs w:val="19"/>
          <w:lang w:eastAsia="pl-PL"/>
        </w:rPr>
      </w:pPr>
      <w:r w:rsidRPr="0032059A">
        <w:rPr>
          <w:rFonts w:ascii="Fira Sans" w:eastAsia="Times New Roman" w:hAnsi="Fira Sans" w:cs="Times New Roman"/>
          <w:color w:val="000000" w:themeColor="text1"/>
          <w:sz w:val="19"/>
          <w:szCs w:val="19"/>
          <w:lang w:eastAsia="pl-PL"/>
        </w:rPr>
        <w:t>Starsze osoby niepełnosprawne zdecydowanie częściej (prawie 66%) mieszkały w</w:t>
      </w:r>
      <w:r w:rsidR="00ED1A35" w:rsidRPr="0032059A">
        <w:rPr>
          <w:rFonts w:ascii="Fira Sans" w:eastAsia="Times New Roman" w:hAnsi="Fira Sans" w:cs="Times New Roman"/>
          <w:color w:val="000000" w:themeColor="text1"/>
          <w:sz w:val="19"/>
          <w:szCs w:val="19"/>
          <w:lang w:eastAsia="pl-PL"/>
        </w:rPr>
        <w:t> </w:t>
      </w:r>
      <w:r w:rsidR="0032059A">
        <w:rPr>
          <w:rFonts w:ascii="Fira Sans" w:eastAsia="Times New Roman" w:hAnsi="Fira Sans" w:cs="Times New Roman"/>
          <w:color w:val="000000" w:themeColor="text1"/>
          <w:sz w:val="19"/>
          <w:szCs w:val="19"/>
          <w:lang w:eastAsia="pl-PL"/>
        </w:rPr>
        <w:t>miastach niż na </w:t>
      </w:r>
      <w:r w:rsidRPr="0032059A">
        <w:rPr>
          <w:rFonts w:ascii="Fira Sans" w:eastAsia="Times New Roman" w:hAnsi="Fira Sans" w:cs="Times New Roman"/>
          <w:color w:val="000000" w:themeColor="text1"/>
          <w:sz w:val="19"/>
          <w:szCs w:val="19"/>
          <w:lang w:eastAsia="pl-PL"/>
        </w:rPr>
        <w:t xml:space="preserve">wsi, jak również częściej posiadały orzeczenie potwierdzające niepełnosprawność. </w:t>
      </w:r>
    </w:p>
    <w:p w:rsidR="00DE6CBA" w:rsidRPr="0032059A" w:rsidRDefault="00DE6CBA" w:rsidP="0011143F">
      <w:pPr>
        <w:autoSpaceDE w:val="0"/>
        <w:autoSpaceDN w:val="0"/>
        <w:adjustRightInd w:val="0"/>
        <w:spacing w:before="60" w:after="120" w:line="360" w:lineRule="auto"/>
        <w:ind w:firstLine="708"/>
        <w:jc w:val="both"/>
        <w:rPr>
          <w:rFonts w:ascii="Fira Sans" w:eastAsia="Times New Roman" w:hAnsi="Fira Sans" w:cs="Times New Roman"/>
          <w:color w:val="000000" w:themeColor="text1"/>
          <w:sz w:val="19"/>
          <w:szCs w:val="19"/>
          <w:lang w:eastAsia="pl-PL"/>
        </w:rPr>
      </w:pPr>
      <w:r w:rsidRPr="0032059A">
        <w:rPr>
          <w:rFonts w:ascii="Fira Sans" w:eastAsia="Times New Roman" w:hAnsi="Fira Sans" w:cs="Times New Roman"/>
          <w:color w:val="000000" w:themeColor="text1"/>
          <w:sz w:val="19"/>
          <w:szCs w:val="19"/>
          <w:lang w:eastAsia="pl-PL"/>
        </w:rPr>
        <w:t xml:space="preserve">Ze względu na przewagę liczebną kobiet w całej populacji osób w wieku 60 lat i więcej, także wśród niepełnosprawnych osób starszych było więcej kobiet i stanowiły one 60%. </w:t>
      </w:r>
      <w:r w:rsidR="007A6D67" w:rsidRPr="0032059A">
        <w:rPr>
          <w:rFonts w:ascii="Fira Sans" w:eastAsia="Times New Roman" w:hAnsi="Fira Sans" w:cs="Times New Roman"/>
          <w:color w:val="000000" w:themeColor="text1"/>
          <w:sz w:val="19"/>
          <w:szCs w:val="19"/>
          <w:lang w:eastAsia="pl-PL"/>
        </w:rPr>
        <w:t>K</w:t>
      </w:r>
      <w:r w:rsidRPr="0032059A">
        <w:rPr>
          <w:rFonts w:ascii="Fira Sans" w:eastAsia="Times New Roman" w:hAnsi="Fira Sans" w:cs="Times New Roman"/>
          <w:color w:val="000000" w:themeColor="text1"/>
          <w:sz w:val="19"/>
          <w:szCs w:val="19"/>
          <w:lang w:eastAsia="pl-PL"/>
        </w:rPr>
        <w:t xml:space="preserve">obiety również dominowały </w:t>
      </w:r>
      <w:r w:rsidR="007A6D67" w:rsidRPr="0032059A">
        <w:rPr>
          <w:rFonts w:ascii="Fira Sans" w:eastAsia="Times New Roman" w:hAnsi="Fira Sans" w:cs="Times New Roman"/>
          <w:color w:val="000000" w:themeColor="text1"/>
          <w:sz w:val="19"/>
          <w:szCs w:val="19"/>
          <w:lang w:eastAsia="pl-PL"/>
        </w:rPr>
        <w:t xml:space="preserve">w zbiorowości </w:t>
      </w:r>
      <w:r w:rsidRPr="0032059A">
        <w:rPr>
          <w:rFonts w:ascii="Fira Sans" w:eastAsia="Times New Roman" w:hAnsi="Fira Sans" w:cs="Times New Roman"/>
          <w:color w:val="000000" w:themeColor="text1"/>
          <w:sz w:val="19"/>
          <w:szCs w:val="19"/>
          <w:lang w:eastAsia="pl-PL"/>
        </w:rPr>
        <w:t>os</w:t>
      </w:r>
      <w:r w:rsidR="007A6D67" w:rsidRPr="0032059A">
        <w:rPr>
          <w:rFonts w:ascii="Fira Sans" w:eastAsia="Times New Roman" w:hAnsi="Fira Sans" w:cs="Times New Roman"/>
          <w:color w:val="000000" w:themeColor="text1"/>
          <w:sz w:val="19"/>
          <w:szCs w:val="19"/>
          <w:lang w:eastAsia="pl-PL"/>
        </w:rPr>
        <w:t xml:space="preserve">ób </w:t>
      </w:r>
      <w:r w:rsidRPr="0032059A">
        <w:rPr>
          <w:rFonts w:ascii="Fira Sans" w:eastAsia="Times New Roman" w:hAnsi="Fira Sans" w:cs="Times New Roman"/>
          <w:color w:val="000000" w:themeColor="text1"/>
          <w:sz w:val="19"/>
          <w:szCs w:val="19"/>
          <w:lang w:eastAsia="pl-PL"/>
        </w:rPr>
        <w:t>niepełnosprawn</w:t>
      </w:r>
      <w:r w:rsidR="007A6D67" w:rsidRPr="0032059A">
        <w:rPr>
          <w:rFonts w:ascii="Fira Sans" w:eastAsia="Times New Roman" w:hAnsi="Fira Sans" w:cs="Times New Roman"/>
          <w:color w:val="000000" w:themeColor="text1"/>
          <w:sz w:val="19"/>
          <w:szCs w:val="19"/>
          <w:lang w:eastAsia="pl-PL"/>
        </w:rPr>
        <w:t>ych</w:t>
      </w:r>
      <w:r w:rsidRPr="0032059A">
        <w:rPr>
          <w:rFonts w:ascii="Fira Sans" w:eastAsia="Times New Roman" w:hAnsi="Fira Sans" w:cs="Times New Roman"/>
          <w:color w:val="000000" w:themeColor="text1"/>
          <w:sz w:val="19"/>
          <w:szCs w:val="19"/>
          <w:lang w:eastAsia="pl-PL"/>
        </w:rPr>
        <w:t xml:space="preserve"> tylko biologicznie.</w:t>
      </w:r>
    </w:p>
    <w:p w:rsidR="00DE6CBA" w:rsidRPr="0032059A" w:rsidRDefault="00DE6CBA" w:rsidP="000D1535">
      <w:pPr>
        <w:pStyle w:val="Nagwek1"/>
        <w:rPr>
          <w:rFonts w:ascii="Fira Sans" w:hAnsi="Fira Sans"/>
          <w:sz w:val="24"/>
          <w:szCs w:val="24"/>
          <w:lang w:eastAsia="pl-PL"/>
        </w:rPr>
      </w:pPr>
      <w:bookmarkStart w:id="8" w:name="_Toc456009378"/>
      <w:r w:rsidRPr="0032059A">
        <w:rPr>
          <w:rFonts w:ascii="Fira Sans" w:hAnsi="Fira Sans"/>
          <w:sz w:val="24"/>
          <w:szCs w:val="24"/>
        </w:rPr>
        <w:t>Przewidywane</w:t>
      </w:r>
      <w:r w:rsidRPr="0032059A">
        <w:rPr>
          <w:rFonts w:ascii="Fira Sans" w:hAnsi="Fira Sans"/>
          <w:sz w:val="24"/>
          <w:szCs w:val="24"/>
          <w:lang w:eastAsia="pl-PL"/>
        </w:rPr>
        <w:t xml:space="preserve"> zmiany w liczbie i strukturze ludności w wieku 60 lat i</w:t>
      </w:r>
      <w:r w:rsidR="007420B0" w:rsidRPr="0032059A">
        <w:rPr>
          <w:rFonts w:ascii="Fira Sans" w:hAnsi="Fira Sans"/>
          <w:sz w:val="24"/>
          <w:szCs w:val="24"/>
          <w:lang w:eastAsia="pl-PL"/>
        </w:rPr>
        <w:t> </w:t>
      </w:r>
      <w:r w:rsidRPr="0032059A">
        <w:rPr>
          <w:rFonts w:ascii="Fira Sans" w:hAnsi="Fira Sans"/>
          <w:sz w:val="24"/>
          <w:szCs w:val="24"/>
          <w:lang w:eastAsia="pl-PL"/>
        </w:rPr>
        <w:t>więcej</w:t>
      </w:r>
      <w:r w:rsidRPr="0032059A">
        <w:rPr>
          <w:rFonts w:ascii="Fira Sans" w:eastAsia="Times New Roman" w:hAnsi="Fira Sans"/>
          <w:b/>
          <w:sz w:val="24"/>
          <w:szCs w:val="24"/>
          <w:lang w:eastAsia="pl-PL"/>
        </w:rPr>
        <w:t xml:space="preserve"> </w:t>
      </w:r>
      <w:r w:rsidRPr="0032059A">
        <w:rPr>
          <w:rFonts w:ascii="Fira Sans" w:hAnsi="Fira Sans"/>
          <w:sz w:val="24"/>
          <w:szCs w:val="24"/>
          <w:lang w:eastAsia="pl-PL"/>
        </w:rPr>
        <w:t>w</w:t>
      </w:r>
      <w:r w:rsidR="00ED1A35" w:rsidRPr="0032059A">
        <w:rPr>
          <w:rFonts w:ascii="Fira Sans" w:hAnsi="Fira Sans"/>
          <w:sz w:val="24"/>
          <w:szCs w:val="24"/>
          <w:lang w:eastAsia="pl-PL"/>
        </w:rPr>
        <w:t> </w:t>
      </w:r>
      <w:r w:rsidRPr="0032059A">
        <w:rPr>
          <w:rFonts w:ascii="Fira Sans" w:hAnsi="Fira Sans"/>
          <w:sz w:val="24"/>
          <w:szCs w:val="24"/>
          <w:lang w:eastAsia="pl-PL"/>
        </w:rPr>
        <w:t>perspektywie do 2050 r.</w:t>
      </w:r>
      <w:bookmarkEnd w:id="8"/>
    </w:p>
    <w:p w:rsidR="00DE6CBA" w:rsidRPr="0032059A" w:rsidRDefault="00DE6CBA" w:rsidP="0032059A">
      <w:pPr>
        <w:spacing w:before="240" w:after="0" w:line="360" w:lineRule="auto"/>
        <w:ind w:firstLine="709"/>
        <w:jc w:val="both"/>
        <w:rPr>
          <w:rFonts w:ascii="Fira Sans" w:eastAsia="Times New Roman" w:hAnsi="Fira Sans" w:cs="Times New Roman"/>
          <w:color w:val="000000" w:themeColor="text1"/>
          <w:sz w:val="19"/>
          <w:szCs w:val="19"/>
          <w:lang w:eastAsia="pl-PL"/>
        </w:rPr>
      </w:pPr>
      <w:r w:rsidRPr="0032059A">
        <w:rPr>
          <w:rFonts w:ascii="Fira Sans" w:eastAsia="Times New Roman" w:hAnsi="Fira Sans" w:cs="Times New Roman"/>
          <w:color w:val="000000" w:themeColor="text1"/>
          <w:sz w:val="19"/>
          <w:szCs w:val="19"/>
          <w:lang w:eastAsia="pl-PL"/>
        </w:rPr>
        <w:t xml:space="preserve">Wyniki </w:t>
      </w:r>
      <w:r w:rsidRPr="0032059A">
        <w:rPr>
          <w:rFonts w:ascii="Fira Sans" w:eastAsia="Times New Roman" w:hAnsi="Fira Sans" w:cs="Times New Roman"/>
          <w:i/>
          <w:color w:val="000000" w:themeColor="text1"/>
          <w:sz w:val="19"/>
          <w:szCs w:val="19"/>
          <w:lang w:eastAsia="pl-PL"/>
        </w:rPr>
        <w:t xml:space="preserve">Prognozy ludności na lata 2014 - 2050 </w:t>
      </w:r>
      <w:r w:rsidRPr="0032059A">
        <w:rPr>
          <w:rFonts w:ascii="Fira Sans" w:eastAsia="Times New Roman" w:hAnsi="Fira Sans" w:cs="Times New Roman"/>
          <w:color w:val="000000" w:themeColor="text1"/>
          <w:sz w:val="19"/>
          <w:szCs w:val="19"/>
          <w:lang w:eastAsia="pl-PL"/>
        </w:rPr>
        <w:t>wskazują na pogłębianie się procesu starzenia społeczeństwa. Mimo przewidywanego spadku liczby ludności o 4,5 mln do 2050 r., spodziewany jest systematyczny wzrost liczby ludności w wieku 60 lat i więcej. Populacja osób w tym wieku wzrośnie w</w:t>
      </w:r>
      <w:r w:rsidR="007402E0" w:rsidRPr="0032059A">
        <w:rPr>
          <w:rFonts w:ascii="Fira Sans" w:eastAsia="Times New Roman" w:hAnsi="Fira Sans" w:cs="Times New Roman"/>
          <w:color w:val="000000" w:themeColor="text1"/>
          <w:sz w:val="19"/>
          <w:szCs w:val="19"/>
          <w:lang w:eastAsia="pl-PL"/>
        </w:rPr>
        <w:t> </w:t>
      </w:r>
      <w:r w:rsidRPr="0032059A">
        <w:rPr>
          <w:rFonts w:ascii="Fira Sans" w:eastAsia="Times New Roman" w:hAnsi="Fira Sans" w:cs="Times New Roman"/>
          <w:color w:val="000000" w:themeColor="text1"/>
          <w:sz w:val="19"/>
          <w:szCs w:val="19"/>
          <w:lang w:eastAsia="pl-PL"/>
        </w:rPr>
        <w:t>końcu horyzontu prognozy do 13,7 miliona i będzie stanowiła ponad 40% ogółu ludności (</w:t>
      </w:r>
      <w:r w:rsidRPr="0032059A">
        <w:rPr>
          <w:rFonts w:ascii="Fira Sans" w:eastAsia="Times New Roman" w:hAnsi="Fira Sans" w:cs="Times New Roman"/>
          <w:i/>
          <w:color w:val="000000" w:themeColor="text1"/>
          <w:sz w:val="19"/>
          <w:szCs w:val="19"/>
          <w:lang w:eastAsia="pl-PL"/>
        </w:rPr>
        <w:t>tabl. 1.5.1</w:t>
      </w:r>
      <w:r w:rsidRPr="0032059A">
        <w:rPr>
          <w:rFonts w:ascii="Fira Sans" w:eastAsia="Times New Roman" w:hAnsi="Fira Sans" w:cs="Times New Roman"/>
          <w:color w:val="000000" w:themeColor="text1"/>
          <w:sz w:val="19"/>
          <w:szCs w:val="19"/>
          <w:lang w:eastAsia="pl-PL"/>
        </w:rPr>
        <w:t>)</w:t>
      </w:r>
      <w:r w:rsidR="006D3399" w:rsidRPr="0032059A">
        <w:rPr>
          <w:rFonts w:ascii="Fira Sans" w:eastAsia="Times New Roman" w:hAnsi="Fira Sans" w:cs="Times New Roman"/>
          <w:color w:val="000000" w:themeColor="text1"/>
          <w:sz w:val="19"/>
          <w:szCs w:val="19"/>
          <w:lang w:eastAsia="pl-PL"/>
        </w:rPr>
        <w:t>.</w:t>
      </w:r>
      <w:r w:rsidRPr="0032059A">
        <w:rPr>
          <w:rFonts w:ascii="Fira Sans" w:eastAsia="Times New Roman" w:hAnsi="Fira Sans" w:cs="Times New Roman"/>
          <w:color w:val="000000" w:themeColor="text1"/>
          <w:sz w:val="19"/>
          <w:szCs w:val="19"/>
          <w:lang w:eastAsia="pl-PL"/>
        </w:rPr>
        <w:t xml:space="preserve"> W 2050 r. osoby w wieku 60 lat i więcej, zamieszkałe w miastach będą stanowiły 23,5% ogólnej ludności kraju, zaś </w:t>
      </w:r>
      <w:r w:rsidRPr="0032059A">
        <w:rPr>
          <w:rFonts w:ascii="Fira Sans" w:eastAsia="Times New Roman" w:hAnsi="Fira Sans" w:cs="Times New Roman"/>
          <w:color w:val="000000" w:themeColor="text1"/>
          <w:sz w:val="19"/>
          <w:szCs w:val="19"/>
          <w:lang w:eastAsia="pl-PL"/>
        </w:rPr>
        <w:lastRenderedPageBreak/>
        <w:t>mieszkańcy wsi  w tym wieku - 16,8%. W 2050 r. aż 42% mieszkańców miast i 38% mieszkańców wsi będzie miało co najmniej 60 lat. (</w:t>
      </w:r>
      <w:r w:rsidR="003416EC" w:rsidRPr="0032059A">
        <w:rPr>
          <w:rFonts w:ascii="Fira Sans" w:eastAsia="Times New Roman" w:hAnsi="Fira Sans" w:cs="Times New Roman"/>
          <w:i/>
          <w:color w:val="000000" w:themeColor="text1"/>
          <w:sz w:val="19"/>
          <w:szCs w:val="19"/>
          <w:lang w:eastAsia="pl-PL"/>
        </w:rPr>
        <w:t>tabl</w:t>
      </w:r>
      <w:r w:rsidRPr="0032059A">
        <w:rPr>
          <w:rFonts w:ascii="Fira Sans" w:eastAsia="Times New Roman" w:hAnsi="Fira Sans" w:cs="Times New Roman"/>
          <w:i/>
          <w:color w:val="000000" w:themeColor="text1"/>
          <w:sz w:val="19"/>
          <w:szCs w:val="19"/>
          <w:lang w:eastAsia="pl-PL"/>
        </w:rPr>
        <w:t>. 1.5.2</w:t>
      </w:r>
      <w:r w:rsidRPr="0032059A">
        <w:rPr>
          <w:rFonts w:ascii="Fira Sans" w:eastAsia="Times New Roman" w:hAnsi="Fira Sans" w:cs="Times New Roman"/>
          <w:color w:val="000000" w:themeColor="text1"/>
          <w:sz w:val="19"/>
          <w:szCs w:val="19"/>
          <w:lang w:eastAsia="pl-PL"/>
        </w:rPr>
        <w:t>)</w:t>
      </w:r>
    </w:p>
    <w:p w:rsidR="00DE6CBA" w:rsidRPr="0032059A" w:rsidRDefault="00DE6CBA" w:rsidP="0032059A">
      <w:pPr>
        <w:spacing w:after="0" w:line="360" w:lineRule="auto"/>
        <w:ind w:firstLine="709"/>
        <w:jc w:val="both"/>
        <w:rPr>
          <w:rFonts w:ascii="Fira Sans" w:eastAsia="Times New Roman" w:hAnsi="Fira Sans" w:cs="Times New Roman"/>
          <w:color w:val="000000" w:themeColor="text1"/>
          <w:sz w:val="19"/>
          <w:szCs w:val="19"/>
          <w:lang w:eastAsia="pl-PL"/>
        </w:rPr>
      </w:pPr>
      <w:r w:rsidRPr="0032059A">
        <w:rPr>
          <w:rFonts w:ascii="Fira Sans" w:eastAsia="Times New Roman" w:hAnsi="Fira Sans" w:cs="Times New Roman"/>
          <w:color w:val="000000" w:themeColor="text1"/>
          <w:sz w:val="19"/>
          <w:szCs w:val="19"/>
          <w:lang w:eastAsia="pl-PL"/>
        </w:rPr>
        <w:t>W ciągu najbliższego dziesięciolecia będzie wzrastała liczba i udział w ogóle ludności osób w</w:t>
      </w:r>
      <w:r w:rsidR="007402E0" w:rsidRPr="0032059A">
        <w:rPr>
          <w:rFonts w:ascii="Fira Sans" w:eastAsia="Times New Roman" w:hAnsi="Fira Sans" w:cs="Times New Roman"/>
          <w:color w:val="000000" w:themeColor="text1"/>
          <w:sz w:val="19"/>
          <w:szCs w:val="19"/>
          <w:lang w:eastAsia="pl-PL"/>
        </w:rPr>
        <w:t> </w:t>
      </w:r>
      <w:r w:rsidRPr="0032059A">
        <w:rPr>
          <w:rFonts w:ascii="Fira Sans" w:eastAsia="Times New Roman" w:hAnsi="Fira Sans" w:cs="Times New Roman"/>
          <w:color w:val="000000" w:themeColor="text1"/>
          <w:sz w:val="19"/>
          <w:szCs w:val="19"/>
          <w:lang w:eastAsia="pl-PL"/>
        </w:rPr>
        <w:t>wieku 60-79 lat. W wiek ten będą bowiem wchodziły liczne grupy osób urodzonych w</w:t>
      </w:r>
      <w:r w:rsidR="00ED1A35" w:rsidRPr="0032059A">
        <w:rPr>
          <w:rFonts w:ascii="Fira Sans" w:eastAsia="Times New Roman" w:hAnsi="Fira Sans" w:cs="Times New Roman"/>
          <w:color w:val="000000" w:themeColor="text1"/>
          <w:sz w:val="19"/>
          <w:szCs w:val="19"/>
          <w:lang w:eastAsia="pl-PL"/>
        </w:rPr>
        <w:t> </w:t>
      </w:r>
      <w:r w:rsidR="0032059A">
        <w:rPr>
          <w:rFonts w:ascii="Fira Sans" w:eastAsia="Times New Roman" w:hAnsi="Fira Sans" w:cs="Times New Roman"/>
          <w:color w:val="000000" w:themeColor="text1"/>
          <w:sz w:val="19"/>
          <w:szCs w:val="19"/>
          <w:lang w:eastAsia="pl-PL"/>
        </w:rPr>
        <w:t>latach boomu urodzeń z </w:t>
      </w:r>
      <w:r w:rsidRPr="0032059A">
        <w:rPr>
          <w:rFonts w:ascii="Fira Sans" w:eastAsia="Times New Roman" w:hAnsi="Fira Sans" w:cs="Times New Roman"/>
          <w:color w:val="000000" w:themeColor="text1"/>
          <w:sz w:val="19"/>
          <w:szCs w:val="19"/>
          <w:lang w:eastAsia="pl-PL"/>
        </w:rPr>
        <w:t xml:space="preserve">przełomu lat pięćdziesiątych i sześćdziesiątych. Z kolei w wiek późnej starości będą wchodziły stosunkowo mało liczne grupy osób urodzonych w czasie drugiej wojny światowej. </w:t>
      </w:r>
    </w:p>
    <w:p w:rsidR="00DE6CBA" w:rsidRPr="0032059A" w:rsidRDefault="00DE6CBA" w:rsidP="0032059A">
      <w:pPr>
        <w:spacing w:after="0" w:line="360" w:lineRule="auto"/>
        <w:ind w:firstLine="709"/>
        <w:jc w:val="both"/>
        <w:rPr>
          <w:rFonts w:ascii="Fira Sans" w:eastAsia="Times New Roman" w:hAnsi="Fira Sans" w:cs="Times New Roman"/>
          <w:color w:val="000000" w:themeColor="text1"/>
          <w:sz w:val="19"/>
          <w:szCs w:val="19"/>
          <w:lang w:eastAsia="pl-PL"/>
        </w:rPr>
      </w:pPr>
      <w:r w:rsidRPr="0032059A">
        <w:rPr>
          <w:rFonts w:ascii="Fira Sans" w:eastAsia="Times New Roman" w:hAnsi="Fira Sans" w:cs="Times New Roman"/>
          <w:color w:val="000000" w:themeColor="text1"/>
          <w:sz w:val="19"/>
          <w:szCs w:val="19"/>
          <w:lang w:eastAsia="pl-PL"/>
        </w:rPr>
        <w:t xml:space="preserve">Począwszy od 2026 r. rozpocznie się z kolei </w:t>
      </w:r>
      <w:r w:rsidR="003416EC" w:rsidRPr="0032059A">
        <w:rPr>
          <w:rFonts w:ascii="Fira Sans" w:eastAsia="Times New Roman" w:hAnsi="Fira Sans" w:cs="Times New Roman"/>
          <w:color w:val="000000" w:themeColor="text1"/>
          <w:sz w:val="19"/>
          <w:szCs w:val="19"/>
          <w:lang w:eastAsia="pl-PL"/>
        </w:rPr>
        <w:t>dynamiczny</w:t>
      </w:r>
      <w:r w:rsidRPr="0032059A">
        <w:rPr>
          <w:rFonts w:ascii="Fira Sans" w:eastAsia="Times New Roman" w:hAnsi="Fira Sans" w:cs="Times New Roman"/>
          <w:color w:val="000000" w:themeColor="text1"/>
          <w:sz w:val="19"/>
          <w:szCs w:val="19"/>
          <w:lang w:eastAsia="pl-PL"/>
        </w:rPr>
        <w:t xml:space="preserve"> wzrost liczby osób w wieku 80 lat i</w:t>
      </w:r>
      <w:r w:rsidR="007402E0" w:rsidRPr="0032059A">
        <w:rPr>
          <w:rFonts w:ascii="Fira Sans" w:eastAsia="Times New Roman" w:hAnsi="Fira Sans" w:cs="Times New Roman"/>
          <w:color w:val="000000" w:themeColor="text1"/>
          <w:sz w:val="19"/>
          <w:szCs w:val="19"/>
          <w:lang w:eastAsia="pl-PL"/>
        </w:rPr>
        <w:t> </w:t>
      </w:r>
      <w:r w:rsidRPr="0032059A">
        <w:rPr>
          <w:rFonts w:ascii="Fira Sans" w:eastAsia="Times New Roman" w:hAnsi="Fira Sans" w:cs="Times New Roman"/>
          <w:color w:val="000000" w:themeColor="text1"/>
          <w:sz w:val="19"/>
          <w:szCs w:val="19"/>
          <w:lang w:eastAsia="pl-PL"/>
        </w:rPr>
        <w:t>więcej. Będzie to związane z wchodzeniem w wiek późnej starości bardzo licznej grupy osób urodzonych pomiędzy końcem drugiej wojny światowej, a początkiem lat sześćdziesiątych. Pomiędzy 2025 a 2040 r. liczebność osób w</w:t>
      </w:r>
      <w:r w:rsidR="007402E0" w:rsidRPr="0032059A">
        <w:rPr>
          <w:rFonts w:ascii="Fira Sans" w:eastAsia="Times New Roman" w:hAnsi="Fira Sans" w:cs="Times New Roman"/>
          <w:color w:val="000000" w:themeColor="text1"/>
          <w:sz w:val="19"/>
          <w:szCs w:val="19"/>
          <w:lang w:eastAsia="pl-PL"/>
        </w:rPr>
        <w:t> </w:t>
      </w:r>
      <w:r w:rsidRPr="0032059A">
        <w:rPr>
          <w:rFonts w:ascii="Fira Sans" w:eastAsia="Times New Roman" w:hAnsi="Fira Sans" w:cs="Times New Roman"/>
          <w:color w:val="000000" w:themeColor="text1"/>
          <w:sz w:val="19"/>
          <w:szCs w:val="19"/>
          <w:lang w:eastAsia="pl-PL"/>
        </w:rPr>
        <w:t xml:space="preserve">wieku 80 lat i więcej zwiększy się z 1,7 miliona do 3,4 miliona, czyli dwukrotnie. </w:t>
      </w:r>
    </w:p>
    <w:p w:rsidR="00DE6CBA" w:rsidRPr="0032059A" w:rsidRDefault="00DE6CBA" w:rsidP="0032059A">
      <w:pPr>
        <w:spacing w:after="0" w:line="360" w:lineRule="auto"/>
        <w:ind w:firstLine="709"/>
        <w:jc w:val="both"/>
        <w:rPr>
          <w:rFonts w:ascii="Fira Sans" w:eastAsia="Times New Roman" w:hAnsi="Fira Sans" w:cs="Times New Roman"/>
          <w:bCs/>
          <w:color w:val="000000" w:themeColor="text1"/>
          <w:sz w:val="19"/>
          <w:szCs w:val="19"/>
          <w:lang w:eastAsia="pl-PL"/>
        </w:rPr>
      </w:pPr>
      <w:r w:rsidRPr="0032059A">
        <w:rPr>
          <w:rFonts w:ascii="Fira Sans" w:eastAsia="Times New Roman" w:hAnsi="Fira Sans" w:cs="Times New Roman"/>
          <w:color w:val="000000" w:themeColor="text1"/>
          <w:sz w:val="19"/>
          <w:szCs w:val="19"/>
          <w:lang w:eastAsia="pl-PL"/>
        </w:rPr>
        <w:t>Dane zawarte w tab</w:t>
      </w:r>
      <w:r w:rsidR="006149B3" w:rsidRPr="0032059A">
        <w:rPr>
          <w:rFonts w:ascii="Fira Sans" w:eastAsia="Times New Roman" w:hAnsi="Fira Sans" w:cs="Times New Roman"/>
          <w:color w:val="000000" w:themeColor="text1"/>
          <w:sz w:val="19"/>
          <w:szCs w:val="19"/>
          <w:lang w:eastAsia="pl-PL"/>
        </w:rPr>
        <w:t>licy</w:t>
      </w:r>
      <w:r w:rsidRPr="0032059A">
        <w:rPr>
          <w:rFonts w:ascii="Fira Sans" w:eastAsia="Times New Roman" w:hAnsi="Fira Sans" w:cs="Times New Roman"/>
          <w:color w:val="000000" w:themeColor="text1"/>
          <w:sz w:val="19"/>
          <w:szCs w:val="19"/>
          <w:lang w:eastAsia="pl-PL"/>
        </w:rPr>
        <w:t xml:space="preserve"> 1.5.1 obrazują wahania wynikające z falowania demograficznego</w:t>
      </w:r>
      <w:r w:rsidRPr="0032059A">
        <w:rPr>
          <w:rFonts w:ascii="Fira Sans" w:eastAsia="Times New Roman" w:hAnsi="Fira Sans" w:cs="Times New Roman"/>
          <w:bCs/>
          <w:color w:val="000000" w:themeColor="text1"/>
          <w:sz w:val="19"/>
          <w:szCs w:val="19"/>
          <w:lang w:eastAsia="pl-PL"/>
        </w:rPr>
        <w:t xml:space="preserve">, tzn. występujących w przeszłości wyżów i niżów urodzeń. </w:t>
      </w:r>
    </w:p>
    <w:p w:rsidR="00DE6CBA" w:rsidRPr="0032059A" w:rsidRDefault="00DE6CBA" w:rsidP="0011143F">
      <w:pPr>
        <w:spacing w:after="120" w:line="360" w:lineRule="auto"/>
        <w:ind w:firstLine="708"/>
        <w:jc w:val="both"/>
        <w:rPr>
          <w:rFonts w:ascii="Fira Sans" w:eastAsia="Times New Roman" w:hAnsi="Fira Sans" w:cs="Times New Roman"/>
          <w:color w:val="000000" w:themeColor="text1"/>
          <w:sz w:val="19"/>
          <w:szCs w:val="19"/>
          <w:lang w:eastAsia="pl-PL"/>
        </w:rPr>
      </w:pPr>
      <w:r w:rsidRPr="0032059A">
        <w:rPr>
          <w:rFonts w:ascii="Fira Sans" w:eastAsia="Times New Roman" w:hAnsi="Fira Sans" w:cs="Times New Roman"/>
          <w:color w:val="000000" w:themeColor="text1"/>
          <w:sz w:val="19"/>
          <w:szCs w:val="19"/>
          <w:lang w:eastAsia="pl-PL"/>
        </w:rPr>
        <w:t>Wartości współczynnika feminizacji w populacji ogółem oraz wśród osób powyżej 60</w:t>
      </w:r>
      <w:r w:rsidR="00ED1A35" w:rsidRPr="0032059A">
        <w:rPr>
          <w:rFonts w:ascii="Fira Sans" w:eastAsia="Times New Roman" w:hAnsi="Fira Sans" w:cs="Times New Roman"/>
          <w:color w:val="000000" w:themeColor="text1"/>
          <w:sz w:val="19"/>
          <w:szCs w:val="19"/>
          <w:lang w:eastAsia="pl-PL"/>
        </w:rPr>
        <w:t> </w:t>
      </w:r>
      <w:r w:rsidRPr="0032059A">
        <w:rPr>
          <w:rFonts w:ascii="Fira Sans" w:eastAsia="Times New Roman" w:hAnsi="Fira Sans" w:cs="Times New Roman"/>
          <w:color w:val="000000" w:themeColor="text1"/>
          <w:sz w:val="19"/>
          <w:szCs w:val="19"/>
          <w:lang w:eastAsia="pl-PL"/>
        </w:rPr>
        <w:t xml:space="preserve">r. ż. </w:t>
      </w:r>
      <w:r w:rsidR="006149B3" w:rsidRPr="0032059A">
        <w:rPr>
          <w:rFonts w:ascii="Fira Sans" w:eastAsia="Times New Roman" w:hAnsi="Fira Sans" w:cs="Times New Roman"/>
          <w:color w:val="000000" w:themeColor="text1"/>
          <w:sz w:val="19"/>
          <w:szCs w:val="19"/>
          <w:lang w:eastAsia="pl-PL"/>
        </w:rPr>
        <w:t>w</w:t>
      </w:r>
      <w:r w:rsidR="007402E0" w:rsidRPr="0032059A">
        <w:rPr>
          <w:rFonts w:ascii="Fira Sans" w:eastAsia="Times New Roman" w:hAnsi="Fira Sans" w:cs="Times New Roman"/>
          <w:color w:val="000000" w:themeColor="text1"/>
          <w:sz w:val="19"/>
          <w:szCs w:val="19"/>
          <w:lang w:eastAsia="pl-PL"/>
        </w:rPr>
        <w:t> </w:t>
      </w:r>
      <w:r w:rsidRPr="0032059A">
        <w:rPr>
          <w:rFonts w:ascii="Fira Sans" w:eastAsia="Times New Roman" w:hAnsi="Fira Sans" w:cs="Times New Roman"/>
          <w:color w:val="000000" w:themeColor="text1"/>
          <w:sz w:val="19"/>
          <w:szCs w:val="19"/>
          <w:lang w:eastAsia="pl-PL"/>
        </w:rPr>
        <w:t>niewielkim stopniu zmienią się w okresie objętym prognozą. Przez cały okres prognozy obserwowana będzie nadwyżka kobiet wśród ludności Polski, która wynika z</w:t>
      </w:r>
      <w:r w:rsidR="00ED1A35" w:rsidRPr="0032059A">
        <w:rPr>
          <w:rFonts w:ascii="Fira Sans" w:eastAsia="Times New Roman" w:hAnsi="Fira Sans" w:cs="Times New Roman"/>
          <w:color w:val="000000" w:themeColor="text1"/>
          <w:sz w:val="19"/>
          <w:szCs w:val="19"/>
          <w:lang w:eastAsia="pl-PL"/>
        </w:rPr>
        <w:t> </w:t>
      </w:r>
      <w:r w:rsidRPr="0032059A">
        <w:rPr>
          <w:rFonts w:ascii="Fira Sans" w:eastAsia="Times New Roman" w:hAnsi="Fira Sans" w:cs="Times New Roman"/>
          <w:color w:val="000000" w:themeColor="text1"/>
          <w:sz w:val="19"/>
          <w:szCs w:val="19"/>
          <w:lang w:eastAsia="pl-PL"/>
        </w:rPr>
        <w:t>obserwowanej prawie we wszystkich rocznikach wieku nadumieralności mężczyzn (</w:t>
      </w:r>
      <w:r w:rsidR="003416EC" w:rsidRPr="0032059A">
        <w:rPr>
          <w:rFonts w:ascii="Fira Sans" w:eastAsia="Times New Roman" w:hAnsi="Fira Sans" w:cs="Times New Roman"/>
          <w:i/>
          <w:color w:val="000000" w:themeColor="text1"/>
          <w:sz w:val="19"/>
          <w:szCs w:val="19"/>
          <w:lang w:eastAsia="pl-PL"/>
        </w:rPr>
        <w:t>tabl</w:t>
      </w:r>
      <w:r w:rsidRPr="0032059A">
        <w:rPr>
          <w:rFonts w:ascii="Fira Sans" w:eastAsia="Times New Roman" w:hAnsi="Fira Sans" w:cs="Times New Roman"/>
          <w:i/>
          <w:color w:val="000000" w:themeColor="text1"/>
          <w:sz w:val="19"/>
          <w:szCs w:val="19"/>
          <w:lang w:eastAsia="pl-PL"/>
        </w:rPr>
        <w:t>. 1.5.3</w:t>
      </w:r>
      <w:r w:rsidRPr="0032059A">
        <w:rPr>
          <w:rFonts w:ascii="Fira Sans" w:eastAsia="Times New Roman" w:hAnsi="Fira Sans" w:cs="Times New Roman"/>
          <w:color w:val="000000" w:themeColor="text1"/>
          <w:sz w:val="19"/>
          <w:szCs w:val="19"/>
          <w:lang w:eastAsia="pl-PL"/>
        </w:rPr>
        <w:t>)</w:t>
      </w:r>
      <w:r w:rsidR="006149B3" w:rsidRPr="0032059A">
        <w:rPr>
          <w:rFonts w:ascii="Fira Sans" w:eastAsia="Times New Roman" w:hAnsi="Fira Sans" w:cs="Times New Roman"/>
          <w:color w:val="000000" w:themeColor="text1"/>
          <w:sz w:val="19"/>
          <w:szCs w:val="19"/>
          <w:lang w:eastAsia="pl-PL"/>
        </w:rPr>
        <w:t>.</w:t>
      </w:r>
    </w:p>
    <w:p w:rsidR="00D649A8" w:rsidRPr="0032059A" w:rsidRDefault="00D649A8" w:rsidP="000D1535">
      <w:pPr>
        <w:pStyle w:val="Nagwek1"/>
        <w:rPr>
          <w:rFonts w:ascii="Fira Sans" w:hAnsi="Fira Sans"/>
          <w:sz w:val="24"/>
          <w:szCs w:val="24"/>
          <w:lang w:eastAsia="pl-PL"/>
        </w:rPr>
      </w:pPr>
      <w:bookmarkStart w:id="9" w:name="_Toc456009379"/>
      <w:r w:rsidRPr="0032059A">
        <w:rPr>
          <w:rFonts w:ascii="Fira Sans" w:hAnsi="Fira Sans"/>
          <w:sz w:val="24"/>
          <w:szCs w:val="24"/>
          <w:lang w:eastAsia="pl-PL"/>
        </w:rPr>
        <w:t>Gospodarstwa domowe</w:t>
      </w:r>
      <w:r w:rsidR="006149B3" w:rsidRPr="0032059A">
        <w:rPr>
          <w:rStyle w:val="Odwoanieprzypisudolnego"/>
          <w:rFonts w:ascii="Fira Sans" w:hAnsi="Fira Sans" w:cs="Times New Roman"/>
          <w:sz w:val="24"/>
          <w:szCs w:val="24"/>
          <w:lang w:eastAsia="pl-PL"/>
        </w:rPr>
        <w:footnoteReference w:id="5"/>
      </w:r>
      <w:bookmarkEnd w:id="9"/>
      <w:r w:rsidRPr="0032059A">
        <w:rPr>
          <w:rFonts w:ascii="Fira Sans" w:hAnsi="Fira Sans"/>
          <w:sz w:val="24"/>
          <w:szCs w:val="24"/>
          <w:lang w:eastAsia="pl-PL"/>
        </w:rPr>
        <w:t xml:space="preserve"> </w:t>
      </w:r>
    </w:p>
    <w:p w:rsidR="00D649A8" w:rsidRPr="0032059A" w:rsidRDefault="00D649A8" w:rsidP="0032059A">
      <w:pPr>
        <w:spacing w:before="240" w:after="0" w:line="360" w:lineRule="auto"/>
        <w:ind w:firstLine="709"/>
        <w:jc w:val="both"/>
        <w:rPr>
          <w:rFonts w:ascii="Fira Sans" w:eastAsia="Times New Roman" w:hAnsi="Fira Sans" w:cs="Times New Roman"/>
          <w:color w:val="000000" w:themeColor="text1"/>
          <w:sz w:val="19"/>
          <w:szCs w:val="19"/>
          <w:lang w:eastAsia="pl-PL"/>
        </w:rPr>
      </w:pPr>
      <w:r w:rsidRPr="0032059A">
        <w:rPr>
          <w:rFonts w:ascii="Fira Sans" w:eastAsia="Times New Roman" w:hAnsi="Fira Sans" w:cs="Times New Roman"/>
          <w:color w:val="000000" w:themeColor="text1"/>
          <w:sz w:val="19"/>
          <w:szCs w:val="19"/>
          <w:lang w:eastAsia="pl-PL"/>
        </w:rPr>
        <w:t xml:space="preserve">Według wyników </w:t>
      </w:r>
      <w:r w:rsidR="00D36F4C" w:rsidRPr="0032059A">
        <w:rPr>
          <w:rFonts w:ascii="Fira Sans" w:eastAsia="Times New Roman" w:hAnsi="Fira Sans" w:cs="Times New Roman"/>
          <w:color w:val="000000" w:themeColor="text1"/>
          <w:sz w:val="19"/>
          <w:szCs w:val="19"/>
          <w:lang w:eastAsia="pl-PL"/>
        </w:rPr>
        <w:t xml:space="preserve">spisu 2011 </w:t>
      </w:r>
      <w:r w:rsidRPr="0032059A">
        <w:rPr>
          <w:rFonts w:ascii="Fira Sans" w:eastAsia="Times New Roman" w:hAnsi="Fira Sans" w:cs="Times New Roman"/>
          <w:color w:val="000000" w:themeColor="text1"/>
          <w:sz w:val="19"/>
          <w:szCs w:val="19"/>
          <w:lang w:eastAsia="pl-PL"/>
        </w:rPr>
        <w:t>w Polsce odnotowano 13,6 mln gospodarstw domowych, w tym ponad 5,6</w:t>
      </w:r>
      <w:r w:rsidR="007402E0" w:rsidRPr="0032059A">
        <w:rPr>
          <w:rFonts w:ascii="Fira Sans" w:eastAsia="Times New Roman" w:hAnsi="Fira Sans" w:cs="Times New Roman"/>
          <w:color w:val="000000" w:themeColor="text1"/>
          <w:sz w:val="19"/>
          <w:szCs w:val="19"/>
          <w:lang w:eastAsia="pl-PL"/>
        </w:rPr>
        <w:t> </w:t>
      </w:r>
      <w:r w:rsidRPr="0032059A">
        <w:rPr>
          <w:rFonts w:ascii="Fira Sans" w:eastAsia="Times New Roman" w:hAnsi="Fira Sans" w:cs="Times New Roman"/>
          <w:color w:val="000000" w:themeColor="text1"/>
          <w:sz w:val="19"/>
          <w:szCs w:val="19"/>
          <w:lang w:eastAsia="pl-PL"/>
        </w:rPr>
        <w:t>mln (42%), których członkami były osoby w wieku 60 lat i więcej. (</w:t>
      </w:r>
      <w:r w:rsidR="003416EC" w:rsidRPr="0032059A">
        <w:rPr>
          <w:rFonts w:ascii="Fira Sans" w:eastAsia="Times New Roman" w:hAnsi="Fira Sans" w:cs="Times New Roman"/>
          <w:i/>
          <w:color w:val="000000" w:themeColor="text1"/>
          <w:sz w:val="19"/>
          <w:szCs w:val="19"/>
          <w:lang w:eastAsia="pl-PL"/>
        </w:rPr>
        <w:t>tabl</w:t>
      </w:r>
      <w:r w:rsidRPr="0032059A">
        <w:rPr>
          <w:rFonts w:ascii="Fira Sans" w:eastAsia="Times New Roman" w:hAnsi="Fira Sans" w:cs="Times New Roman"/>
          <w:i/>
          <w:color w:val="000000" w:themeColor="text1"/>
          <w:sz w:val="19"/>
          <w:szCs w:val="19"/>
          <w:lang w:eastAsia="pl-PL"/>
        </w:rPr>
        <w:t>. 2.1.1</w:t>
      </w:r>
      <w:r w:rsidRPr="0032059A">
        <w:rPr>
          <w:rFonts w:ascii="Fira Sans" w:eastAsia="Times New Roman" w:hAnsi="Fira Sans" w:cs="Times New Roman"/>
          <w:color w:val="000000" w:themeColor="text1"/>
          <w:sz w:val="19"/>
          <w:szCs w:val="19"/>
          <w:lang w:eastAsia="pl-PL"/>
        </w:rPr>
        <w:t>)</w:t>
      </w:r>
    </w:p>
    <w:p w:rsidR="00D649A8" w:rsidRPr="0032059A" w:rsidRDefault="00D649A8" w:rsidP="0032059A">
      <w:pPr>
        <w:autoSpaceDE w:val="0"/>
        <w:autoSpaceDN w:val="0"/>
        <w:adjustRightInd w:val="0"/>
        <w:spacing w:before="60" w:after="0" w:line="360" w:lineRule="auto"/>
        <w:ind w:firstLine="709"/>
        <w:jc w:val="both"/>
        <w:rPr>
          <w:rFonts w:ascii="Fira Sans" w:eastAsia="Times New Roman" w:hAnsi="Fira Sans" w:cs="Times New Roman"/>
          <w:color w:val="000000" w:themeColor="text1"/>
          <w:sz w:val="19"/>
          <w:szCs w:val="19"/>
          <w:lang w:eastAsia="pl-PL"/>
        </w:rPr>
      </w:pPr>
      <w:r w:rsidRPr="0032059A">
        <w:rPr>
          <w:rFonts w:ascii="Fira Sans" w:eastAsia="Times New Roman" w:hAnsi="Fira Sans" w:cs="Times New Roman"/>
          <w:color w:val="000000" w:themeColor="text1"/>
          <w:sz w:val="19"/>
          <w:szCs w:val="19"/>
          <w:lang w:eastAsia="pl-PL"/>
        </w:rPr>
        <w:t xml:space="preserve">Gospodarstwo domowe, w którym mieszkała przynajmniej jedna osoba starsza, częściej można było spotkać na wsi (46%) niż w mieście. </w:t>
      </w:r>
      <w:r w:rsidR="0019588B" w:rsidRPr="0032059A">
        <w:rPr>
          <w:rFonts w:ascii="Fira Sans" w:eastAsia="Times New Roman" w:hAnsi="Fira Sans" w:cs="Times New Roman"/>
          <w:color w:val="000000" w:themeColor="text1"/>
          <w:sz w:val="19"/>
          <w:szCs w:val="19"/>
          <w:lang w:eastAsia="pl-PL"/>
        </w:rPr>
        <w:t>L</w:t>
      </w:r>
      <w:r w:rsidRPr="0032059A">
        <w:rPr>
          <w:rFonts w:ascii="Fira Sans" w:eastAsia="Times New Roman" w:hAnsi="Fira Sans" w:cs="Times New Roman"/>
          <w:color w:val="000000" w:themeColor="text1"/>
          <w:sz w:val="19"/>
          <w:szCs w:val="19"/>
          <w:lang w:eastAsia="pl-PL"/>
        </w:rPr>
        <w:t>iczba gospodarstw domowych tworzonych wyłącznie przez osoby w</w:t>
      </w:r>
      <w:r w:rsidR="007402E0" w:rsidRPr="0032059A">
        <w:rPr>
          <w:rFonts w:ascii="Fira Sans" w:eastAsia="Times New Roman" w:hAnsi="Fira Sans" w:cs="Times New Roman"/>
          <w:color w:val="000000" w:themeColor="text1"/>
          <w:sz w:val="19"/>
          <w:szCs w:val="19"/>
          <w:lang w:eastAsia="pl-PL"/>
        </w:rPr>
        <w:t> </w:t>
      </w:r>
      <w:r w:rsidRPr="0032059A">
        <w:rPr>
          <w:rFonts w:ascii="Fira Sans" w:eastAsia="Times New Roman" w:hAnsi="Fira Sans" w:cs="Times New Roman"/>
          <w:color w:val="000000" w:themeColor="text1"/>
          <w:sz w:val="19"/>
          <w:szCs w:val="19"/>
          <w:lang w:eastAsia="pl-PL"/>
        </w:rPr>
        <w:t>wieku 60 lat i więcej wynosiła w 2011 roku ponad 2,6 mln i stanowiły one blisko połowę gospodarstw domowych z osobami starszymi. Częściej takie gospodarstwa domowe występowały w</w:t>
      </w:r>
      <w:r w:rsidR="007402E0" w:rsidRPr="0032059A">
        <w:rPr>
          <w:rFonts w:ascii="Fira Sans" w:eastAsia="Times New Roman" w:hAnsi="Fira Sans" w:cs="Times New Roman"/>
          <w:color w:val="000000" w:themeColor="text1"/>
          <w:sz w:val="19"/>
          <w:szCs w:val="19"/>
          <w:lang w:eastAsia="pl-PL"/>
        </w:rPr>
        <w:t> </w:t>
      </w:r>
      <w:r w:rsidRPr="0032059A">
        <w:rPr>
          <w:rFonts w:ascii="Fira Sans" w:eastAsia="Times New Roman" w:hAnsi="Fira Sans" w:cs="Times New Roman"/>
          <w:color w:val="000000" w:themeColor="text1"/>
          <w:sz w:val="19"/>
          <w:szCs w:val="19"/>
          <w:lang w:eastAsia="pl-PL"/>
        </w:rPr>
        <w:t>miastach niż na wsi.</w:t>
      </w:r>
    </w:p>
    <w:p w:rsidR="00D649A8" w:rsidRPr="0032059A" w:rsidRDefault="0019588B" w:rsidP="0032059A">
      <w:pPr>
        <w:autoSpaceDE w:val="0"/>
        <w:autoSpaceDN w:val="0"/>
        <w:adjustRightInd w:val="0"/>
        <w:spacing w:before="60" w:after="0" w:line="360" w:lineRule="auto"/>
        <w:ind w:firstLine="709"/>
        <w:jc w:val="both"/>
        <w:rPr>
          <w:rFonts w:ascii="Fira Sans" w:eastAsia="Times New Roman" w:hAnsi="Fira Sans" w:cs="Times New Roman"/>
          <w:color w:val="000000" w:themeColor="text1"/>
          <w:sz w:val="19"/>
          <w:szCs w:val="19"/>
          <w:lang w:eastAsia="pl-PL"/>
        </w:rPr>
      </w:pPr>
      <w:r w:rsidRPr="0032059A">
        <w:rPr>
          <w:rFonts w:ascii="Fira Sans" w:eastAsia="Times New Roman" w:hAnsi="Fira Sans" w:cs="Times New Roman"/>
          <w:color w:val="000000" w:themeColor="text1"/>
          <w:sz w:val="19"/>
          <w:szCs w:val="19"/>
          <w:lang w:eastAsia="pl-PL"/>
        </w:rPr>
        <w:t>W</w:t>
      </w:r>
      <w:r w:rsidR="00D649A8" w:rsidRPr="0032059A">
        <w:rPr>
          <w:rFonts w:ascii="Fira Sans" w:eastAsia="Times New Roman" w:hAnsi="Fira Sans" w:cs="Times New Roman"/>
          <w:color w:val="000000" w:themeColor="text1"/>
          <w:sz w:val="19"/>
          <w:szCs w:val="19"/>
          <w:lang w:eastAsia="pl-PL"/>
        </w:rPr>
        <w:t xml:space="preserve">śród ogółu gospodarstw domowych z osobami starszymi, prawie 40% </w:t>
      </w:r>
      <w:r w:rsidR="0032059A">
        <w:rPr>
          <w:rFonts w:ascii="Fira Sans" w:eastAsia="Times New Roman" w:hAnsi="Fira Sans" w:cs="Times New Roman"/>
          <w:color w:val="000000" w:themeColor="text1"/>
          <w:sz w:val="19"/>
          <w:szCs w:val="19"/>
          <w:lang w:eastAsia="pl-PL"/>
        </w:rPr>
        <w:t>to gospodarstwa, w </w:t>
      </w:r>
      <w:r w:rsidR="00D649A8" w:rsidRPr="0032059A">
        <w:rPr>
          <w:rFonts w:ascii="Fira Sans" w:eastAsia="Times New Roman" w:hAnsi="Fira Sans" w:cs="Times New Roman"/>
          <w:color w:val="000000" w:themeColor="text1"/>
          <w:sz w:val="19"/>
          <w:szCs w:val="19"/>
          <w:lang w:eastAsia="pl-PL"/>
        </w:rPr>
        <w:t>których mieszkała osoba niepełnosprawna. Więcej takich gospodarstw występowało w</w:t>
      </w:r>
      <w:r w:rsidR="007402E0" w:rsidRPr="0032059A">
        <w:rPr>
          <w:rFonts w:ascii="Fira Sans" w:eastAsia="Times New Roman" w:hAnsi="Fira Sans" w:cs="Times New Roman"/>
          <w:color w:val="000000" w:themeColor="text1"/>
          <w:sz w:val="19"/>
          <w:szCs w:val="19"/>
          <w:lang w:eastAsia="pl-PL"/>
        </w:rPr>
        <w:t> </w:t>
      </w:r>
      <w:r w:rsidRPr="0032059A">
        <w:rPr>
          <w:rFonts w:ascii="Fira Sans" w:eastAsia="Times New Roman" w:hAnsi="Fira Sans" w:cs="Times New Roman"/>
          <w:color w:val="000000" w:themeColor="text1"/>
          <w:sz w:val="19"/>
          <w:szCs w:val="19"/>
          <w:lang w:eastAsia="pl-PL"/>
        </w:rPr>
        <w:t>miastach</w:t>
      </w:r>
      <w:r w:rsidR="00D649A8" w:rsidRPr="0032059A">
        <w:rPr>
          <w:rFonts w:ascii="Fira Sans" w:eastAsia="Times New Roman" w:hAnsi="Fira Sans" w:cs="Times New Roman"/>
          <w:color w:val="000000" w:themeColor="text1"/>
          <w:sz w:val="19"/>
          <w:szCs w:val="19"/>
          <w:lang w:eastAsia="pl-PL"/>
        </w:rPr>
        <w:t xml:space="preserve"> </w:t>
      </w:r>
      <w:r w:rsidR="00D649A8" w:rsidRPr="0032059A">
        <w:rPr>
          <w:rFonts w:ascii="Fira Sans" w:eastAsia="Times New Roman" w:hAnsi="Fira Sans" w:cs="Times New Roman"/>
          <w:i/>
          <w:color w:val="000000" w:themeColor="text1"/>
          <w:sz w:val="19"/>
          <w:szCs w:val="19"/>
          <w:lang w:eastAsia="pl-PL"/>
        </w:rPr>
        <w:t>(</w:t>
      </w:r>
      <w:r w:rsidR="003416EC" w:rsidRPr="0032059A">
        <w:rPr>
          <w:rFonts w:ascii="Fira Sans" w:eastAsia="Times New Roman" w:hAnsi="Fira Sans" w:cs="Times New Roman"/>
          <w:i/>
          <w:color w:val="000000" w:themeColor="text1"/>
          <w:sz w:val="19"/>
          <w:szCs w:val="19"/>
          <w:lang w:eastAsia="pl-PL"/>
        </w:rPr>
        <w:t>tabl</w:t>
      </w:r>
      <w:r w:rsidR="0032059A">
        <w:rPr>
          <w:rFonts w:ascii="Fira Sans" w:eastAsia="Times New Roman" w:hAnsi="Fira Sans" w:cs="Times New Roman"/>
          <w:i/>
          <w:color w:val="000000" w:themeColor="text1"/>
          <w:sz w:val="19"/>
          <w:szCs w:val="19"/>
          <w:lang w:eastAsia="pl-PL"/>
        </w:rPr>
        <w:t>. </w:t>
      </w:r>
      <w:r w:rsidR="00D649A8" w:rsidRPr="0032059A">
        <w:rPr>
          <w:rFonts w:ascii="Fira Sans" w:eastAsia="Times New Roman" w:hAnsi="Fira Sans" w:cs="Times New Roman"/>
          <w:i/>
          <w:color w:val="000000" w:themeColor="text1"/>
          <w:sz w:val="19"/>
          <w:szCs w:val="19"/>
          <w:lang w:eastAsia="pl-PL"/>
        </w:rPr>
        <w:t>2.1.2</w:t>
      </w:r>
      <w:r w:rsidR="00D649A8" w:rsidRPr="0032059A">
        <w:rPr>
          <w:rFonts w:ascii="Fira Sans" w:eastAsia="Times New Roman" w:hAnsi="Fira Sans" w:cs="Times New Roman"/>
          <w:color w:val="000000" w:themeColor="text1"/>
          <w:sz w:val="19"/>
          <w:szCs w:val="19"/>
          <w:lang w:eastAsia="pl-PL"/>
        </w:rPr>
        <w:t>)</w:t>
      </w:r>
      <w:r w:rsidRPr="0032059A">
        <w:rPr>
          <w:rFonts w:ascii="Fira Sans" w:eastAsia="Times New Roman" w:hAnsi="Fira Sans" w:cs="Times New Roman"/>
          <w:color w:val="000000" w:themeColor="text1"/>
          <w:sz w:val="19"/>
          <w:szCs w:val="19"/>
          <w:lang w:eastAsia="pl-PL"/>
        </w:rPr>
        <w:t>.</w:t>
      </w:r>
    </w:p>
    <w:p w:rsidR="00D649A8" w:rsidRPr="0032059A" w:rsidRDefault="00D649A8" w:rsidP="0032059A">
      <w:pPr>
        <w:autoSpaceDE w:val="0"/>
        <w:autoSpaceDN w:val="0"/>
        <w:adjustRightInd w:val="0"/>
        <w:spacing w:before="60" w:after="0" w:line="360" w:lineRule="auto"/>
        <w:ind w:firstLine="709"/>
        <w:jc w:val="both"/>
        <w:rPr>
          <w:rFonts w:ascii="Fira Sans" w:eastAsia="Times New Roman" w:hAnsi="Fira Sans" w:cs="Times New Roman"/>
          <w:color w:val="000000" w:themeColor="text1"/>
          <w:sz w:val="19"/>
          <w:szCs w:val="19"/>
          <w:lang w:eastAsia="pl-PL"/>
        </w:rPr>
      </w:pPr>
      <w:r w:rsidRPr="0032059A">
        <w:rPr>
          <w:rFonts w:ascii="Fira Sans" w:eastAsia="Times New Roman" w:hAnsi="Fira Sans" w:cs="Times New Roman"/>
          <w:color w:val="000000" w:themeColor="text1"/>
          <w:sz w:val="19"/>
          <w:szCs w:val="19"/>
          <w:lang w:eastAsia="pl-PL"/>
        </w:rPr>
        <w:t>Ważnym czynnikiem opisującym gospodarstwa domowe jest sytuacja mieszkaniowa. Biorąc pod uwagę samodzielność zamieszkiwania osób w starszym wieku można stwierdzić, że w 2011 roku spośród wszystkich gospodarstw domowych, których członkami były osoby starsze,</w:t>
      </w:r>
      <w:r w:rsidR="0032059A">
        <w:rPr>
          <w:rFonts w:ascii="Fira Sans" w:eastAsia="Times New Roman" w:hAnsi="Fira Sans" w:cs="Times New Roman"/>
          <w:color w:val="000000" w:themeColor="text1"/>
          <w:sz w:val="19"/>
          <w:szCs w:val="19"/>
          <w:lang w:eastAsia="pl-PL"/>
        </w:rPr>
        <w:t xml:space="preserve"> zdecydowana większość (4,8 </w:t>
      </w:r>
      <w:r w:rsidRPr="0032059A">
        <w:rPr>
          <w:rFonts w:ascii="Fira Sans" w:eastAsia="Times New Roman" w:hAnsi="Fira Sans" w:cs="Times New Roman"/>
          <w:color w:val="000000" w:themeColor="text1"/>
          <w:sz w:val="19"/>
          <w:szCs w:val="19"/>
          <w:lang w:eastAsia="pl-PL"/>
        </w:rPr>
        <w:t>mln) mieszkała samodzielnie, i pod tym względem nie zauważa się większych różnic między miastem i wsią. Wśród nich prawie połowa to gospodarstwa domowe złożone wyłącznie z osób w wieku 60 lat i</w:t>
      </w:r>
      <w:r w:rsidR="007402E0" w:rsidRPr="0032059A">
        <w:rPr>
          <w:rFonts w:ascii="Fira Sans" w:eastAsia="Times New Roman" w:hAnsi="Fira Sans" w:cs="Times New Roman"/>
          <w:color w:val="000000" w:themeColor="text1"/>
          <w:sz w:val="19"/>
          <w:szCs w:val="19"/>
          <w:lang w:eastAsia="pl-PL"/>
        </w:rPr>
        <w:t> </w:t>
      </w:r>
      <w:r w:rsidRPr="0032059A">
        <w:rPr>
          <w:rFonts w:ascii="Fira Sans" w:eastAsia="Times New Roman" w:hAnsi="Fira Sans" w:cs="Times New Roman"/>
          <w:color w:val="000000" w:themeColor="text1"/>
          <w:sz w:val="19"/>
          <w:szCs w:val="19"/>
          <w:lang w:eastAsia="pl-PL"/>
        </w:rPr>
        <w:t>więcej, co</w:t>
      </w:r>
      <w:r w:rsidR="00ED1A35" w:rsidRPr="0032059A">
        <w:rPr>
          <w:rFonts w:ascii="Fira Sans" w:eastAsia="Times New Roman" w:hAnsi="Fira Sans" w:cs="Times New Roman"/>
          <w:color w:val="000000" w:themeColor="text1"/>
          <w:sz w:val="19"/>
          <w:szCs w:val="19"/>
          <w:lang w:eastAsia="pl-PL"/>
        </w:rPr>
        <w:t> </w:t>
      </w:r>
      <w:r w:rsidRPr="0032059A">
        <w:rPr>
          <w:rFonts w:ascii="Fira Sans" w:eastAsia="Times New Roman" w:hAnsi="Fira Sans" w:cs="Times New Roman"/>
          <w:color w:val="000000" w:themeColor="text1"/>
          <w:sz w:val="19"/>
          <w:szCs w:val="19"/>
          <w:lang w:eastAsia="pl-PL"/>
        </w:rPr>
        <w:t>oznacza, że w ich mieszkaniu lub domu nie było osób młodszych. Na wsi gospodarstwa domowe, złożone wyłącznie z osób starszych, nieco częściej zamieszkiwa</w:t>
      </w:r>
      <w:r w:rsidR="00D36F4C" w:rsidRPr="0032059A">
        <w:rPr>
          <w:rFonts w:ascii="Fira Sans" w:eastAsia="Times New Roman" w:hAnsi="Fira Sans" w:cs="Times New Roman"/>
          <w:color w:val="000000" w:themeColor="text1"/>
          <w:sz w:val="19"/>
          <w:szCs w:val="19"/>
          <w:lang w:eastAsia="pl-PL"/>
        </w:rPr>
        <w:t xml:space="preserve">ły </w:t>
      </w:r>
      <w:r w:rsidRPr="0032059A">
        <w:rPr>
          <w:rFonts w:ascii="Fira Sans" w:eastAsia="Times New Roman" w:hAnsi="Fira Sans" w:cs="Times New Roman"/>
          <w:color w:val="000000" w:themeColor="text1"/>
          <w:sz w:val="19"/>
          <w:szCs w:val="19"/>
          <w:lang w:eastAsia="pl-PL"/>
        </w:rPr>
        <w:t>wspólnie z</w:t>
      </w:r>
      <w:r w:rsidR="00ED1A35" w:rsidRPr="0032059A">
        <w:rPr>
          <w:rFonts w:ascii="Fira Sans" w:eastAsia="Times New Roman" w:hAnsi="Fira Sans" w:cs="Times New Roman"/>
          <w:color w:val="000000" w:themeColor="text1"/>
          <w:sz w:val="19"/>
          <w:szCs w:val="19"/>
          <w:lang w:eastAsia="pl-PL"/>
        </w:rPr>
        <w:t> </w:t>
      </w:r>
      <w:r w:rsidRPr="0032059A">
        <w:rPr>
          <w:rFonts w:ascii="Fira Sans" w:eastAsia="Times New Roman" w:hAnsi="Fira Sans" w:cs="Times New Roman"/>
          <w:color w:val="000000" w:themeColor="text1"/>
          <w:sz w:val="19"/>
          <w:szCs w:val="19"/>
          <w:lang w:eastAsia="pl-PL"/>
        </w:rPr>
        <w:t xml:space="preserve">innym gospodarstwem domowym </w:t>
      </w:r>
      <w:r w:rsidRPr="0032059A">
        <w:rPr>
          <w:rFonts w:ascii="Fira Sans" w:eastAsia="Times New Roman" w:hAnsi="Fira Sans" w:cs="Times New Roman"/>
          <w:i/>
          <w:color w:val="000000" w:themeColor="text1"/>
          <w:sz w:val="19"/>
          <w:szCs w:val="19"/>
          <w:lang w:eastAsia="pl-PL"/>
        </w:rPr>
        <w:t>(</w:t>
      </w:r>
      <w:r w:rsidR="003416EC" w:rsidRPr="0032059A">
        <w:rPr>
          <w:rFonts w:ascii="Fira Sans" w:eastAsia="Times New Roman" w:hAnsi="Fira Sans" w:cs="Times New Roman"/>
          <w:i/>
          <w:color w:val="000000" w:themeColor="text1"/>
          <w:sz w:val="19"/>
          <w:szCs w:val="19"/>
          <w:lang w:eastAsia="pl-PL"/>
        </w:rPr>
        <w:t>tabl</w:t>
      </w:r>
      <w:r w:rsidRPr="0032059A">
        <w:rPr>
          <w:rFonts w:ascii="Fira Sans" w:eastAsia="Times New Roman" w:hAnsi="Fira Sans" w:cs="Times New Roman"/>
          <w:i/>
          <w:color w:val="000000" w:themeColor="text1"/>
          <w:sz w:val="19"/>
          <w:szCs w:val="19"/>
          <w:lang w:eastAsia="pl-PL"/>
        </w:rPr>
        <w:t>. 2.1.3).</w:t>
      </w:r>
      <w:r w:rsidRPr="0032059A">
        <w:rPr>
          <w:rFonts w:ascii="Fira Sans" w:eastAsia="Times New Roman" w:hAnsi="Fira Sans" w:cs="Times New Roman"/>
          <w:color w:val="000000" w:themeColor="text1"/>
          <w:sz w:val="19"/>
          <w:szCs w:val="19"/>
          <w:lang w:eastAsia="pl-PL"/>
        </w:rPr>
        <w:t xml:space="preserve"> </w:t>
      </w:r>
    </w:p>
    <w:p w:rsidR="00D649A8" w:rsidRPr="0032059A" w:rsidRDefault="00D649A8" w:rsidP="0011143F">
      <w:pPr>
        <w:spacing w:after="120" w:line="360" w:lineRule="auto"/>
        <w:ind w:firstLine="708"/>
        <w:jc w:val="both"/>
        <w:rPr>
          <w:rFonts w:ascii="Fira Sans" w:eastAsia="Times New Roman" w:hAnsi="Fira Sans" w:cs="Times New Roman"/>
          <w:color w:val="000000" w:themeColor="text1"/>
          <w:sz w:val="19"/>
          <w:szCs w:val="19"/>
          <w:lang w:eastAsia="pl-PL"/>
        </w:rPr>
      </w:pPr>
      <w:r w:rsidRPr="0032059A">
        <w:rPr>
          <w:rFonts w:ascii="Fira Sans" w:eastAsia="Times New Roman" w:hAnsi="Fira Sans" w:cs="Times New Roman"/>
          <w:color w:val="000000" w:themeColor="text1"/>
          <w:sz w:val="19"/>
          <w:szCs w:val="19"/>
          <w:lang w:eastAsia="pl-PL"/>
        </w:rPr>
        <w:t>Osoby starsze najczęściej były członkami wieloosobowych gospodarstw domowych (tzn. złożonych z</w:t>
      </w:r>
      <w:r w:rsidR="007402E0" w:rsidRPr="0032059A">
        <w:rPr>
          <w:rFonts w:ascii="Fira Sans" w:eastAsia="Times New Roman" w:hAnsi="Fira Sans" w:cs="Times New Roman"/>
          <w:color w:val="000000" w:themeColor="text1"/>
          <w:sz w:val="19"/>
          <w:szCs w:val="19"/>
          <w:lang w:eastAsia="pl-PL"/>
        </w:rPr>
        <w:t> </w:t>
      </w:r>
      <w:r w:rsidRPr="0032059A">
        <w:rPr>
          <w:rFonts w:ascii="Fira Sans" w:eastAsia="Times New Roman" w:hAnsi="Fira Sans" w:cs="Times New Roman"/>
          <w:color w:val="000000" w:themeColor="text1"/>
          <w:sz w:val="19"/>
          <w:szCs w:val="19"/>
          <w:lang w:eastAsia="pl-PL"/>
        </w:rPr>
        <w:t>dwóch lub większej liczby osób)</w:t>
      </w:r>
      <w:r w:rsidRPr="0032059A">
        <w:rPr>
          <w:rFonts w:ascii="Fira Sans" w:eastAsia="Times New Roman" w:hAnsi="Fira Sans" w:cs="Times New Roman"/>
          <w:i/>
          <w:color w:val="000000" w:themeColor="text1"/>
          <w:sz w:val="19"/>
          <w:szCs w:val="19"/>
          <w:lang w:eastAsia="pl-PL"/>
        </w:rPr>
        <w:t xml:space="preserve"> - </w:t>
      </w:r>
      <w:r w:rsidR="003416EC" w:rsidRPr="0032059A">
        <w:rPr>
          <w:rFonts w:ascii="Fira Sans" w:eastAsia="Times New Roman" w:hAnsi="Fira Sans" w:cs="Times New Roman"/>
          <w:i/>
          <w:color w:val="000000" w:themeColor="text1"/>
          <w:sz w:val="19"/>
          <w:szCs w:val="19"/>
          <w:lang w:eastAsia="pl-PL"/>
        </w:rPr>
        <w:t>tabl</w:t>
      </w:r>
      <w:r w:rsidRPr="0032059A">
        <w:rPr>
          <w:rFonts w:ascii="Fira Sans" w:eastAsia="Times New Roman" w:hAnsi="Fira Sans" w:cs="Times New Roman"/>
          <w:i/>
          <w:color w:val="000000" w:themeColor="text1"/>
          <w:sz w:val="19"/>
          <w:szCs w:val="19"/>
          <w:lang w:eastAsia="pl-PL"/>
        </w:rPr>
        <w:t>. 2.1.</w:t>
      </w:r>
      <w:r w:rsidR="007D2694" w:rsidRPr="0032059A">
        <w:rPr>
          <w:rFonts w:ascii="Fira Sans" w:eastAsia="Times New Roman" w:hAnsi="Fira Sans" w:cs="Times New Roman"/>
          <w:i/>
          <w:color w:val="000000" w:themeColor="text1"/>
          <w:sz w:val="19"/>
          <w:szCs w:val="19"/>
          <w:lang w:eastAsia="pl-PL"/>
        </w:rPr>
        <w:t>4</w:t>
      </w:r>
      <w:r w:rsidRPr="0032059A">
        <w:rPr>
          <w:rFonts w:ascii="Fira Sans" w:eastAsia="Times New Roman" w:hAnsi="Fira Sans" w:cs="Times New Roman"/>
          <w:color w:val="000000" w:themeColor="text1"/>
          <w:sz w:val="19"/>
          <w:szCs w:val="19"/>
          <w:lang w:eastAsia="pl-PL"/>
        </w:rPr>
        <w:t>. Przeciętna liczba osób w</w:t>
      </w:r>
      <w:r w:rsidR="00ED1A35" w:rsidRPr="0032059A">
        <w:rPr>
          <w:rFonts w:ascii="Fira Sans" w:eastAsia="Times New Roman" w:hAnsi="Fira Sans" w:cs="Times New Roman"/>
          <w:color w:val="000000" w:themeColor="text1"/>
          <w:sz w:val="19"/>
          <w:szCs w:val="19"/>
          <w:lang w:eastAsia="pl-PL"/>
        </w:rPr>
        <w:t> </w:t>
      </w:r>
      <w:r w:rsidRPr="0032059A">
        <w:rPr>
          <w:rFonts w:ascii="Fira Sans" w:eastAsia="Times New Roman" w:hAnsi="Fira Sans" w:cs="Times New Roman"/>
          <w:color w:val="000000" w:themeColor="text1"/>
          <w:sz w:val="19"/>
          <w:szCs w:val="19"/>
          <w:lang w:eastAsia="pl-PL"/>
        </w:rPr>
        <w:t xml:space="preserve">gospodarstwie domowym z osobami w wieku 60 lat i więcej to 2,7, co nie odbiega od przeciętnej liczby osób wśród ogółu gospodarstwach </w:t>
      </w:r>
      <w:r w:rsidRPr="0032059A">
        <w:rPr>
          <w:rFonts w:ascii="Fira Sans" w:eastAsia="Times New Roman" w:hAnsi="Fira Sans" w:cs="Times New Roman"/>
          <w:color w:val="000000" w:themeColor="text1"/>
          <w:sz w:val="19"/>
          <w:szCs w:val="19"/>
          <w:lang w:eastAsia="pl-PL"/>
        </w:rPr>
        <w:lastRenderedPageBreak/>
        <w:t xml:space="preserve">domowych. Na wsi gospodarstwa domowe, w skład których wchodzi osoba </w:t>
      </w:r>
      <w:r w:rsidR="000C37C7">
        <w:rPr>
          <w:rFonts w:ascii="Fira Sans" w:eastAsia="Times New Roman" w:hAnsi="Fira Sans" w:cs="Times New Roman"/>
          <w:color w:val="000000" w:themeColor="text1"/>
          <w:sz w:val="19"/>
          <w:szCs w:val="19"/>
          <w:lang w:eastAsia="pl-PL"/>
        </w:rPr>
        <w:t>starsza, były liczniejsze niż w </w:t>
      </w:r>
      <w:r w:rsidRPr="0032059A">
        <w:rPr>
          <w:rFonts w:ascii="Fira Sans" w:eastAsia="Times New Roman" w:hAnsi="Fira Sans" w:cs="Times New Roman"/>
          <w:color w:val="000000" w:themeColor="text1"/>
          <w:sz w:val="19"/>
          <w:szCs w:val="19"/>
          <w:lang w:eastAsia="pl-PL"/>
        </w:rPr>
        <w:t>miastach, a</w:t>
      </w:r>
      <w:r w:rsidR="007402E0" w:rsidRPr="0032059A">
        <w:rPr>
          <w:rFonts w:ascii="Fira Sans" w:eastAsia="Times New Roman" w:hAnsi="Fira Sans" w:cs="Times New Roman"/>
          <w:color w:val="000000" w:themeColor="text1"/>
          <w:sz w:val="19"/>
          <w:szCs w:val="19"/>
          <w:lang w:eastAsia="pl-PL"/>
        </w:rPr>
        <w:t> </w:t>
      </w:r>
      <w:r w:rsidRPr="0032059A">
        <w:rPr>
          <w:rFonts w:ascii="Fira Sans" w:eastAsia="Times New Roman" w:hAnsi="Fira Sans" w:cs="Times New Roman"/>
          <w:color w:val="000000" w:themeColor="text1"/>
          <w:sz w:val="19"/>
          <w:szCs w:val="19"/>
          <w:lang w:eastAsia="pl-PL"/>
        </w:rPr>
        <w:t xml:space="preserve">przeciętna liczba osób wynosiła 3,4. </w:t>
      </w:r>
    </w:p>
    <w:p w:rsidR="00E72B79" w:rsidRPr="000C37C7" w:rsidRDefault="00E72B79" w:rsidP="000D1535">
      <w:pPr>
        <w:pStyle w:val="Nagwek1"/>
        <w:rPr>
          <w:rFonts w:ascii="Fira Sans" w:hAnsi="Fira Sans"/>
          <w:sz w:val="24"/>
          <w:szCs w:val="24"/>
          <w:lang w:eastAsia="pl-PL"/>
        </w:rPr>
      </w:pPr>
      <w:bookmarkStart w:id="10" w:name="_Toc456009380"/>
      <w:r w:rsidRPr="000C37C7">
        <w:rPr>
          <w:rFonts w:ascii="Fira Sans" w:hAnsi="Fira Sans"/>
          <w:sz w:val="24"/>
          <w:szCs w:val="24"/>
        </w:rPr>
        <w:t>Sytuacja</w:t>
      </w:r>
      <w:r w:rsidRPr="000C37C7">
        <w:rPr>
          <w:rFonts w:ascii="Fira Sans" w:hAnsi="Fira Sans"/>
          <w:sz w:val="24"/>
          <w:szCs w:val="24"/>
          <w:lang w:eastAsia="pl-PL"/>
        </w:rPr>
        <w:t xml:space="preserve"> dochodowa, warunki bytu, w tym warunki mieszkaniowe</w:t>
      </w:r>
      <w:bookmarkEnd w:id="10"/>
    </w:p>
    <w:p w:rsidR="008608D6" w:rsidRPr="000C37C7" w:rsidRDefault="008608D6" w:rsidP="008608D6">
      <w:pPr>
        <w:spacing w:before="240" w:after="120" w:line="360" w:lineRule="auto"/>
        <w:ind w:firstLine="709"/>
        <w:jc w:val="both"/>
        <w:rPr>
          <w:rFonts w:ascii="Fira Sans" w:hAnsi="Fira Sans" w:cs="Times New Roman"/>
          <w:sz w:val="19"/>
          <w:szCs w:val="19"/>
        </w:rPr>
      </w:pPr>
      <w:bookmarkStart w:id="11" w:name="_Toc456009381"/>
      <w:r w:rsidRPr="000C37C7">
        <w:rPr>
          <w:rFonts w:ascii="Fira Sans" w:hAnsi="Fira Sans" w:cs="Times New Roman"/>
          <w:sz w:val="19"/>
          <w:szCs w:val="19"/>
        </w:rPr>
        <w:t>Na podstawie wyników reprezentacyjnego badania budżetów gospodarstw domowych w 2017 r., przeciętny miesięczny dochód rozporządzalny na 1 osobę w gospodarstwach domowych zamieszkiwanych wyłącznie przez osoby starsze (w wieku 60 lat i więcej) wyniósł 1888,76 zł i był o 17,5% wyższy niż w gospodarstwach, w skład których wchodziły wyłącznie osoby młodsze, w wieku poniżej 60 lat (</w:t>
      </w:r>
      <w:r w:rsidRPr="000C37C7">
        <w:rPr>
          <w:rFonts w:ascii="Fira Sans" w:hAnsi="Fira Sans" w:cs="Times New Roman"/>
          <w:i/>
          <w:sz w:val="19"/>
          <w:szCs w:val="19"/>
        </w:rPr>
        <w:t>tabl. 3.1).</w:t>
      </w:r>
      <w:r w:rsidRPr="000C37C7">
        <w:rPr>
          <w:rFonts w:ascii="Fira Sans" w:hAnsi="Fira Sans" w:cs="Times New Roman"/>
          <w:sz w:val="19"/>
          <w:szCs w:val="19"/>
        </w:rPr>
        <w:t xml:space="preserve"> Analizując te dane należy wziąć pod uwagę średnią liczbę osób w tych gospodarstwach. W gospodarstwach domowych wyłącznie z osobami w wieku 60 lat i więcej dominowały gospodarstwa </w:t>
      </w:r>
      <w:r w:rsidR="008325FE">
        <w:rPr>
          <w:rFonts w:ascii="Fira Sans" w:hAnsi="Fira Sans" w:cs="Times New Roman"/>
          <w:sz w:val="19"/>
          <w:szCs w:val="19"/>
        </w:rPr>
        <w:br/>
      </w:r>
      <w:r w:rsidRPr="000C37C7">
        <w:rPr>
          <w:rFonts w:ascii="Fira Sans" w:hAnsi="Fira Sans" w:cs="Times New Roman"/>
          <w:sz w:val="19"/>
          <w:szCs w:val="19"/>
        </w:rPr>
        <w:t>1 i 2-osobowe, podczas gdy w skład gospodarstw domowych bez osób starszych wchodziło przeciętnie około 3 osób (w tym dzieci, które pozostawały na utrzymaniu). W porównaniu do roku 2016 nastąp</w:t>
      </w:r>
      <w:r w:rsidR="000C37C7">
        <w:rPr>
          <w:rFonts w:ascii="Fira Sans" w:hAnsi="Fira Sans" w:cs="Times New Roman"/>
          <w:sz w:val="19"/>
          <w:szCs w:val="19"/>
        </w:rPr>
        <w:t>ił wzrost dochodów na 1 osobę w </w:t>
      </w:r>
      <w:r w:rsidRPr="000C37C7">
        <w:rPr>
          <w:rFonts w:ascii="Fira Sans" w:hAnsi="Fira Sans" w:cs="Times New Roman"/>
          <w:sz w:val="19"/>
          <w:szCs w:val="19"/>
        </w:rPr>
        <w:t>gospodarstwach domowych zamieszkiwanych wyłącznie przez osoby sta</w:t>
      </w:r>
      <w:r w:rsidR="000C37C7">
        <w:rPr>
          <w:rFonts w:ascii="Fira Sans" w:hAnsi="Fira Sans" w:cs="Times New Roman"/>
          <w:sz w:val="19"/>
          <w:szCs w:val="19"/>
        </w:rPr>
        <w:t>rsze w wieku 60 lat i więcej o </w:t>
      </w:r>
      <w:r w:rsidRPr="000C37C7">
        <w:rPr>
          <w:rFonts w:ascii="Fira Sans" w:hAnsi="Fira Sans" w:cs="Times New Roman"/>
          <w:sz w:val="19"/>
          <w:szCs w:val="19"/>
        </w:rPr>
        <w:t>3,3%</w:t>
      </w:r>
      <w:r w:rsidR="00D61B1E">
        <w:rPr>
          <w:rFonts w:ascii="Fira Sans" w:hAnsi="Fira Sans" w:cs="Times New Roman"/>
          <w:sz w:val="19"/>
          <w:szCs w:val="19"/>
        </w:rPr>
        <w:t>,</w:t>
      </w:r>
      <w:r w:rsidRPr="000C37C7">
        <w:rPr>
          <w:rFonts w:ascii="Fira Sans" w:hAnsi="Fira Sans" w:cs="Times New Roman"/>
          <w:sz w:val="19"/>
          <w:szCs w:val="19"/>
        </w:rPr>
        <w:t xml:space="preserve"> podczas gdy w gospodarstwach, w skład których wchodziły wyłącznie osoby młodsze w wieku poniżej 60 lat – o 9,2%.</w:t>
      </w:r>
    </w:p>
    <w:p w:rsidR="008608D6" w:rsidRPr="000C37C7" w:rsidRDefault="008608D6" w:rsidP="008608D6">
      <w:pPr>
        <w:spacing w:after="0" w:line="360" w:lineRule="auto"/>
        <w:ind w:firstLine="708"/>
        <w:jc w:val="both"/>
        <w:rPr>
          <w:rFonts w:ascii="Fira Sans" w:hAnsi="Fira Sans" w:cs="Times New Roman"/>
          <w:sz w:val="19"/>
          <w:szCs w:val="19"/>
        </w:rPr>
      </w:pPr>
      <w:r w:rsidRPr="000C37C7">
        <w:rPr>
          <w:rFonts w:ascii="Fira Sans" w:hAnsi="Fira Sans" w:cs="Times New Roman"/>
          <w:sz w:val="19"/>
          <w:szCs w:val="19"/>
        </w:rPr>
        <w:t>Gospodarstwa domowe wyłącznie z osobami w wieku 60 lat i więcej utrzymywały się przede wszystkim z emerytur lub rent, podczas gdy gospodarstwa domowe, w skład których wchodziły tylko osoby poniżej 60 lat, utrzymywały się głównie z pracy (najemnej oraz pracy na własny rachunek) (</w:t>
      </w:r>
      <w:r w:rsidRPr="000C37C7">
        <w:rPr>
          <w:rFonts w:ascii="Fira Sans" w:hAnsi="Fira Sans" w:cs="Times New Roman"/>
          <w:i/>
          <w:sz w:val="19"/>
          <w:szCs w:val="19"/>
        </w:rPr>
        <w:t>tabl. 3.1</w:t>
      </w:r>
      <w:r w:rsidRPr="000C37C7">
        <w:rPr>
          <w:rFonts w:ascii="Fira Sans" w:hAnsi="Fira Sans" w:cs="Times New Roman"/>
          <w:sz w:val="19"/>
          <w:szCs w:val="19"/>
        </w:rPr>
        <w:t>).</w:t>
      </w:r>
    </w:p>
    <w:p w:rsidR="008608D6" w:rsidRPr="000C37C7" w:rsidRDefault="008608D6" w:rsidP="000C37C7">
      <w:pPr>
        <w:spacing w:before="240" w:after="0" w:line="360" w:lineRule="auto"/>
        <w:ind w:firstLine="709"/>
        <w:jc w:val="both"/>
        <w:rPr>
          <w:rFonts w:ascii="Fira Sans" w:hAnsi="Fira Sans" w:cs="Times New Roman"/>
          <w:sz w:val="19"/>
          <w:szCs w:val="19"/>
        </w:rPr>
      </w:pPr>
      <w:r w:rsidRPr="000C37C7">
        <w:rPr>
          <w:rFonts w:ascii="Fira Sans" w:hAnsi="Fira Sans" w:cs="Times New Roman"/>
          <w:sz w:val="19"/>
          <w:szCs w:val="19"/>
        </w:rPr>
        <w:t>Przeciętne miesięczne wydatki na 1 osobę w gospodarstwach domowych zamieszkiwanych tylko przez osoby w wieku 60 lat i więcej wyniosły 1514,69 zł i były o 28,4% wyższe niż w gospodarstwach, w skład których wchodziły wyłącznie osoby młodsze (</w:t>
      </w:r>
      <w:r w:rsidRPr="000C37C7">
        <w:rPr>
          <w:rFonts w:ascii="Fira Sans" w:hAnsi="Fira Sans" w:cs="Times New Roman"/>
          <w:i/>
          <w:sz w:val="19"/>
          <w:szCs w:val="19"/>
        </w:rPr>
        <w:t>tabl. 3.2</w:t>
      </w:r>
      <w:r w:rsidRPr="000C37C7">
        <w:rPr>
          <w:rFonts w:ascii="Fira Sans" w:hAnsi="Fira Sans" w:cs="Times New Roman"/>
          <w:sz w:val="19"/>
          <w:szCs w:val="19"/>
        </w:rPr>
        <w:t>). W porównaniu do roku 2016 nastąpił wzrost wydatków na 1 osobę w gospodarstwach domowych zamieszkiwanych w</w:t>
      </w:r>
      <w:r w:rsidR="000C37C7">
        <w:rPr>
          <w:rFonts w:ascii="Fira Sans" w:hAnsi="Fira Sans" w:cs="Times New Roman"/>
          <w:sz w:val="19"/>
          <w:szCs w:val="19"/>
        </w:rPr>
        <w:t>yłącznie przez osoby starsze, w </w:t>
      </w:r>
      <w:r w:rsidRPr="000C37C7">
        <w:rPr>
          <w:rFonts w:ascii="Fira Sans" w:hAnsi="Fira Sans" w:cs="Times New Roman"/>
          <w:sz w:val="19"/>
          <w:szCs w:val="19"/>
        </w:rPr>
        <w:t>wieku 60 lat i więcej o 1,0%, podczas gdy w gospodarstwach, w skład których wchodziły wyłącznie osoby młodsze, w wieku poniżej 60 lat – o 5,0%.</w:t>
      </w:r>
    </w:p>
    <w:p w:rsidR="008608D6" w:rsidRPr="000C37C7" w:rsidRDefault="008608D6" w:rsidP="008608D6">
      <w:pPr>
        <w:spacing w:after="0" w:line="360" w:lineRule="auto"/>
        <w:ind w:firstLine="708"/>
        <w:jc w:val="both"/>
        <w:rPr>
          <w:rFonts w:ascii="Fira Sans" w:hAnsi="Fira Sans" w:cs="Times New Roman"/>
          <w:sz w:val="19"/>
          <w:szCs w:val="19"/>
        </w:rPr>
      </w:pPr>
      <w:r w:rsidRPr="000C37C7">
        <w:rPr>
          <w:rFonts w:ascii="Fira Sans" w:hAnsi="Fira Sans" w:cs="Times New Roman"/>
          <w:sz w:val="19"/>
          <w:szCs w:val="19"/>
        </w:rPr>
        <w:t xml:space="preserve">Udział przeciętnych miesięcznych wydatków na 1 osobę w dochodzie rozporządzalnym w gospodarstwach domowych wyłącznie z osobami w wieku 60 lat i więcej wyniósł 80,2% </w:t>
      </w:r>
      <w:r w:rsidR="000C37C7">
        <w:rPr>
          <w:rFonts w:ascii="Fira Sans" w:hAnsi="Fira Sans" w:cs="Times New Roman"/>
          <w:sz w:val="19"/>
          <w:szCs w:val="19"/>
        </w:rPr>
        <w:t>i był niższy niż w </w:t>
      </w:r>
      <w:r w:rsidRPr="000C37C7">
        <w:rPr>
          <w:rFonts w:ascii="Fira Sans" w:hAnsi="Fira Sans" w:cs="Times New Roman"/>
          <w:sz w:val="19"/>
          <w:szCs w:val="19"/>
        </w:rPr>
        <w:t>2016 r. (82,0%), podczas gdy w gospodarstwach domowych z osobami poniżej 60 lat – 73,4%</w:t>
      </w:r>
      <w:r w:rsidR="000C37C7">
        <w:rPr>
          <w:rFonts w:ascii="Fira Sans" w:hAnsi="Fira Sans" w:cs="Times New Roman"/>
          <w:sz w:val="19"/>
          <w:szCs w:val="19"/>
        </w:rPr>
        <w:br/>
      </w:r>
      <w:r w:rsidRPr="000C37C7">
        <w:rPr>
          <w:rFonts w:ascii="Fira Sans" w:hAnsi="Fira Sans" w:cs="Times New Roman"/>
          <w:sz w:val="19"/>
          <w:szCs w:val="19"/>
        </w:rPr>
        <w:t>(w 2016 r. – 76,4%) (</w:t>
      </w:r>
      <w:r w:rsidRPr="000C37C7">
        <w:rPr>
          <w:rFonts w:ascii="Fira Sans" w:hAnsi="Fira Sans" w:cs="Times New Roman"/>
          <w:i/>
          <w:sz w:val="19"/>
          <w:szCs w:val="19"/>
        </w:rPr>
        <w:t>tabl. 3.2</w:t>
      </w:r>
      <w:r w:rsidRPr="000C37C7">
        <w:rPr>
          <w:rFonts w:ascii="Fira Sans" w:hAnsi="Fira Sans" w:cs="Times New Roman"/>
          <w:sz w:val="19"/>
          <w:szCs w:val="19"/>
        </w:rPr>
        <w:t xml:space="preserve">).  </w:t>
      </w:r>
    </w:p>
    <w:p w:rsidR="008608D6" w:rsidRPr="000C37C7" w:rsidRDefault="008608D6" w:rsidP="000C37C7">
      <w:pPr>
        <w:spacing w:after="0" w:line="360" w:lineRule="auto"/>
        <w:ind w:firstLine="709"/>
        <w:jc w:val="both"/>
        <w:rPr>
          <w:rFonts w:ascii="Fira Sans" w:hAnsi="Fira Sans" w:cs="Times New Roman"/>
          <w:sz w:val="19"/>
          <w:szCs w:val="19"/>
        </w:rPr>
      </w:pPr>
      <w:r w:rsidRPr="000C37C7">
        <w:rPr>
          <w:rFonts w:ascii="Fira Sans" w:hAnsi="Fira Sans" w:cs="Times New Roman"/>
          <w:sz w:val="19"/>
          <w:szCs w:val="19"/>
        </w:rPr>
        <w:t xml:space="preserve">W gospodarstwach domowych, w skład których wchodziły tylko osoby w wieku 60 lat i więcej w porównaniu z gospodarstwami domowymi osób młodszych, wystąpił wyższy udział wydatków na </w:t>
      </w:r>
      <w:r w:rsidR="00FE053F">
        <w:rPr>
          <w:rFonts w:ascii="Fira Sans" w:hAnsi="Fira Sans" w:cs="Times New Roman"/>
          <w:sz w:val="19"/>
          <w:szCs w:val="19"/>
        </w:rPr>
        <w:br/>
      </w:r>
      <w:r w:rsidRPr="000C37C7">
        <w:rPr>
          <w:rFonts w:ascii="Fira Sans" w:hAnsi="Fira Sans" w:cs="Times New Roman"/>
          <w:sz w:val="19"/>
          <w:szCs w:val="19"/>
        </w:rPr>
        <w:t>1 osobę na żywność i napoje bezalkoholowe, użytkowanie mieszkania lub domu i nośniki energii oraz zdrowie (</w:t>
      </w:r>
      <w:r w:rsidR="000C37C7">
        <w:rPr>
          <w:rFonts w:ascii="Fira Sans" w:hAnsi="Fira Sans" w:cs="Times New Roman"/>
          <w:i/>
          <w:sz w:val="19"/>
          <w:szCs w:val="19"/>
        </w:rPr>
        <w:t>tabl. </w:t>
      </w:r>
      <w:r w:rsidRPr="000C37C7">
        <w:rPr>
          <w:rFonts w:ascii="Fira Sans" w:hAnsi="Fira Sans" w:cs="Times New Roman"/>
          <w:i/>
          <w:sz w:val="19"/>
          <w:szCs w:val="19"/>
        </w:rPr>
        <w:t>3.2</w:t>
      </w:r>
      <w:r w:rsidRPr="000C37C7">
        <w:rPr>
          <w:rFonts w:ascii="Fira Sans" w:hAnsi="Fira Sans" w:cs="Times New Roman"/>
          <w:sz w:val="19"/>
          <w:szCs w:val="19"/>
        </w:rPr>
        <w:t xml:space="preserve">). </w:t>
      </w:r>
    </w:p>
    <w:p w:rsidR="008608D6" w:rsidRPr="000C37C7" w:rsidRDefault="008608D6" w:rsidP="008608D6">
      <w:pPr>
        <w:spacing w:after="0" w:line="360" w:lineRule="auto"/>
        <w:ind w:firstLine="708"/>
        <w:jc w:val="both"/>
        <w:rPr>
          <w:rFonts w:ascii="Fira Sans" w:hAnsi="Fira Sans" w:cs="Times New Roman"/>
          <w:sz w:val="19"/>
          <w:szCs w:val="19"/>
        </w:rPr>
      </w:pPr>
      <w:r w:rsidRPr="000C37C7">
        <w:rPr>
          <w:rFonts w:ascii="Fira Sans" w:hAnsi="Fira Sans" w:cs="Times New Roman"/>
          <w:sz w:val="19"/>
          <w:szCs w:val="19"/>
        </w:rPr>
        <w:t>Czynnikiem istotnie różnicującym poziom, dynamikę i strukturę dochodów oraz wydatków jest miejsce zamieszkania gospodarstwa domowego. Sytuacja dochodowa gospodarstw domowych zamieszkujących w miastach jest lepsza niż gospodarstw domowyc</w:t>
      </w:r>
      <w:r w:rsidR="000C37C7">
        <w:rPr>
          <w:rFonts w:ascii="Fira Sans" w:hAnsi="Fira Sans" w:cs="Times New Roman"/>
          <w:sz w:val="19"/>
          <w:szCs w:val="19"/>
        </w:rPr>
        <w:t>h na wsi. Gospodarstwa domowe w </w:t>
      </w:r>
      <w:r w:rsidRPr="000C37C7">
        <w:rPr>
          <w:rFonts w:ascii="Fira Sans" w:hAnsi="Fira Sans" w:cs="Times New Roman"/>
          <w:sz w:val="19"/>
          <w:szCs w:val="19"/>
        </w:rPr>
        <w:t>miastach miały dochody wyższe o 26,8% w przypadku gospodarstw wyłącznie z osobami w wieku 60 lat i więcej (w 2016 r. o 30,1%)  oraz o 28,4% w przypadku gospodarstw bez osób starszych ( w 2016 r. o 32,9%) niż gospodarstwa na wsi (</w:t>
      </w:r>
      <w:r w:rsidRPr="000C37C7">
        <w:rPr>
          <w:rFonts w:ascii="Fira Sans" w:hAnsi="Fira Sans" w:cs="Times New Roman"/>
          <w:i/>
          <w:sz w:val="19"/>
          <w:szCs w:val="19"/>
        </w:rPr>
        <w:t>tabl. 3.1)</w:t>
      </w:r>
      <w:r w:rsidRPr="000C37C7">
        <w:rPr>
          <w:rFonts w:ascii="Fira Sans" w:hAnsi="Fira Sans" w:cs="Times New Roman"/>
          <w:sz w:val="19"/>
          <w:szCs w:val="19"/>
        </w:rPr>
        <w:t xml:space="preserve">. Również  wydatki gospodarstw domowych wyłącznie osób starszych </w:t>
      </w:r>
      <w:r w:rsidRPr="000C37C7">
        <w:rPr>
          <w:rFonts w:ascii="Fira Sans" w:hAnsi="Fira Sans" w:cs="Times New Roman"/>
          <w:sz w:val="19"/>
          <w:szCs w:val="19"/>
        </w:rPr>
        <w:lastRenderedPageBreak/>
        <w:t>zamieszkujących w miastach były wyższe o 18,9% (w 2016 r. o 23,5%), a w przypadku gospodarstw wyłącznie z osobami poniżej 60 roku życia - o 30,8% (w 2016 r. o 31,5%) niż gospodarstw na wsi (</w:t>
      </w:r>
      <w:r w:rsidRPr="000C37C7">
        <w:rPr>
          <w:rFonts w:ascii="Fira Sans" w:hAnsi="Fira Sans" w:cs="Times New Roman"/>
          <w:i/>
          <w:sz w:val="19"/>
          <w:szCs w:val="19"/>
        </w:rPr>
        <w:t>tabl. 3.2</w:t>
      </w:r>
      <w:r w:rsidRPr="000C37C7">
        <w:rPr>
          <w:rFonts w:ascii="Fira Sans" w:hAnsi="Fira Sans" w:cs="Times New Roman"/>
          <w:sz w:val="19"/>
          <w:szCs w:val="19"/>
        </w:rPr>
        <w:t xml:space="preserve">). </w:t>
      </w:r>
    </w:p>
    <w:p w:rsidR="008608D6" w:rsidRPr="000C37C7" w:rsidRDefault="008608D6" w:rsidP="008608D6">
      <w:pPr>
        <w:spacing w:after="0" w:line="360" w:lineRule="auto"/>
        <w:ind w:firstLine="708"/>
        <w:jc w:val="both"/>
        <w:rPr>
          <w:rFonts w:ascii="Fira Sans" w:hAnsi="Fira Sans" w:cs="Times New Roman"/>
          <w:sz w:val="19"/>
          <w:szCs w:val="19"/>
        </w:rPr>
      </w:pPr>
      <w:r w:rsidRPr="000C37C7">
        <w:rPr>
          <w:rFonts w:ascii="Fira Sans" w:hAnsi="Fira Sans" w:cs="Times New Roman"/>
          <w:sz w:val="19"/>
          <w:szCs w:val="19"/>
        </w:rPr>
        <w:t>Gospodarstwa domowe wyłącznie z osobami w wieku 60 lat i więcej, w porównaniu z gospodarstwami bez osób starszych, rzadziej oceniały swoją sytuację materialną jako bardzo dobrą lub dobrą (27,5% wobec 43,7%), a częściej jako przeciętną i raczej złą lub złą. Szczególnie negatywnie swoją sytuację materialną oceniały osoby w wieku 60 lat i więcej, zamieszkujące samotnie na wsi – 25,8% z nich oceniła swoją sytuację jako raczej złą lub złą (</w:t>
      </w:r>
      <w:r w:rsidRPr="000C37C7">
        <w:rPr>
          <w:rFonts w:ascii="Fira Sans" w:hAnsi="Fira Sans" w:cs="Times New Roman"/>
          <w:i/>
          <w:sz w:val="19"/>
          <w:szCs w:val="19"/>
        </w:rPr>
        <w:t>tabl. 3.3</w:t>
      </w:r>
      <w:r w:rsidRPr="000C37C7">
        <w:rPr>
          <w:rFonts w:ascii="Fira Sans" w:hAnsi="Fira Sans" w:cs="Times New Roman"/>
          <w:sz w:val="19"/>
          <w:szCs w:val="19"/>
        </w:rPr>
        <w:t>). Było to jednak mniej o 1,9 p. proc. niż w roku 2016.</w:t>
      </w:r>
    </w:p>
    <w:p w:rsidR="008608D6" w:rsidRPr="000C37C7" w:rsidRDefault="008608D6" w:rsidP="000C37C7">
      <w:pPr>
        <w:spacing w:after="0" w:line="360" w:lineRule="auto"/>
        <w:ind w:firstLine="709"/>
        <w:jc w:val="both"/>
        <w:rPr>
          <w:rFonts w:ascii="Fira Sans" w:hAnsi="Fira Sans" w:cs="Times New Roman"/>
          <w:sz w:val="19"/>
          <w:szCs w:val="19"/>
        </w:rPr>
      </w:pPr>
      <w:r w:rsidRPr="000C37C7">
        <w:rPr>
          <w:rFonts w:ascii="Fira Sans" w:hAnsi="Fira Sans" w:cs="Times New Roman"/>
          <w:sz w:val="19"/>
          <w:szCs w:val="19"/>
        </w:rPr>
        <w:t>W 2017 r. gospodarstwa domowe składające się wyłącznie z osób</w:t>
      </w:r>
      <w:r w:rsidR="000C37C7">
        <w:rPr>
          <w:rFonts w:ascii="Fira Sans" w:hAnsi="Fira Sans" w:cs="Times New Roman"/>
          <w:sz w:val="19"/>
          <w:szCs w:val="19"/>
        </w:rPr>
        <w:t xml:space="preserve"> starszych, będących w wieku 60 </w:t>
      </w:r>
      <w:r w:rsidRPr="000C37C7">
        <w:rPr>
          <w:rFonts w:ascii="Fira Sans" w:hAnsi="Fira Sans" w:cs="Times New Roman"/>
          <w:sz w:val="19"/>
          <w:szCs w:val="19"/>
        </w:rPr>
        <w:t>lat lub więcej, zamieszkiwały w przeważającej części budynki wielorodzinne – 61,5% (</w:t>
      </w:r>
      <w:r w:rsidRPr="000C37C7">
        <w:rPr>
          <w:rFonts w:ascii="Fira Sans" w:hAnsi="Fira Sans" w:cs="Times New Roman"/>
          <w:i/>
          <w:sz w:val="19"/>
          <w:szCs w:val="19"/>
        </w:rPr>
        <w:t>tabl.3.4</w:t>
      </w:r>
      <w:r w:rsidRPr="000C37C7">
        <w:rPr>
          <w:rFonts w:ascii="Fira Sans" w:hAnsi="Fira Sans" w:cs="Times New Roman"/>
          <w:sz w:val="19"/>
          <w:szCs w:val="19"/>
        </w:rPr>
        <w:t xml:space="preserve">).  </w:t>
      </w:r>
    </w:p>
    <w:p w:rsidR="008608D6" w:rsidRPr="000C37C7" w:rsidRDefault="008608D6" w:rsidP="000C37C7">
      <w:pPr>
        <w:spacing w:after="0" w:line="360" w:lineRule="auto"/>
        <w:ind w:firstLine="709"/>
        <w:jc w:val="both"/>
        <w:rPr>
          <w:rFonts w:ascii="Fira Sans" w:hAnsi="Fira Sans" w:cs="Times New Roman"/>
          <w:sz w:val="19"/>
          <w:szCs w:val="19"/>
        </w:rPr>
      </w:pPr>
      <w:r w:rsidRPr="000C37C7">
        <w:rPr>
          <w:rFonts w:ascii="Fira Sans" w:hAnsi="Fira Sans" w:cs="Times New Roman"/>
          <w:sz w:val="19"/>
          <w:szCs w:val="19"/>
        </w:rPr>
        <w:t>Przeciętna powierzchnia użytkowa mieszkania na 1 gospodarstwo domowe osób starszych wynosiła 66,59 m</w:t>
      </w:r>
      <w:r w:rsidRPr="000C37C7">
        <w:rPr>
          <w:rFonts w:ascii="Fira Sans" w:hAnsi="Fira Sans" w:cs="Times New Roman"/>
          <w:sz w:val="19"/>
          <w:szCs w:val="19"/>
          <w:vertAlign w:val="superscript"/>
        </w:rPr>
        <w:t>2</w:t>
      </w:r>
      <w:r w:rsidRPr="000C37C7">
        <w:rPr>
          <w:rFonts w:ascii="Fira Sans" w:hAnsi="Fira Sans" w:cs="Times New Roman"/>
          <w:sz w:val="19"/>
          <w:szCs w:val="19"/>
        </w:rPr>
        <w:t>, przy czym w miastach o ok. 21 m</w:t>
      </w:r>
      <w:r w:rsidRPr="000C37C7">
        <w:rPr>
          <w:rFonts w:ascii="Fira Sans" w:hAnsi="Fira Sans" w:cs="Times New Roman"/>
          <w:sz w:val="19"/>
          <w:szCs w:val="19"/>
          <w:vertAlign w:val="superscript"/>
        </w:rPr>
        <w:t>2</w:t>
      </w:r>
      <w:r w:rsidRPr="000C37C7">
        <w:rPr>
          <w:rFonts w:ascii="Fira Sans" w:hAnsi="Fira Sans" w:cs="Times New Roman"/>
          <w:sz w:val="19"/>
          <w:szCs w:val="19"/>
        </w:rPr>
        <w:t xml:space="preserve"> mniej niż na wsi (61,22 m</w:t>
      </w:r>
      <w:r w:rsidRPr="000C37C7">
        <w:rPr>
          <w:rFonts w:ascii="Fira Sans" w:hAnsi="Fira Sans" w:cs="Times New Roman"/>
          <w:sz w:val="19"/>
          <w:szCs w:val="19"/>
          <w:vertAlign w:val="superscript"/>
        </w:rPr>
        <w:t>2</w:t>
      </w:r>
      <w:r w:rsidRPr="000C37C7">
        <w:rPr>
          <w:rFonts w:ascii="Fira Sans" w:hAnsi="Fira Sans" w:cs="Times New Roman"/>
          <w:sz w:val="19"/>
          <w:szCs w:val="19"/>
        </w:rPr>
        <w:t xml:space="preserve"> wobec 81,92 m</w:t>
      </w:r>
      <w:r w:rsidRPr="000C37C7">
        <w:rPr>
          <w:rFonts w:ascii="Fira Sans" w:hAnsi="Fira Sans" w:cs="Times New Roman"/>
          <w:sz w:val="19"/>
          <w:szCs w:val="19"/>
          <w:vertAlign w:val="superscript"/>
        </w:rPr>
        <w:t>2</w:t>
      </w:r>
      <w:r w:rsidRPr="000C37C7">
        <w:rPr>
          <w:rFonts w:ascii="Fira Sans" w:hAnsi="Fira Sans" w:cs="Times New Roman"/>
          <w:sz w:val="19"/>
          <w:szCs w:val="19"/>
        </w:rPr>
        <w:t>). Były to mieszkania o ok.11 m</w:t>
      </w:r>
      <w:r w:rsidRPr="000C37C7">
        <w:rPr>
          <w:rFonts w:ascii="Fira Sans" w:hAnsi="Fira Sans" w:cs="Times New Roman"/>
          <w:sz w:val="19"/>
          <w:szCs w:val="19"/>
          <w:vertAlign w:val="superscript"/>
        </w:rPr>
        <w:t>2</w:t>
      </w:r>
      <w:r w:rsidRPr="000C37C7">
        <w:rPr>
          <w:rFonts w:ascii="Fira Sans" w:hAnsi="Fira Sans" w:cs="Times New Roman"/>
          <w:sz w:val="19"/>
          <w:szCs w:val="19"/>
        </w:rPr>
        <w:t xml:space="preserve"> mniejsze od zamieszkiwanych przez gospodarstwa bez osób w wieku 60 lat lub więcej.</w:t>
      </w:r>
    </w:p>
    <w:p w:rsidR="008608D6" w:rsidRPr="000C37C7" w:rsidRDefault="009D7EAA" w:rsidP="000C37C7">
      <w:pPr>
        <w:spacing w:after="0" w:line="360" w:lineRule="auto"/>
        <w:jc w:val="both"/>
        <w:rPr>
          <w:rFonts w:ascii="Fira Sans" w:hAnsi="Fira Sans" w:cs="Times New Roman"/>
          <w:sz w:val="19"/>
          <w:szCs w:val="19"/>
        </w:rPr>
      </w:pPr>
      <w:r w:rsidRPr="000C37C7">
        <w:rPr>
          <w:rFonts w:ascii="Fira Sans" w:hAnsi="Fira Sans" w:cs="Times New Roman"/>
          <w:sz w:val="19"/>
          <w:szCs w:val="19"/>
        </w:rPr>
        <w:tab/>
      </w:r>
      <w:r w:rsidR="008608D6" w:rsidRPr="000C37C7">
        <w:rPr>
          <w:rFonts w:ascii="Fira Sans" w:hAnsi="Fira Sans" w:cs="Times New Roman"/>
          <w:sz w:val="19"/>
          <w:szCs w:val="19"/>
        </w:rPr>
        <w:t>Mieszkania wyposażone w wodociąg miało 99,0% gospodarstw osób starszych. Około 95-97% gospodarstw osób starszych użytkowało mieszkania mające łazienkę, ciepłą wodę, ustęp spłukiwany. Gaz z sieci miało doprowadzone do mieszkań 63,4% gospodarstw osób starszyc</w:t>
      </w:r>
      <w:r w:rsidR="000C37C7">
        <w:rPr>
          <w:rFonts w:ascii="Fira Sans" w:hAnsi="Fira Sans" w:cs="Times New Roman"/>
          <w:sz w:val="19"/>
          <w:szCs w:val="19"/>
        </w:rPr>
        <w:t>h, a kolejne 29,7% korzystało z </w:t>
      </w:r>
      <w:r w:rsidR="008608D6" w:rsidRPr="000C37C7">
        <w:rPr>
          <w:rFonts w:ascii="Fira Sans" w:hAnsi="Fira Sans" w:cs="Times New Roman"/>
          <w:sz w:val="19"/>
          <w:szCs w:val="19"/>
        </w:rPr>
        <w:t>gazu z butli. Z ogrzewania centralnego (z elektrociepłowni, kotłowni osiedlowej lub lokalne) korzystało 85,4% gospodarstw osób starszych. Było to nieco mniej niż gospodarstw domowych bez osób starszych (87,8%). Najwięcej gospodarstw domowych osób starszych używających jeszcze do ogrzewania mieszkania pieca było wśród 1-osobowych gospodarstw osób w wieku 60 lat lub więcej mieszkających na wsi – 30,4% (wobec 11,9 % gospodarstw domowych też zamieszkujących na wsi, ale bez osób starszych).</w:t>
      </w:r>
    </w:p>
    <w:p w:rsidR="009D7EAA" w:rsidRPr="000C37C7" w:rsidRDefault="009D7EAA" w:rsidP="009D7EAA">
      <w:pPr>
        <w:spacing w:after="0" w:line="360" w:lineRule="auto"/>
        <w:ind w:firstLine="708"/>
        <w:jc w:val="both"/>
        <w:rPr>
          <w:rFonts w:ascii="Fira Sans" w:hAnsi="Fira Sans" w:cs="Times New Roman"/>
          <w:sz w:val="19"/>
          <w:szCs w:val="19"/>
        </w:rPr>
      </w:pPr>
      <w:r w:rsidRPr="000C37C7">
        <w:rPr>
          <w:rFonts w:ascii="Fira Sans" w:hAnsi="Fira Sans" w:cs="Times New Roman"/>
          <w:sz w:val="19"/>
          <w:szCs w:val="19"/>
        </w:rPr>
        <w:t>Zgodnie z wynikami Badania spójności społecznej 2015</w:t>
      </w:r>
      <w:r w:rsidR="00FE053F">
        <w:rPr>
          <w:rFonts w:ascii="Fira Sans" w:hAnsi="Fira Sans" w:cs="Times New Roman"/>
          <w:sz w:val="19"/>
          <w:szCs w:val="19"/>
        </w:rPr>
        <w:t>,</w:t>
      </w:r>
      <w:r w:rsidRPr="000C37C7">
        <w:rPr>
          <w:rFonts w:ascii="Fira Sans" w:hAnsi="Fira Sans" w:cs="Times New Roman"/>
          <w:sz w:val="19"/>
          <w:szCs w:val="19"/>
        </w:rPr>
        <w:t xml:space="preserve"> gospodarstwa domowe z co najmniej jedną osobą starszą zamieszkują w mieszkaniach o nieco większej powierzchni użytkowej na osobę niż gospodarstwa bez osób starszych. Jednocześnie, jak wskazują wyniki badania EU-SILC 2017, gospodarstwa z osobami starszymi częściej oceniają swoje mieszkania jako zbyt duże jak na ich potrzeby. Warunki sanitarne w mieszkaniach gospodarstw domowych z osobami starszymi są jednak gorsze od przeciętnych</w:t>
      </w:r>
      <w:r w:rsidR="00910B2D" w:rsidRPr="000C37C7">
        <w:rPr>
          <w:rFonts w:ascii="Fira Sans" w:hAnsi="Fira Sans" w:cs="Times New Roman"/>
          <w:sz w:val="19"/>
          <w:szCs w:val="19"/>
        </w:rPr>
        <w:t>.</w:t>
      </w:r>
      <w:r w:rsidRPr="000C37C7">
        <w:rPr>
          <w:rFonts w:ascii="Fira Sans" w:hAnsi="Fira Sans" w:cs="Times New Roman"/>
          <w:sz w:val="19"/>
          <w:szCs w:val="19"/>
        </w:rPr>
        <w:t xml:space="preserve"> Biorąc pod uwagę ubóstwo oceniane przez pryzmat poziomu wydatków i gospodarowania posiadanymi dochodami, dane wskazują, że osoby starsze są w lepszej sytuacji niż osoby w młodszych grupach wieku. Świadczą o tym wartości stóp ubóstwa skrajnego i braku równowagi budżetowej (</w:t>
      </w:r>
      <w:r w:rsidRPr="000C37C7">
        <w:rPr>
          <w:rFonts w:ascii="Fira Sans" w:hAnsi="Fira Sans" w:cs="Times New Roman"/>
          <w:i/>
          <w:sz w:val="19"/>
          <w:szCs w:val="19"/>
        </w:rPr>
        <w:t>tabl.3.5</w:t>
      </w:r>
      <w:r w:rsidRPr="000C37C7">
        <w:rPr>
          <w:rFonts w:ascii="Fira Sans" w:hAnsi="Fira Sans" w:cs="Times New Roman"/>
          <w:sz w:val="19"/>
          <w:szCs w:val="19"/>
        </w:rPr>
        <w:t xml:space="preserve">). W kontekście ubóstwa złych warunków życia, sytuacja osób starszych jest natomiast zbliżona do sytuacji osób w młodszych grupach wieku. </w:t>
      </w:r>
    </w:p>
    <w:p w:rsidR="00C00D8E" w:rsidRPr="000C37C7" w:rsidRDefault="00C00D8E" w:rsidP="001E7D7C">
      <w:pPr>
        <w:pStyle w:val="Default"/>
        <w:spacing w:before="120" w:line="360" w:lineRule="auto"/>
        <w:jc w:val="both"/>
        <w:rPr>
          <w:rFonts w:ascii="Fira Sans" w:hAnsi="Fira Sans" w:cstheme="majorHAnsi"/>
          <w:color w:val="0070C0"/>
        </w:rPr>
      </w:pPr>
      <w:r w:rsidRPr="000C37C7">
        <w:rPr>
          <w:rFonts w:ascii="Fira Sans" w:hAnsi="Fira Sans" w:cstheme="majorHAnsi"/>
          <w:color w:val="0070C0"/>
        </w:rPr>
        <w:t xml:space="preserve">Aktywność zawodowa </w:t>
      </w:r>
    </w:p>
    <w:p w:rsidR="00C00D8E" w:rsidRPr="000C37C7" w:rsidRDefault="00C00D8E" w:rsidP="001E7D7C">
      <w:pPr>
        <w:pStyle w:val="Default"/>
        <w:spacing w:before="120" w:line="360" w:lineRule="auto"/>
        <w:ind w:firstLine="709"/>
        <w:jc w:val="both"/>
        <w:rPr>
          <w:rFonts w:ascii="Fira Sans" w:hAnsi="Fira Sans" w:cs="Times New Roman"/>
          <w:color w:val="auto"/>
          <w:sz w:val="19"/>
          <w:szCs w:val="19"/>
        </w:rPr>
      </w:pPr>
      <w:r w:rsidRPr="000C37C7">
        <w:rPr>
          <w:rFonts w:ascii="Fira Sans" w:hAnsi="Fira Sans" w:cs="Times New Roman"/>
          <w:color w:val="auto"/>
          <w:sz w:val="19"/>
          <w:szCs w:val="19"/>
        </w:rPr>
        <w:t xml:space="preserve">Na podstawie Badania Aktywności Ekonomicznej Ludności (BAEL) w 2017 r. ludność aktywna zawodowa w wieku 60 lat i więcej liczyła 1265 tys., z tego 1234 tys. to osoby pracujące (tj. 97,5%). Osoby aktywne zawodowo w wieku 60 lat i więcej stanowiły 7,3% ogółu aktywnych zawodowo w  wieku 15 lat i więcej (dla pracujących analogiczny odsetek wynosił 7,5%). Wśród aktywnych zawodowo przeważali mężczyźni - populacja ta liczyła 829 tys. (tj. 65,5%). Współczynnik aktywności zawodowej dla tej zbiorowości wynosił 14,1%, natomiast wskaźnik zatrudnienia ukształtował się na poziomie 13,8%. Populacja osób biernych zawodowo wynosiła 7684 tys., co stanowiło 85,9% ogółu ludności w wieku 60 lat i więcej. Wśród </w:t>
      </w:r>
      <w:r w:rsidRPr="000C37C7">
        <w:rPr>
          <w:rFonts w:ascii="Fira Sans" w:hAnsi="Fira Sans" w:cs="Times New Roman"/>
          <w:color w:val="auto"/>
          <w:sz w:val="19"/>
          <w:szCs w:val="19"/>
        </w:rPr>
        <w:lastRenderedPageBreak/>
        <w:t>tych osób główną przyczyną bierności była emerytura, którą wskazało aż 6</w:t>
      </w:r>
      <w:r w:rsidR="00FE053F">
        <w:rPr>
          <w:rFonts w:ascii="Fira Sans" w:hAnsi="Fira Sans" w:cs="Times New Roman"/>
          <w:color w:val="auto"/>
          <w:sz w:val="19"/>
          <w:szCs w:val="19"/>
        </w:rPr>
        <w:t xml:space="preserve"> </w:t>
      </w:r>
      <w:r w:rsidRPr="000C37C7">
        <w:rPr>
          <w:rFonts w:ascii="Fira Sans" w:hAnsi="Fira Sans" w:cs="Times New Roman"/>
          <w:color w:val="auto"/>
          <w:sz w:val="19"/>
          <w:szCs w:val="19"/>
        </w:rPr>
        <w:t xml:space="preserve">559 tys. osób. Drugą istotną przyczyną bierności była choroba lub niepełnosprawność, wskazana przez 707 tys. osób </w:t>
      </w:r>
      <w:r w:rsidRPr="000C37C7">
        <w:rPr>
          <w:rFonts w:ascii="Fira Sans" w:hAnsi="Fira Sans" w:cs="Times New Roman"/>
          <w:i/>
          <w:color w:val="auto"/>
          <w:sz w:val="19"/>
          <w:szCs w:val="19"/>
        </w:rPr>
        <w:t>(tabl. 4.1).</w:t>
      </w:r>
    </w:p>
    <w:p w:rsidR="00C00D8E" w:rsidRPr="000C37C7" w:rsidRDefault="00C00D8E" w:rsidP="00B548DA">
      <w:pPr>
        <w:spacing w:after="0" w:line="360" w:lineRule="auto"/>
        <w:ind w:firstLine="709"/>
        <w:jc w:val="both"/>
        <w:rPr>
          <w:rFonts w:ascii="Fira Sans" w:hAnsi="Fira Sans" w:cs="Times New Roman"/>
          <w:sz w:val="19"/>
          <w:szCs w:val="19"/>
        </w:rPr>
      </w:pPr>
      <w:r w:rsidRPr="000C37C7">
        <w:rPr>
          <w:rFonts w:ascii="Fira Sans" w:hAnsi="Fira Sans" w:cs="Times New Roman"/>
          <w:sz w:val="19"/>
          <w:szCs w:val="19"/>
        </w:rPr>
        <w:t>Wśród zarejestrowanych w urzędach pracy bezrobotnych, których liczba w końcu grudnia 2017 r. wyniosła 1081,7 tys. osób, 66,4 tys. (tj. 6,1%) stanowiły osoby w wieku 60 lat i więcej (</w:t>
      </w:r>
      <w:r w:rsidRPr="00D61B1E">
        <w:rPr>
          <w:rFonts w:ascii="Fira Sans" w:hAnsi="Fira Sans" w:cs="Times New Roman"/>
          <w:i/>
          <w:sz w:val="19"/>
          <w:szCs w:val="19"/>
        </w:rPr>
        <w:t>tabl. 4.1</w:t>
      </w:r>
      <w:r w:rsidRPr="000C37C7">
        <w:rPr>
          <w:rFonts w:ascii="Fira Sans" w:hAnsi="Fira Sans" w:cs="Times New Roman"/>
          <w:sz w:val="19"/>
          <w:szCs w:val="19"/>
        </w:rPr>
        <w:t>).</w:t>
      </w:r>
    </w:p>
    <w:p w:rsidR="00C00D8E" w:rsidRPr="000C37C7" w:rsidRDefault="00C00D8E" w:rsidP="00C00D8E">
      <w:pPr>
        <w:spacing w:after="0" w:line="360" w:lineRule="auto"/>
        <w:ind w:firstLine="709"/>
        <w:jc w:val="both"/>
        <w:rPr>
          <w:rFonts w:ascii="Fira Sans" w:hAnsi="Fira Sans" w:cs="Times New Roman"/>
          <w:sz w:val="19"/>
          <w:szCs w:val="19"/>
        </w:rPr>
      </w:pPr>
      <w:r w:rsidRPr="000C37C7">
        <w:rPr>
          <w:rFonts w:ascii="Fira Sans" w:hAnsi="Fira Sans" w:cs="Times New Roman"/>
          <w:sz w:val="19"/>
          <w:szCs w:val="19"/>
        </w:rPr>
        <w:t xml:space="preserve">Spadkowy trend poziomu bezrobocia w Polsce utrzymuje się od 2014 roku. </w:t>
      </w:r>
      <w:r w:rsidR="00FE053F">
        <w:rPr>
          <w:rFonts w:ascii="Fira Sans" w:hAnsi="Fira Sans" w:cs="Times New Roman"/>
          <w:sz w:val="19"/>
          <w:szCs w:val="19"/>
        </w:rPr>
        <w:t>R</w:t>
      </w:r>
      <w:r w:rsidR="00FE053F" w:rsidRPr="000C37C7">
        <w:rPr>
          <w:rFonts w:ascii="Fira Sans" w:hAnsi="Fira Sans" w:cs="Times New Roman"/>
          <w:sz w:val="19"/>
          <w:szCs w:val="19"/>
        </w:rPr>
        <w:t>ok 2017</w:t>
      </w:r>
      <w:r w:rsidR="00FE053F">
        <w:rPr>
          <w:rFonts w:ascii="Fira Sans" w:hAnsi="Fira Sans" w:cs="Times New Roman"/>
          <w:sz w:val="19"/>
          <w:szCs w:val="19"/>
        </w:rPr>
        <w:t xml:space="preserve"> był k</w:t>
      </w:r>
      <w:r w:rsidRPr="000C37C7">
        <w:rPr>
          <w:rFonts w:ascii="Fira Sans" w:hAnsi="Fira Sans" w:cs="Times New Roman"/>
          <w:sz w:val="19"/>
          <w:szCs w:val="19"/>
        </w:rPr>
        <w:t xml:space="preserve">olejnym rokiem, gdy </w:t>
      </w:r>
      <w:r w:rsidR="00FE053F" w:rsidRPr="000C37C7">
        <w:rPr>
          <w:rFonts w:ascii="Fira Sans" w:hAnsi="Fira Sans" w:cs="Times New Roman"/>
          <w:sz w:val="19"/>
          <w:szCs w:val="19"/>
        </w:rPr>
        <w:t xml:space="preserve">zmniejszyła się </w:t>
      </w:r>
      <w:r w:rsidRPr="000C37C7">
        <w:rPr>
          <w:rFonts w:ascii="Fira Sans" w:hAnsi="Fira Sans" w:cs="Times New Roman"/>
          <w:sz w:val="19"/>
          <w:szCs w:val="19"/>
        </w:rPr>
        <w:t xml:space="preserve">liczba zarejestrowanych w urzędach pracy bezrobotnych. Stopa bezrobocia rejestrowanego w końcu 2017 r. wyniosła 6,6% co oznacza, że wskaźnik bezrobocia obniżył się o 1,6 punktu procentowego w stosunku do końca 2016 r. i był najniższy od 27 lat. </w:t>
      </w:r>
    </w:p>
    <w:p w:rsidR="00C00D8E" w:rsidRPr="000C37C7" w:rsidRDefault="00C00D8E" w:rsidP="00C00D8E">
      <w:pPr>
        <w:spacing w:after="0" w:line="360" w:lineRule="auto"/>
        <w:ind w:firstLine="709"/>
        <w:jc w:val="both"/>
        <w:rPr>
          <w:rFonts w:ascii="Fira Sans" w:hAnsi="Fira Sans" w:cs="Times New Roman"/>
          <w:sz w:val="19"/>
          <w:szCs w:val="19"/>
        </w:rPr>
      </w:pPr>
      <w:r w:rsidRPr="000C37C7">
        <w:rPr>
          <w:rFonts w:ascii="Fira Sans" w:hAnsi="Fira Sans" w:cs="Times New Roman"/>
          <w:sz w:val="19"/>
          <w:szCs w:val="19"/>
        </w:rPr>
        <w:t>W urzędach pracy zarejestrowanych było 1 081,7 tys. bezrobotnych,</w:t>
      </w:r>
      <w:r w:rsidR="000C37C7">
        <w:rPr>
          <w:rFonts w:ascii="Fira Sans" w:hAnsi="Fira Sans" w:cs="Times New Roman"/>
          <w:sz w:val="19"/>
          <w:szCs w:val="19"/>
        </w:rPr>
        <w:t xml:space="preserve"> tj. o 253,4 tys. osób, czyli o </w:t>
      </w:r>
      <w:r w:rsidRPr="000C37C7">
        <w:rPr>
          <w:rFonts w:ascii="Fira Sans" w:hAnsi="Fira Sans" w:cs="Times New Roman"/>
          <w:sz w:val="19"/>
          <w:szCs w:val="19"/>
        </w:rPr>
        <w:t>19,0% mniej niż w końcu 2016 r. Dynamika spadku była znacznie silniejsza niż odnotowana w 2016 r.</w:t>
      </w:r>
      <w:r w:rsidR="00FE053F">
        <w:rPr>
          <w:rFonts w:ascii="Fira Sans" w:hAnsi="Fira Sans" w:cs="Times New Roman"/>
          <w:sz w:val="19"/>
          <w:szCs w:val="19"/>
        </w:rPr>
        <w:t xml:space="preserve"> -</w:t>
      </w:r>
      <w:r w:rsidRPr="000C37C7">
        <w:rPr>
          <w:rFonts w:ascii="Fira Sans" w:hAnsi="Fira Sans" w:cs="Times New Roman"/>
          <w:sz w:val="19"/>
          <w:szCs w:val="19"/>
        </w:rPr>
        <w:t xml:space="preserve">liczba bezrobotnych zmniejszyła się wówczas o 14,6%. </w:t>
      </w:r>
    </w:p>
    <w:p w:rsidR="00C00D8E" w:rsidRPr="000C37C7" w:rsidRDefault="00C00D8E" w:rsidP="00C00D8E">
      <w:pPr>
        <w:spacing w:after="0" w:line="360" w:lineRule="auto"/>
        <w:ind w:firstLine="709"/>
        <w:jc w:val="both"/>
        <w:rPr>
          <w:rFonts w:ascii="Fira Sans" w:hAnsi="Fira Sans" w:cs="Times New Roman"/>
          <w:sz w:val="19"/>
          <w:szCs w:val="19"/>
        </w:rPr>
      </w:pPr>
      <w:r w:rsidRPr="000C37C7">
        <w:rPr>
          <w:rFonts w:ascii="Fira Sans" w:hAnsi="Fira Sans" w:cs="Times New Roman"/>
          <w:sz w:val="19"/>
          <w:szCs w:val="19"/>
        </w:rPr>
        <w:t>Sytuacja bezrobotnych powyżej 50 roku życia poprawia się. W końcu 2017 r. liczba bezrobotnych powyżej 50 r. życia zmniejszyła się o 78,4 tys. osób</w:t>
      </w:r>
      <w:r w:rsidR="00FE053F" w:rsidRPr="00FE053F">
        <w:rPr>
          <w:rFonts w:ascii="Fira Sans" w:hAnsi="Fira Sans" w:cs="Times New Roman"/>
          <w:sz w:val="19"/>
          <w:szCs w:val="19"/>
        </w:rPr>
        <w:t xml:space="preserve"> </w:t>
      </w:r>
      <w:r w:rsidR="00FE053F" w:rsidRPr="000C37C7">
        <w:rPr>
          <w:rFonts w:ascii="Fira Sans" w:hAnsi="Fira Sans" w:cs="Times New Roman"/>
          <w:sz w:val="19"/>
          <w:szCs w:val="19"/>
        </w:rPr>
        <w:t>do 298,6 tys. osób</w:t>
      </w:r>
      <w:r w:rsidRPr="000C37C7">
        <w:rPr>
          <w:rFonts w:ascii="Fira Sans" w:hAnsi="Fira Sans" w:cs="Times New Roman"/>
          <w:sz w:val="19"/>
          <w:szCs w:val="19"/>
        </w:rPr>
        <w:t>, tj. o 20,8%. Zatem spadek tej populacji osób był większy niż ogólny spadek bezrobocia zanotowany w tym okresie. Przełożyło się to na spadek  odsetka tej grupy bezrobotnych w ogólnej liczbie zarejestrowanych z 28,2% w końcu 2016 r. do 27,</w:t>
      </w:r>
      <w:r w:rsidR="000C37C7">
        <w:rPr>
          <w:rFonts w:ascii="Fira Sans" w:hAnsi="Fira Sans" w:cs="Times New Roman"/>
          <w:sz w:val="19"/>
          <w:szCs w:val="19"/>
        </w:rPr>
        <w:t>6% w </w:t>
      </w:r>
      <w:r w:rsidRPr="000C37C7">
        <w:rPr>
          <w:rFonts w:ascii="Fira Sans" w:hAnsi="Fira Sans" w:cs="Times New Roman"/>
          <w:sz w:val="19"/>
          <w:szCs w:val="19"/>
        </w:rPr>
        <w:t>końcu 2017 r.</w:t>
      </w:r>
    </w:p>
    <w:p w:rsidR="00C00D8E" w:rsidRPr="000C37C7" w:rsidRDefault="00C00D8E" w:rsidP="00C00D8E">
      <w:pPr>
        <w:jc w:val="both"/>
        <w:rPr>
          <w:rFonts w:ascii="Fira Sans" w:hAnsi="Fira Sans"/>
          <w:sz w:val="19"/>
          <w:szCs w:val="19"/>
        </w:rPr>
      </w:pPr>
    </w:p>
    <w:p w:rsidR="00891D6E" w:rsidRPr="001E7D7C" w:rsidRDefault="00891D6E" w:rsidP="000D1535">
      <w:pPr>
        <w:pStyle w:val="Nagwek2"/>
        <w:rPr>
          <w:rFonts w:ascii="Fira Sans" w:hAnsi="Fira Sans"/>
          <w:sz w:val="24"/>
          <w:szCs w:val="24"/>
        </w:rPr>
      </w:pPr>
      <w:bookmarkStart w:id="12" w:name="_Toc456009382"/>
      <w:bookmarkEnd w:id="11"/>
      <w:r w:rsidRPr="001E7D7C">
        <w:rPr>
          <w:rFonts w:ascii="Fira Sans" w:hAnsi="Fira Sans"/>
          <w:sz w:val="24"/>
          <w:szCs w:val="24"/>
        </w:rPr>
        <w:t>Emery</w:t>
      </w:r>
      <w:r w:rsidR="007122F9" w:rsidRPr="001E7D7C">
        <w:rPr>
          <w:rFonts w:ascii="Fira Sans" w:hAnsi="Fira Sans"/>
          <w:sz w:val="24"/>
          <w:szCs w:val="24"/>
        </w:rPr>
        <w:t>ci i renciści</w:t>
      </w:r>
      <w:bookmarkEnd w:id="12"/>
      <w:r w:rsidR="007122F9" w:rsidRPr="001E7D7C">
        <w:rPr>
          <w:rFonts w:ascii="Fira Sans" w:hAnsi="Fira Sans"/>
          <w:sz w:val="24"/>
          <w:szCs w:val="24"/>
        </w:rPr>
        <w:t xml:space="preserve"> </w:t>
      </w:r>
    </w:p>
    <w:p w:rsidR="00B322C7" w:rsidRPr="00B322C7" w:rsidRDefault="00B322C7" w:rsidP="00D61B1E">
      <w:pPr>
        <w:spacing w:before="240" w:line="360" w:lineRule="auto"/>
        <w:ind w:firstLine="709"/>
        <w:jc w:val="both"/>
        <w:rPr>
          <w:rFonts w:ascii="Fira Sans" w:hAnsi="Fira Sans"/>
          <w:sz w:val="19"/>
          <w:szCs w:val="19"/>
        </w:rPr>
      </w:pPr>
      <w:bookmarkStart w:id="13" w:name="_Toc456009383"/>
      <w:r w:rsidRPr="00B322C7">
        <w:rPr>
          <w:rFonts w:ascii="Fira Sans" w:hAnsi="Fira Sans"/>
          <w:sz w:val="19"/>
          <w:szCs w:val="19"/>
        </w:rPr>
        <w:t xml:space="preserve">Wśród osób w wieku 60 lat i więcej pobierających emerytury z ZUS  60,5% stanowiły kobiety, a 39,5%  mężczyźni. W KRUS wielkości te przedstawiały się następująco: 69,2% kobiety i 30,8% mężczyźni. W resortach tzw. „mundurowych” udział kobiet był znacznie niższy w porównaniu do świadczeniobiorców mężczyzn i wynosił - 0,04% w MON, 14,7% w MSWiA </w:t>
      </w:r>
      <w:r w:rsidR="00FE053F">
        <w:rPr>
          <w:rFonts w:ascii="Fira Sans" w:hAnsi="Fira Sans"/>
          <w:sz w:val="19"/>
          <w:szCs w:val="19"/>
        </w:rPr>
        <w:t xml:space="preserve"> </w:t>
      </w:r>
      <w:r w:rsidRPr="00B322C7">
        <w:rPr>
          <w:rFonts w:ascii="Fira Sans" w:hAnsi="Fira Sans"/>
          <w:sz w:val="19"/>
          <w:szCs w:val="19"/>
        </w:rPr>
        <w:t xml:space="preserve">i 19,2% w MS.  </w:t>
      </w:r>
    </w:p>
    <w:p w:rsidR="00B322C7" w:rsidRPr="00B322C7" w:rsidRDefault="00B322C7" w:rsidP="00D61B1E">
      <w:pPr>
        <w:spacing w:line="360" w:lineRule="auto"/>
        <w:ind w:firstLine="709"/>
        <w:jc w:val="both"/>
        <w:rPr>
          <w:rFonts w:ascii="Fira Sans" w:hAnsi="Fira Sans"/>
          <w:sz w:val="19"/>
          <w:szCs w:val="19"/>
        </w:rPr>
      </w:pPr>
      <w:r w:rsidRPr="00B322C7">
        <w:rPr>
          <w:rFonts w:ascii="Fira Sans" w:hAnsi="Fira Sans"/>
          <w:sz w:val="19"/>
          <w:szCs w:val="19"/>
        </w:rPr>
        <w:t>Wśród osób w wieku 60 lat i więcej pobierających renty z tytułu niezdolności do pracy z ZUS kobiety stanowiły 23,3%, natomiast mężczyźni  76,7%. W KRUS udział kobiet był większy i wynosił 43,7%, natomiast mężczyzn 56,3%. W pozostałych instytucjach wypłacających</w:t>
      </w:r>
      <w:r w:rsidR="00110B33">
        <w:rPr>
          <w:rFonts w:ascii="Fira Sans" w:hAnsi="Fira Sans"/>
          <w:sz w:val="19"/>
          <w:szCs w:val="19"/>
        </w:rPr>
        <w:t xml:space="preserve"> świadczenia,</w:t>
      </w:r>
      <w:r w:rsidRPr="00B322C7">
        <w:rPr>
          <w:rFonts w:ascii="Fira Sans" w:hAnsi="Fira Sans"/>
          <w:sz w:val="19"/>
          <w:szCs w:val="19"/>
        </w:rPr>
        <w:t xml:space="preserve"> wielkości te wynosiły dla kobiet odpowiednio:  0,01%  (w MON), 20,0% (w MSWiA) i 23,4% (w MS).    </w:t>
      </w:r>
    </w:p>
    <w:p w:rsidR="00697F85" w:rsidRPr="000C37C7" w:rsidRDefault="00697F85" w:rsidP="000D1535">
      <w:pPr>
        <w:pStyle w:val="Nagwek1"/>
        <w:rPr>
          <w:rFonts w:ascii="Fira Sans" w:hAnsi="Fira Sans"/>
          <w:sz w:val="28"/>
          <w:szCs w:val="28"/>
          <w:lang w:eastAsia="pl-PL"/>
        </w:rPr>
      </w:pPr>
      <w:r w:rsidRPr="000C37C7">
        <w:rPr>
          <w:rFonts w:ascii="Fira Sans" w:hAnsi="Fira Sans"/>
          <w:sz w:val="28"/>
          <w:szCs w:val="28"/>
        </w:rPr>
        <w:t>Zdrowie</w:t>
      </w:r>
      <w:bookmarkEnd w:id="13"/>
    </w:p>
    <w:p w:rsidR="00BA33D9" w:rsidRPr="000C37C7" w:rsidRDefault="00BA33D9" w:rsidP="00886BF0">
      <w:pPr>
        <w:pStyle w:val="Nagwek2"/>
        <w:spacing w:before="60"/>
        <w:rPr>
          <w:rFonts w:ascii="Fira Sans" w:hAnsi="Fira Sans"/>
          <w:sz w:val="24"/>
          <w:szCs w:val="24"/>
        </w:rPr>
      </w:pPr>
      <w:r w:rsidRPr="000C37C7">
        <w:rPr>
          <w:rFonts w:ascii="Fira Sans" w:hAnsi="Fira Sans"/>
          <w:sz w:val="24"/>
          <w:szCs w:val="24"/>
        </w:rPr>
        <w:t xml:space="preserve">Samoocena zdrowia i doświadczanie ograniczeń w dostępie do usług medycznych </w:t>
      </w:r>
    </w:p>
    <w:p w:rsidR="007D713C" w:rsidRPr="000C37C7" w:rsidRDefault="007D713C" w:rsidP="007D713C">
      <w:pPr>
        <w:spacing w:before="240" w:after="0" w:line="360" w:lineRule="auto"/>
        <w:ind w:firstLine="709"/>
        <w:jc w:val="both"/>
        <w:rPr>
          <w:rFonts w:ascii="Fira Sans" w:hAnsi="Fira Sans" w:cs="Times New Roman"/>
          <w:sz w:val="19"/>
          <w:szCs w:val="19"/>
        </w:rPr>
      </w:pPr>
      <w:r w:rsidRPr="000C37C7">
        <w:rPr>
          <w:rFonts w:ascii="Fira Sans" w:hAnsi="Fira Sans" w:cs="Times New Roman"/>
          <w:sz w:val="19"/>
          <w:szCs w:val="19"/>
        </w:rPr>
        <w:t>Zgodnie z wynikami Europejskiego Badania Warunków Życia Ludności (EU-SILC)</w:t>
      </w:r>
      <w:r w:rsidR="000C37C7">
        <w:rPr>
          <w:rFonts w:ascii="Fira Sans" w:hAnsi="Fira Sans" w:cs="Times New Roman"/>
          <w:sz w:val="19"/>
          <w:szCs w:val="19"/>
        </w:rPr>
        <w:t xml:space="preserve"> </w:t>
      </w:r>
      <w:r w:rsidRPr="000C37C7">
        <w:rPr>
          <w:rFonts w:ascii="Fira Sans" w:hAnsi="Fira Sans" w:cs="Times New Roman"/>
          <w:sz w:val="19"/>
          <w:szCs w:val="19"/>
        </w:rPr>
        <w:t>niemal co czwarta osoba starsza (w wieku 60 lat i więcej) mieszkająca w Polsce oceniła w 2017 r. swoje zdrowie jako dobre lub bardzo dobre (</w:t>
      </w:r>
      <w:r w:rsidRPr="000C37C7">
        <w:rPr>
          <w:rFonts w:ascii="Fira Sans" w:hAnsi="Fira Sans" w:cs="Times New Roman"/>
          <w:i/>
          <w:sz w:val="19"/>
          <w:szCs w:val="19"/>
        </w:rPr>
        <w:t>tabl. 5.1</w:t>
      </w:r>
      <w:r w:rsidRPr="000C37C7">
        <w:rPr>
          <w:rFonts w:ascii="Fira Sans" w:hAnsi="Fira Sans" w:cs="Times New Roman"/>
          <w:sz w:val="19"/>
          <w:szCs w:val="19"/>
        </w:rPr>
        <w:t xml:space="preserve">). Przy czym częściej określali tak swoje zdrowie mężczyźni niż kobiety (odpowiednio 28,0% wobec 22,4%).  </w:t>
      </w:r>
    </w:p>
    <w:p w:rsidR="007D713C" w:rsidRPr="000C37C7" w:rsidRDefault="007D713C" w:rsidP="007D713C">
      <w:pPr>
        <w:spacing w:after="0" w:line="360" w:lineRule="auto"/>
        <w:ind w:firstLine="708"/>
        <w:jc w:val="both"/>
        <w:rPr>
          <w:rFonts w:ascii="Fira Sans" w:hAnsi="Fira Sans" w:cs="Times New Roman"/>
          <w:sz w:val="19"/>
          <w:szCs w:val="19"/>
        </w:rPr>
      </w:pPr>
      <w:r w:rsidRPr="000C37C7">
        <w:rPr>
          <w:rFonts w:ascii="Fira Sans" w:hAnsi="Fira Sans" w:cs="Times New Roman"/>
          <w:sz w:val="19"/>
          <w:szCs w:val="19"/>
        </w:rPr>
        <w:t xml:space="preserve">Z kolei niespełna 30% osób starszych uznało, że ich zdrowie jest złe lub nawet bardzo złe. Częściej odpowiadały tak kobiety niż mężczyźni (31,3% wobec 27,1%).  </w:t>
      </w:r>
    </w:p>
    <w:p w:rsidR="007D713C" w:rsidRPr="000C37C7" w:rsidRDefault="007D713C" w:rsidP="007D713C">
      <w:pPr>
        <w:spacing w:after="0" w:line="360" w:lineRule="auto"/>
        <w:ind w:firstLine="708"/>
        <w:jc w:val="both"/>
        <w:rPr>
          <w:rFonts w:ascii="Fira Sans" w:hAnsi="Fira Sans" w:cs="Times New Roman"/>
          <w:sz w:val="19"/>
          <w:szCs w:val="19"/>
        </w:rPr>
      </w:pPr>
      <w:r w:rsidRPr="000C37C7">
        <w:rPr>
          <w:rFonts w:ascii="Fira Sans" w:hAnsi="Fira Sans" w:cs="Times New Roman"/>
          <w:sz w:val="19"/>
          <w:szCs w:val="19"/>
        </w:rPr>
        <w:t xml:space="preserve">Zgodnie z samooceną, dobrym lub bardzo dobrym zdrowiem cieszył się większy udział osób starszych mieszkających w miastach (27,1%) niż na wsi (20,8%), a na zły lub bardzo zły stan zdrowia wskazało więcej mieszkańców wsi (31,6%) niż mieszkańców miast (28,4%). </w:t>
      </w:r>
    </w:p>
    <w:p w:rsidR="007D713C" w:rsidRPr="000C37C7" w:rsidRDefault="007D713C" w:rsidP="007D713C">
      <w:pPr>
        <w:spacing w:after="0" w:line="360" w:lineRule="auto"/>
        <w:ind w:firstLine="708"/>
        <w:jc w:val="both"/>
        <w:rPr>
          <w:rFonts w:ascii="Fira Sans" w:hAnsi="Fira Sans" w:cs="Times New Roman"/>
          <w:sz w:val="19"/>
          <w:szCs w:val="19"/>
        </w:rPr>
      </w:pPr>
      <w:r w:rsidRPr="000C37C7">
        <w:rPr>
          <w:rFonts w:ascii="Fira Sans" w:hAnsi="Fira Sans" w:cs="Times New Roman"/>
          <w:sz w:val="19"/>
          <w:szCs w:val="19"/>
        </w:rPr>
        <w:lastRenderedPageBreak/>
        <w:t xml:space="preserve">Jednocześnie niespełna połowa wszystkich osób w wieku 60 lat i więcej nie określiła swojego zdrowia w sposób jednoznaczny. </w:t>
      </w:r>
      <w:r w:rsidR="00110B33">
        <w:rPr>
          <w:rFonts w:ascii="Fira Sans" w:hAnsi="Fira Sans" w:cs="Times New Roman"/>
          <w:sz w:val="19"/>
          <w:szCs w:val="19"/>
        </w:rPr>
        <w:t xml:space="preserve">Wśród osób starszych </w:t>
      </w:r>
      <w:r w:rsidRPr="000C37C7">
        <w:rPr>
          <w:rFonts w:ascii="Fira Sans" w:hAnsi="Fira Sans" w:cs="Times New Roman"/>
          <w:sz w:val="19"/>
          <w:szCs w:val="19"/>
        </w:rPr>
        <w:t>45,7%  stwierdziło, że ogólnie ocenia swoje zdrowie jako „takie sobie, ani dobre ani złe”.</w:t>
      </w:r>
    </w:p>
    <w:p w:rsidR="007D713C" w:rsidRPr="000C37C7" w:rsidRDefault="007D713C" w:rsidP="007D713C">
      <w:pPr>
        <w:spacing w:after="0" w:line="360" w:lineRule="auto"/>
        <w:ind w:firstLine="708"/>
        <w:jc w:val="both"/>
        <w:rPr>
          <w:rFonts w:ascii="Fira Sans" w:hAnsi="Fira Sans" w:cs="Times New Roman"/>
          <w:sz w:val="19"/>
          <w:szCs w:val="19"/>
        </w:rPr>
      </w:pPr>
      <w:r w:rsidRPr="000C37C7">
        <w:rPr>
          <w:rFonts w:ascii="Fira Sans" w:hAnsi="Fira Sans" w:cs="Times New Roman"/>
          <w:sz w:val="19"/>
          <w:szCs w:val="19"/>
        </w:rPr>
        <w:t xml:space="preserve">Jak wynika z </w:t>
      </w:r>
      <w:r w:rsidRPr="000C37C7">
        <w:rPr>
          <w:rFonts w:ascii="Fira Sans" w:hAnsi="Fira Sans" w:cs="Times New Roman"/>
          <w:i/>
          <w:sz w:val="19"/>
          <w:szCs w:val="19"/>
        </w:rPr>
        <w:t>tabl. 5.2</w:t>
      </w:r>
      <w:r w:rsidRPr="000C37C7">
        <w:rPr>
          <w:rFonts w:ascii="Fira Sans" w:hAnsi="Fira Sans" w:cs="Times New Roman"/>
          <w:sz w:val="19"/>
          <w:szCs w:val="19"/>
        </w:rPr>
        <w:t xml:space="preserve"> ponad dwie trzecie, a  dokładnie 67,7% osób powyżej 60 roku życia wskazało na długotrwałe problemy zdrowotne lub choroby przewlekłe, które trwają (lub przewiduje się</w:t>
      </w:r>
      <w:r w:rsidR="00110B33">
        <w:rPr>
          <w:rFonts w:ascii="Fira Sans" w:hAnsi="Fira Sans" w:cs="Times New Roman"/>
          <w:sz w:val="19"/>
          <w:szCs w:val="19"/>
        </w:rPr>
        <w:t>,</w:t>
      </w:r>
      <w:r w:rsidRPr="000C37C7">
        <w:rPr>
          <w:rFonts w:ascii="Fira Sans" w:hAnsi="Fira Sans" w:cs="Times New Roman"/>
          <w:sz w:val="19"/>
          <w:szCs w:val="19"/>
        </w:rPr>
        <w:t xml:space="preserve"> że będą trwały) co najmniej 6 miesięcy. Częściej były to kobiety (69,6%) niż mężczyźni (65,0%). Większy udział osób o długotrwałych problemach zdrowotnych lub chorobach przewlekłych odnotowano w miastach (69,3%) niż na wsi (65,1%).   </w:t>
      </w:r>
    </w:p>
    <w:p w:rsidR="007D713C" w:rsidRPr="000C37C7" w:rsidRDefault="007D713C" w:rsidP="007D713C">
      <w:pPr>
        <w:spacing w:after="0" w:line="360" w:lineRule="auto"/>
        <w:ind w:firstLine="708"/>
        <w:jc w:val="both"/>
        <w:rPr>
          <w:rFonts w:ascii="Fira Sans" w:hAnsi="Fira Sans" w:cs="Times New Roman"/>
          <w:sz w:val="19"/>
          <w:szCs w:val="19"/>
        </w:rPr>
      </w:pPr>
      <w:r w:rsidRPr="000C37C7">
        <w:rPr>
          <w:rFonts w:ascii="Fira Sans" w:hAnsi="Fira Sans" w:cs="Times New Roman"/>
          <w:sz w:val="19"/>
          <w:szCs w:val="19"/>
        </w:rPr>
        <w:t>Poważnie lub niezbyt poważnie ograniczona zdolność do wykonywania codziennych czynności (trwająca już od co najmniej 6 miesięcy) dotyczyła w 2017 r. 46,2% osób starszych (niezależnie od miejsca zamieszkania). Odsetek wskazań na ograniczoną zdolność do wykon</w:t>
      </w:r>
      <w:r w:rsidR="000C37C7">
        <w:rPr>
          <w:rFonts w:ascii="Fira Sans" w:hAnsi="Fira Sans" w:cs="Times New Roman"/>
          <w:sz w:val="19"/>
          <w:szCs w:val="19"/>
        </w:rPr>
        <w:t>ywania codziennych czynności (w </w:t>
      </w:r>
      <w:r w:rsidRPr="000C37C7">
        <w:rPr>
          <w:rFonts w:ascii="Fira Sans" w:hAnsi="Fira Sans" w:cs="Times New Roman"/>
          <w:sz w:val="19"/>
          <w:szCs w:val="19"/>
        </w:rPr>
        <w:t xml:space="preserve">stopniu poważnym lub niezbyt poważnym) był o </w:t>
      </w:r>
      <w:r w:rsidR="00743051" w:rsidRPr="000C37C7">
        <w:rPr>
          <w:rFonts w:ascii="Fira Sans" w:hAnsi="Fira Sans" w:cs="Times New Roman"/>
          <w:sz w:val="19"/>
          <w:szCs w:val="19"/>
        </w:rPr>
        <w:t>6,3</w:t>
      </w:r>
      <w:r w:rsidRPr="000C37C7">
        <w:rPr>
          <w:rFonts w:ascii="Fira Sans" w:hAnsi="Fira Sans" w:cs="Times New Roman"/>
          <w:sz w:val="19"/>
          <w:szCs w:val="19"/>
        </w:rPr>
        <w:t xml:space="preserve"> p.p</w:t>
      </w:r>
      <w:r w:rsidR="00F27410" w:rsidRPr="000C37C7">
        <w:rPr>
          <w:rFonts w:ascii="Fira Sans" w:hAnsi="Fira Sans" w:cs="Times New Roman"/>
          <w:sz w:val="19"/>
          <w:szCs w:val="19"/>
        </w:rPr>
        <w:t>roc</w:t>
      </w:r>
      <w:r w:rsidRPr="000C37C7">
        <w:rPr>
          <w:rFonts w:ascii="Fira Sans" w:hAnsi="Fira Sans" w:cs="Times New Roman"/>
          <w:sz w:val="19"/>
          <w:szCs w:val="19"/>
        </w:rPr>
        <w:t>. wyższy wśród kobiet niż w grupie mężczyzn (</w:t>
      </w:r>
      <w:r w:rsidRPr="000C37C7">
        <w:rPr>
          <w:rFonts w:ascii="Fira Sans" w:hAnsi="Fira Sans" w:cs="Times New Roman"/>
          <w:i/>
          <w:sz w:val="19"/>
          <w:szCs w:val="19"/>
        </w:rPr>
        <w:t>tabl. 5.3</w:t>
      </w:r>
      <w:r w:rsidRPr="000C37C7">
        <w:rPr>
          <w:rFonts w:ascii="Fira Sans" w:hAnsi="Fira Sans" w:cs="Times New Roman"/>
          <w:sz w:val="19"/>
          <w:szCs w:val="19"/>
        </w:rPr>
        <w:t>).</w:t>
      </w:r>
    </w:p>
    <w:p w:rsidR="007D713C" w:rsidRPr="000C37C7" w:rsidRDefault="007D713C" w:rsidP="007D713C">
      <w:pPr>
        <w:spacing w:after="0" w:line="360" w:lineRule="auto"/>
        <w:ind w:firstLine="708"/>
        <w:jc w:val="both"/>
        <w:rPr>
          <w:rFonts w:ascii="Fira Sans" w:hAnsi="Fira Sans" w:cs="Times New Roman"/>
          <w:sz w:val="19"/>
          <w:szCs w:val="19"/>
        </w:rPr>
      </w:pPr>
      <w:r w:rsidRPr="000C37C7">
        <w:rPr>
          <w:rFonts w:ascii="Fira Sans" w:hAnsi="Fira Sans" w:cs="Times New Roman"/>
          <w:sz w:val="19"/>
          <w:szCs w:val="19"/>
        </w:rPr>
        <w:t>Biorąc pod uwagę 12 miesięcy poprzedzających badanie</w:t>
      </w:r>
      <w:r w:rsidRPr="000C37C7">
        <w:rPr>
          <w:rFonts w:ascii="Fira Sans" w:hAnsi="Fira Sans" w:cs="Times New Roman"/>
          <w:sz w:val="19"/>
          <w:szCs w:val="19"/>
          <w:vertAlign w:val="superscript"/>
        </w:rPr>
        <w:footnoteReference w:id="6"/>
      </w:r>
      <w:r w:rsidRPr="000C37C7">
        <w:rPr>
          <w:rFonts w:ascii="Fira Sans" w:hAnsi="Fira Sans" w:cs="Times New Roman"/>
          <w:sz w:val="19"/>
          <w:szCs w:val="19"/>
        </w:rPr>
        <w:t>, przynamniej raz wystąpiła potrzeba skorzystania z usług opieki zdrowotnej</w:t>
      </w:r>
      <w:r w:rsidRPr="000C37C7">
        <w:rPr>
          <w:rStyle w:val="Odwoanieprzypisudolnego"/>
          <w:rFonts w:ascii="Fira Sans" w:hAnsi="Fira Sans" w:cs="Times New Roman"/>
          <w:sz w:val="19"/>
          <w:szCs w:val="19"/>
        </w:rPr>
        <w:footnoteReference w:id="7"/>
      </w:r>
      <w:r w:rsidRPr="000C37C7">
        <w:rPr>
          <w:rFonts w:ascii="Fira Sans" w:hAnsi="Fira Sans" w:cs="Times New Roman"/>
          <w:sz w:val="19"/>
          <w:szCs w:val="19"/>
        </w:rPr>
        <w:t xml:space="preserve"> u 79% osób starszych (</w:t>
      </w:r>
      <w:r w:rsidRPr="000C37C7">
        <w:rPr>
          <w:rFonts w:ascii="Fira Sans" w:hAnsi="Fira Sans" w:cs="Times New Roman"/>
          <w:i/>
          <w:sz w:val="19"/>
          <w:szCs w:val="19"/>
        </w:rPr>
        <w:t>tabl. 5.4a)</w:t>
      </w:r>
      <w:r w:rsidRPr="000C37C7">
        <w:rPr>
          <w:rFonts w:ascii="Fira Sans" w:hAnsi="Fira Sans" w:cs="Times New Roman"/>
          <w:sz w:val="19"/>
          <w:szCs w:val="19"/>
        </w:rPr>
        <w:t>. Z tej grupy ok. 8,7%</w:t>
      </w:r>
      <w:r w:rsidRPr="000C37C7">
        <w:rPr>
          <w:rStyle w:val="Odwoanieprzypisudolnego"/>
          <w:rFonts w:ascii="Fira Sans" w:hAnsi="Fira Sans" w:cs="Times New Roman"/>
          <w:sz w:val="19"/>
          <w:szCs w:val="19"/>
        </w:rPr>
        <w:footnoteReference w:id="8"/>
      </w:r>
      <w:r w:rsidRPr="000C37C7">
        <w:rPr>
          <w:rFonts w:ascii="Fira Sans" w:hAnsi="Fira Sans" w:cs="Times New Roman"/>
          <w:sz w:val="19"/>
          <w:szCs w:val="19"/>
        </w:rPr>
        <w:t xml:space="preserve"> zadeklarowało, że nie skorzystało z tych usług, gdy tego rzeczywiście potrzebowało (</w:t>
      </w:r>
      <w:r w:rsidRPr="000C37C7">
        <w:rPr>
          <w:rFonts w:ascii="Fira Sans" w:hAnsi="Fira Sans" w:cs="Times New Roman"/>
          <w:i/>
          <w:sz w:val="19"/>
          <w:szCs w:val="19"/>
        </w:rPr>
        <w:t>tabl. 5.4b)</w:t>
      </w:r>
      <w:r w:rsidRPr="000C37C7">
        <w:rPr>
          <w:rFonts w:ascii="Fira Sans" w:hAnsi="Fira Sans" w:cs="Times New Roman"/>
          <w:sz w:val="19"/>
          <w:szCs w:val="19"/>
        </w:rPr>
        <w:t>. Przy czym prawie 37,9% tych osób jako powód podało „listę oczekujących, brak skierowania”, a 26,2% chciało poczekać i zobaczyć czy problem sam minie (</w:t>
      </w:r>
      <w:r w:rsidRPr="000C37C7">
        <w:rPr>
          <w:rFonts w:ascii="Fira Sans" w:hAnsi="Fira Sans" w:cs="Times New Roman"/>
          <w:i/>
          <w:sz w:val="19"/>
          <w:szCs w:val="19"/>
        </w:rPr>
        <w:t>tabl. 5.5</w:t>
      </w:r>
      <w:r w:rsidRPr="000C37C7">
        <w:rPr>
          <w:rFonts w:ascii="Fira Sans" w:hAnsi="Fira Sans" w:cs="Times New Roman"/>
          <w:sz w:val="19"/>
          <w:szCs w:val="19"/>
        </w:rPr>
        <w:t xml:space="preserve">). </w:t>
      </w:r>
    </w:p>
    <w:p w:rsidR="00BA33D9" w:rsidRPr="00BB2C17" w:rsidRDefault="00BA33D9" w:rsidP="00BA33D9">
      <w:pPr>
        <w:rPr>
          <w:sz w:val="26"/>
          <w:szCs w:val="26"/>
        </w:rPr>
      </w:pPr>
    </w:p>
    <w:p w:rsidR="00B857AC" w:rsidRPr="000C37C7" w:rsidRDefault="00B857AC" w:rsidP="00EF3586">
      <w:pPr>
        <w:pStyle w:val="Nagwek3"/>
        <w:jc w:val="both"/>
        <w:rPr>
          <w:rFonts w:ascii="Fira Sans" w:eastAsia="Times New Roman" w:hAnsi="Fira Sans"/>
          <w:color w:val="0070C0"/>
          <w:lang w:eastAsia="pl-PL"/>
        </w:rPr>
      </w:pPr>
      <w:bookmarkStart w:id="14" w:name="_Toc456009385"/>
      <w:r w:rsidRPr="000C37C7">
        <w:rPr>
          <w:rFonts w:ascii="Fira Sans" w:eastAsia="Times New Roman" w:hAnsi="Fira Sans"/>
          <w:color w:val="0070C0"/>
          <w:lang w:eastAsia="pl-PL"/>
        </w:rPr>
        <w:t>Choroby przewlek</w:t>
      </w:r>
      <w:r w:rsidR="007122F9" w:rsidRPr="000C37C7">
        <w:rPr>
          <w:rFonts w:ascii="Fira Sans" w:eastAsia="Times New Roman" w:hAnsi="Fira Sans"/>
          <w:color w:val="0070C0"/>
          <w:lang w:eastAsia="pl-PL"/>
        </w:rPr>
        <w:t>ł</w:t>
      </w:r>
      <w:r w:rsidRPr="000C37C7">
        <w:rPr>
          <w:rFonts w:ascii="Fira Sans" w:eastAsia="Times New Roman" w:hAnsi="Fira Sans"/>
          <w:color w:val="0070C0"/>
          <w:lang w:eastAsia="pl-PL"/>
        </w:rPr>
        <w:t>e i dolegliwości zdrowotne wys</w:t>
      </w:r>
      <w:r w:rsidR="00EF3586">
        <w:rPr>
          <w:rFonts w:ascii="Fira Sans" w:eastAsia="Times New Roman" w:hAnsi="Fira Sans"/>
          <w:color w:val="0070C0"/>
          <w:lang w:eastAsia="pl-PL"/>
        </w:rPr>
        <w:t>tępujące w okresie ostatnich 12 </w:t>
      </w:r>
      <w:r w:rsidRPr="000C37C7">
        <w:rPr>
          <w:rFonts w:ascii="Fira Sans" w:eastAsia="Times New Roman" w:hAnsi="Fira Sans"/>
          <w:color w:val="0070C0"/>
          <w:lang w:eastAsia="pl-PL"/>
        </w:rPr>
        <w:t>miesięcy</w:t>
      </w:r>
      <w:bookmarkEnd w:id="14"/>
    </w:p>
    <w:p w:rsidR="00B857AC" w:rsidRPr="000C37C7" w:rsidRDefault="00B857AC" w:rsidP="00951550">
      <w:pPr>
        <w:spacing w:before="240" w:after="120" w:line="360" w:lineRule="auto"/>
        <w:ind w:firstLine="709"/>
        <w:jc w:val="both"/>
        <w:rPr>
          <w:rFonts w:ascii="Fira Sans" w:eastAsia="Times New Roman" w:hAnsi="Fira Sans" w:cs="Times New Roman"/>
          <w:sz w:val="19"/>
          <w:szCs w:val="19"/>
          <w:lang w:eastAsia="pl-PL"/>
        </w:rPr>
      </w:pPr>
      <w:r w:rsidRPr="000C37C7">
        <w:rPr>
          <w:rFonts w:ascii="Fira Sans" w:eastAsia="Times New Roman" w:hAnsi="Fira Sans" w:cs="Times New Roman"/>
          <w:sz w:val="19"/>
          <w:szCs w:val="19"/>
          <w:lang w:eastAsia="pl-PL"/>
        </w:rPr>
        <w:t xml:space="preserve">Jak wskazują wyniki </w:t>
      </w:r>
      <w:r w:rsidR="006310E0" w:rsidRPr="000C37C7">
        <w:rPr>
          <w:rFonts w:ascii="Fira Sans" w:eastAsia="Times New Roman" w:hAnsi="Fira Sans" w:cs="Times New Roman"/>
          <w:sz w:val="19"/>
          <w:szCs w:val="19"/>
          <w:lang w:eastAsia="pl-PL"/>
        </w:rPr>
        <w:t xml:space="preserve">ostatniego </w:t>
      </w:r>
      <w:r w:rsidR="007122F9" w:rsidRPr="000C37C7">
        <w:rPr>
          <w:rFonts w:ascii="Fira Sans" w:eastAsia="Times New Roman" w:hAnsi="Fira Sans" w:cs="Times New Roman"/>
          <w:sz w:val="19"/>
          <w:szCs w:val="19"/>
          <w:lang w:eastAsia="pl-PL"/>
        </w:rPr>
        <w:t>Europe</w:t>
      </w:r>
      <w:r w:rsidR="004A2176" w:rsidRPr="000C37C7">
        <w:rPr>
          <w:rFonts w:ascii="Fira Sans" w:eastAsia="Times New Roman" w:hAnsi="Fira Sans" w:cs="Times New Roman"/>
          <w:sz w:val="19"/>
          <w:szCs w:val="19"/>
          <w:lang w:eastAsia="pl-PL"/>
        </w:rPr>
        <w:t>jskiego A</w:t>
      </w:r>
      <w:r w:rsidR="007122F9" w:rsidRPr="000C37C7">
        <w:rPr>
          <w:rFonts w:ascii="Fira Sans" w:eastAsia="Times New Roman" w:hAnsi="Fira Sans" w:cs="Times New Roman"/>
          <w:sz w:val="19"/>
          <w:szCs w:val="19"/>
          <w:lang w:eastAsia="pl-PL"/>
        </w:rPr>
        <w:t xml:space="preserve">nkietowego </w:t>
      </w:r>
      <w:r w:rsidR="004A2176" w:rsidRPr="000C37C7">
        <w:rPr>
          <w:rFonts w:ascii="Fira Sans" w:eastAsia="Times New Roman" w:hAnsi="Fira Sans" w:cs="Times New Roman"/>
          <w:sz w:val="19"/>
          <w:szCs w:val="19"/>
          <w:lang w:eastAsia="pl-PL"/>
        </w:rPr>
        <w:t>B</w:t>
      </w:r>
      <w:r w:rsidR="007122F9" w:rsidRPr="000C37C7">
        <w:rPr>
          <w:rFonts w:ascii="Fira Sans" w:eastAsia="Times New Roman" w:hAnsi="Fira Sans" w:cs="Times New Roman"/>
          <w:sz w:val="19"/>
          <w:szCs w:val="19"/>
          <w:lang w:eastAsia="pl-PL"/>
        </w:rPr>
        <w:t>adania Zdrowia (EHIS)</w:t>
      </w:r>
      <w:r w:rsidR="004A2176" w:rsidRPr="000C37C7">
        <w:rPr>
          <w:rFonts w:ascii="Fira Sans" w:eastAsia="Times New Roman" w:hAnsi="Fira Sans" w:cs="Times New Roman"/>
          <w:sz w:val="19"/>
          <w:szCs w:val="19"/>
          <w:lang w:eastAsia="pl-PL"/>
        </w:rPr>
        <w:t xml:space="preserve"> przeprowadzonego w 2014 r.</w:t>
      </w:r>
      <w:r w:rsidRPr="000C37C7">
        <w:rPr>
          <w:rFonts w:ascii="Fira Sans" w:eastAsia="Times New Roman" w:hAnsi="Fira Sans" w:cs="Times New Roman"/>
          <w:sz w:val="19"/>
          <w:szCs w:val="19"/>
          <w:lang w:eastAsia="pl-PL"/>
        </w:rPr>
        <w:t>, występowanie chorób czy dolegliwości przewlekłych stwierdzono u</w:t>
      </w:r>
      <w:r w:rsidR="007402E0" w:rsidRPr="000C37C7">
        <w:rPr>
          <w:rFonts w:ascii="Fira Sans" w:eastAsia="Times New Roman" w:hAnsi="Fira Sans" w:cs="Times New Roman"/>
          <w:sz w:val="19"/>
          <w:szCs w:val="19"/>
          <w:lang w:eastAsia="pl-PL"/>
        </w:rPr>
        <w:t> </w:t>
      </w:r>
      <w:r w:rsidRPr="000C37C7">
        <w:rPr>
          <w:rFonts w:ascii="Fira Sans" w:eastAsia="Times New Roman" w:hAnsi="Fira Sans" w:cs="Times New Roman"/>
          <w:sz w:val="19"/>
          <w:szCs w:val="19"/>
          <w:lang w:eastAsia="pl-PL"/>
        </w:rPr>
        <w:t>większości starszych osób</w:t>
      </w:r>
      <w:r w:rsidR="00110B33">
        <w:rPr>
          <w:rFonts w:ascii="Fira Sans" w:eastAsia="Times New Roman" w:hAnsi="Fira Sans" w:cs="Times New Roman"/>
          <w:sz w:val="19"/>
          <w:szCs w:val="19"/>
          <w:lang w:eastAsia="pl-PL"/>
        </w:rPr>
        <w:t>,</w:t>
      </w:r>
      <w:r w:rsidRPr="000C37C7">
        <w:rPr>
          <w:rFonts w:ascii="Fira Sans" w:eastAsia="Times New Roman" w:hAnsi="Fira Sans" w:cs="Times New Roman"/>
          <w:sz w:val="19"/>
          <w:szCs w:val="19"/>
          <w:lang w:eastAsia="pl-PL"/>
        </w:rPr>
        <w:t xml:space="preserve"> tylko co 9 osoba deklarowała brak takich problemów. </w:t>
      </w:r>
    </w:p>
    <w:p w:rsidR="00B857AC" w:rsidRPr="000C37C7" w:rsidRDefault="00B857AC" w:rsidP="00D13BCC">
      <w:pPr>
        <w:spacing w:after="0" w:line="360" w:lineRule="auto"/>
        <w:ind w:firstLine="709"/>
        <w:jc w:val="both"/>
        <w:rPr>
          <w:rFonts w:ascii="Fira Sans" w:eastAsia="Times New Roman" w:hAnsi="Fira Sans" w:cs="Times New Roman"/>
          <w:sz w:val="19"/>
          <w:szCs w:val="19"/>
          <w:lang w:eastAsia="pl-PL"/>
        </w:rPr>
      </w:pPr>
      <w:r w:rsidRPr="000C37C7">
        <w:rPr>
          <w:rFonts w:ascii="Fira Sans" w:hAnsi="Fira Sans" w:cs="Times New Roman"/>
          <w:sz w:val="19"/>
          <w:szCs w:val="19"/>
        </w:rPr>
        <w:t>Przewlekłe</w:t>
      </w:r>
      <w:r w:rsidRPr="000C37C7">
        <w:rPr>
          <w:rFonts w:ascii="Fira Sans" w:eastAsia="Times New Roman" w:hAnsi="Fira Sans" w:cs="Times New Roman"/>
          <w:sz w:val="19"/>
          <w:szCs w:val="19"/>
          <w:lang w:eastAsia="pl-PL"/>
        </w:rPr>
        <w:t xml:space="preserve"> choroby lub dolegliwości częściej zgłaszały kobiety i prawidłowość </w:t>
      </w:r>
      <w:r w:rsidR="000C37C7">
        <w:rPr>
          <w:rFonts w:ascii="Fira Sans" w:eastAsia="Times New Roman" w:hAnsi="Fira Sans" w:cs="Times New Roman"/>
          <w:sz w:val="19"/>
          <w:szCs w:val="19"/>
          <w:lang w:eastAsia="pl-PL"/>
        </w:rPr>
        <w:t>ta występuje we </w:t>
      </w:r>
      <w:r w:rsidRPr="000C37C7">
        <w:rPr>
          <w:rFonts w:ascii="Fira Sans" w:eastAsia="Times New Roman" w:hAnsi="Fira Sans" w:cs="Times New Roman"/>
          <w:sz w:val="19"/>
          <w:szCs w:val="19"/>
          <w:lang w:eastAsia="pl-PL"/>
        </w:rPr>
        <w:t>wszystkich grupach wieku. Wzrasta bowiem nie tylko odsetek osób ze schorzeniami przewlekłymi, ale również ich liczba</w:t>
      </w:r>
      <w:r w:rsidR="00110B33">
        <w:rPr>
          <w:rFonts w:ascii="Fira Sans" w:eastAsia="Times New Roman" w:hAnsi="Fira Sans" w:cs="Times New Roman"/>
          <w:sz w:val="19"/>
          <w:szCs w:val="19"/>
          <w:lang w:eastAsia="pl-PL"/>
        </w:rPr>
        <w:t>,</w:t>
      </w:r>
      <w:r w:rsidRPr="000C37C7">
        <w:rPr>
          <w:rFonts w:ascii="Fira Sans" w:eastAsia="Times New Roman" w:hAnsi="Fira Sans" w:cs="Times New Roman"/>
          <w:sz w:val="19"/>
          <w:szCs w:val="19"/>
          <w:lang w:eastAsia="pl-PL"/>
        </w:rPr>
        <w:t xml:space="preserve"> w większym stopniu dotyczy to kobiet. </w:t>
      </w:r>
    </w:p>
    <w:p w:rsidR="00B857AC" w:rsidRPr="000C37C7" w:rsidRDefault="00B857AC" w:rsidP="00D13BCC">
      <w:pPr>
        <w:autoSpaceDE w:val="0"/>
        <w:autoSpaceDN w:val="0"/>
        <w:adjustRightInd w:val="0"/>
        <w:spacing w:before="120" w:after="0" w:line="360" w:lineRule="auto"/>
        <w:ind w:firstLine="709"/>
        <w:jc w:val="both"/>
        <w:rPr>
          <w:rFonts w:ascii="Fira Sans" w:eastAsia="Times New Roman" w:hAnsi="Fira Sans" w:cs="Times New Roman"/>
          <w:sz w:val="19"/>
          <w:szCs w:val="19"/>
          <w:lang w:eastAsia="pl-PL"/>
        </w:rPr>
      </w:pPr>
      <w:r w:rsidRPr="000C37C7">
        <w:rPr>
          <w:rFonts w:ascii="Fira Sans" w:eastAsia="Times New Roman" w:hAnsi="Fira Sans" w:cs="Times New Roman"/>
          <w:sz w:val="19"/>
          <w:szCs w:val="19"/>
          <w:lang w:eastAsia="pl-PL"/>
        </w:rPr>
        <w:t>Najczęstsza dolegliwość zdrowotna starszych Polaków to nadciśnienie tętnicze, które występowało u</w:t>
      </w:r>
      <w:r w:rsidR="00C26354" w:rsidRPr="000C37C7">
        <w:rPr>
          <w:rFonts w:ascii="Fira Sans" w:eastAsia="Times New Roman" w:hAnsi="Fira Sans" w:cs="Times New Roman"/>
          <w:sz w:val="19"/>
          <w:szCs w:val="19"/>
          <w:lang w:eastAsia="pl-PL"/>
        </w:rPr>
        <w:t> </w:t>
      </w:r>
      <w:r w:rsidRPr="000C37C7">
        <w:rPr>
          <w:rFonts w:ascii="Fira Sans" w:eastAsia="Times New Roman" w:hAnsi="Fira Sans" w:cs="Times New Roman"/>
          <w:sz w:val="19"/>
          <w:szCs w:val="19"/>
          <w:lang w:eastAsia="pl-PL"/>
        </w:rPr>
        <w:t>ponad połowy tej grupy. Bardzo często starsze osoby skarżyły się  na bóle dolnej partii pleców, które wystąpiły u ponad 40% populacji. Trzecim najczęściej zgłaszanym problemem zdrowotnym była choroba zwyrodnieniowa stawów – występowała u blisko 40% osób sta</w:t>
      </w:r>
      <w:r w:rsidR="000C37C7">
        <w:rPr>
          <w:rFonts w:ascii="Fira Sans" w:eastAsia="Times New Roman" w:hAnsi="Fira Sans" w:cs="Times New Roman"/>
          <w:sz w:val="19"/>
          <w:szCs w:val="19"/>
          <w:lang w:eastAsia="pl-PL"/>
        </w:rPr>
        <w:t>rszych, następnie bóle szyi lub </w:t>
      </w:r>
      <w:r w:rsidRPr="000C37C7">
        <w:rPr>
          <w:rFonts w:ascii="Fira Sans" w:eastAsia="Times New Roman" w:hAnsi="Fira Sans" w:cs="Times New Roman"/>
          <w:sz w:val="19"/>
          <w:szCs w:val="19"/>
          <w:lang w:eastAsia="pl-PL"/>
        </w:rPr>
        <w:t>środkowej części pleców (po 29%) oraz choroba wieńcowa, która występowała u co czwartej  starszej osoby. Kolejne pozycje zajęły</w:t>
      </w:r>
      <w:r w:rsidR="00F60388" w:rsidRPr="000C37C7">
        <w:rPr>
          <w:rFonts w:ascii="Fira Sans" w:eastAsia="Times New Roman" w:hAnsi="Fira Sans" w:cs="Times New Roman"/>
          <w:sz w:val="19"/>
          <w:szCs w:val="19"/>
          <w:lang w:eastAsia="pl-PL"/>
        </w:rPr>
        <w:t>:</w:t>
      </w:r>
      <w:r w:rsidRPr="000C37C7">
        <w:rPr>
          <w:rFonts w:ascii="Fira Sans" w:eastAsia="Times New Roman" w:hAnsi="Fira Sans" w:cs="Times New Roman"/>
          <w:sz w:val="19"/>
          <w:szCs w:val="19"/>
          <w:lang w:eastAsia="pl-PL"/>
        </w:rPr>
        <w:t xml:space="preserve"> cukrzyca (18%), nietrzymanie moczu, ch</w:t>
      </w:r>
      <w:r w:rsidR="00D13BCC">
        <w:rPr>
          <w:rFonts w:ascii="Fira Sans" w:eastAsia="Times New Roman" w:hAnsi="Fira Sans" w:cs="Times New Roman"/>
          <w:sz w:val="19"/>
          <w:szCs w:val="19"/>
          <w:lang w:eastAsia="pl-PL"/>
        </w:rPr>
        <w:t>oroby tarczycy oraz migrena (po </w:t>
      </w:r>
      <w:r w:rsidRPr="000C37C7">
        <w:rPr>
          <w:rFonts w:ascii="Fira Sans" w:eastAsia="Times New Roman" w:hAnsi="Fira Sans" w:cs="Times New Roman"/>
          <w:sz w:val="19"/>
          <w:szCs w:val="19"/>
          <w:lang w:eastAsia="pl-PL"/>
        </w:rPr>
        <w:t>około 12%).</w:t>
      </w:r>
    </w:p>
    <w:p w:rsidR="00B857AC" w:rsidRDefault="00B857AC" w:rsidP="00D13BCC">
      <w:pPr>
        <w:autoSpaceDE w:val="0"/>
        <w:autoSpaceDN w:val="0"/>
        <w:adjustRightInd w:val="0"/>
        <w:spacing w:before="120" w:after="0" w:line="360" w:lineRule="auto"/>
        <w:ind w:firstLine="709"/>
        <w:jc w:val="both"/>
        <w:rPr>
          <w:rFonts w:ascii="Fira Sans" w:eastAsia="Times New Roman" w:hAnsi="Fira Sans" w:cs="Times New Roman"/>
          <w:sz w:val="19"/>
          <w:szCs w:val="19"/>
          <w:lang w:eastAsia="pl-PL"/>
        </w:rPr>
      </w:pPr>
      <w:r w:rsidRPr="000C37C7">
        <w:rPr>
          <w:rFonts w:ascii="Fira Sans" w:eastAsia="Times New Roman" w:hAnsi="Fira Sans" w:cs="Times New Roman"/>
          <w:sz w:val="19"/>
          <w:szCs w:val="19"/>
          <w:lang w:eastAsia="pl-PL"/>
        </w:rPr>
        <w:lastRenderedPageBreak/>
        <w:t xml:space="preserve">Jeżeli uwzględni się płeć badanych to można </w:t>
      </w:r>
      <w:r w:rsidR="008B3714" w:rsidRPr="000C37C7">
        <w:rPr>
          <w:rFonts w:ascii="Fira Sans" w:eastAsia="Times New Roman" w:hAnsi="Fira Sans" w:cs="Times New Roman"/>
          <w:sz w:val="19"/>
          <w:szCs w:val="19"/>
          <w:lang w:eastAsia="pl-PL"/>
        </w:rPr>
        <w:t>zauważyć</w:t>
      </w:r>
      <w:r w:rsidRPr="000C37C7">
        <w:rPr>
          <w:rFonts w:ascii="Fira Sans" w:eastAsia="Times New Roman" w:hAnsi="Fira Sans" w:cs="Times New Roman"/>
          <w:sz w:val="19"/>
          <w:szCs w:val="19"/>
          <w:lang w:eastAsia="pl-PL"/>
        </w:rPr>
        <w:t>, że starsze kobiety częściej niż starsi mężczyźni chorowały na zwyrodnienie stawów, choroby tarczycy, bóle szyi i pleców, częściej również miały nadciśnienie tętnicze, problemy z nietrzymaniem moczu i stany migrenowe. Z kolei u starszych mężczyzn znacznie częściej wystąpił zawał serca lub udar oraz ich negatywne konsekwencje, jak również przewlekłe zapalenie oskrzeli, przewlekła obturacyjna choroba płuc (POCHP) czy rozedma płuc oraz marskość wątroby.</w:t>
      </w:r>
    </w:p>
    <w:p w:rsidR="00110B33" w:rsidRPr="000C37C7" w:rsidRDefault="00110B33" w:rsidP="00D13BCC">
      <w:pPr>
        <w:autoSpaceDE w:val="0"/>
        <w:autoSpaceDN w:val="0"/>
        <w:adjustRightInd w:val="0"/>
        <w:spacing w:before="120" w:after="0" w:line="360" w:lineRule="auto"/>
        <w:ind w:firstLine="709"/>
        <w:jc w:val="both"/>
        <w:rPr>
          <w:rFonts w:ascii="Fira Sans" w:eastAsia="Times New Roman" w:hAnsi="Fira Sans" w:cs="Times New Roman"/>
          <w:sz w:val="19"/>
          <w:szCs w:val="19"/>
          <w:lang w:eastAsia="pl-PL"/>
        </w:rPr>
      </w:pPr>
    </w:p>
    <w:p w:rsidR="00B857AC" w:rsidRPr="00D13BCC" w:rsidRDefault="00B857AC" w:rsidP="00EF3586">
      <w:pPr>
        <w:pStyle w:val="Nagwek3"/>
        <w:jc w:val="both"/>
        <w:rPr>
          <w:rFonts w:ascii="Fira Sans" w:eastAsia="Times New Roman" w:hAnsi="Fira Sans"/>
          <w:color w:val="0070C0"/>
          <w:lang w:eastAsia="pl-PL"/>
        </w:rPr>
      </w:pPr>
      <w:bookmarkStart w:id="15" w:name="_Toc456009386"/>
      <w:r w:rsidRPr="00D13BCC">
        <w:rPr>
          <w:rFonts w:ascii="Fira Sans" w:eastAsia="Times New Roman" w:hAnsi="Fira Sans"/>
          <w:color w:val="0070C0"/>
          <w:lang w:eastAsia="pl-PL"/>
        </w:rPr>
        <w:t xml:space="preserve">Sprawność narządów zmysłu i ruchu oraz </w:t>
      </w:r>
      <w:r w:rsidR="00EF3586">
        <w:rPr>
          <w:rFonts w:ascii="Fira Sans" w:eastAsia="Times New Roman" w:hAnsi="Fira Sans"/>
          <w:color w:val="0070C0"/>
          <w:lang w:eastAsia="pl-PL"/>
        </w:rPr>
        <w:t>poziom możliwości samoobsługi i </w:t>
      </w:r>
      <w:r w:rsidRPr="00D13BCC">
        <w:rPr>
          <w:rFonts w:ascii="Fira Sans" w:eastAsia="Times New Roman" w:hAnsi="Fira Sans"/>
          <w:color w:val="0070C0"/>
          <w:lang w:eastAsia="pl-PL"/>
        </w:rPr>
        <w:t>wykonania czynności domowych</w:t>
      </w:r>
      <w:bookmarkEnd w:id="15"/>
      <w:r w:rsidRPr="00D13BCC">
        <w:rPr>
          <w:rFonts w:ascii="Fira Sans" w:eastAsia="Times New Roman" w:hAnsi="Fira Sans"/>
          <w:color w:val="0070C0"/>
          <w:lang w:eastAsia="pl-PL"/>
        </w:rPr>
        <w:t xml:space="preserve"> </w:t>
      </w:r>
    </w:p>
    <w:p w:rsidR="00B857AC" w:rsidRPr="00D13BCC" w:rsidRDefault="006310E0" w:rsidP="00951550">
      <w:pPr>
        <w:spacing w:before="240" w:after="120" w:line="360" w:lineRule="auto"/>
        <w:ind w:firstLine="709"/>
        <w:jc w:val="both"/>
        <w:rPr>
          <w:rFonts w:ascii="Fira Sans" w:eastAsia="Times New Roman" w:hAnsi="Fira Sans" w:cs="Times New Roman"/>
          <w:sz w:val="19"/>
          <w:szCs w:val="19"/>
          <w:lang w:eastAsia="pl-PL"/>
        </w:rPr>
      </w:pPr>
      <w:r w:rsidRPr="00D13BCC">
        <w:rPr>
          <w:rFonts w:ascii="Fira Sans" w:eastAsia="Times New Roman" w:hAnsi="Fira Sans" w:cs="Times New Roman"/>
          <w:sz w:val="19"/>
          <w:szCs w:val="19"/>
          <w:lang w:eastAsia="pl-PL"/>
        </w:rPr>
        <w:t>Pod koniec 2014 r. t</w:t>
      </w:r>
      <w:r w:rsidR="00B857AC" w:rsidRPr="00D13BCC">
        <w:rPr>
          <w:rFonts w:ascii="Fira Sans" w:eastAsia="Times New Roman" w:hAnsi="Fira Sans" w:cs="Times New Roman"/>
          <w:sz w:val="19"/>
          <w:szCs w:val="19"/>
          <w:lang w:eastAsia="pl-PL"/>
        </w:rPr>
        <w:t>ylko co szósta osoba starsza nie używała okularów lub szkieł kontaktowych. Pomimo korzystania z tych urządzeń pomocniczych</w:t>
      </w:r>
      <w:r w:rsidR="00110B33">
        <w:rPr>
          <w:rFonts w:ascii="Fira Sans" w:eastAsia="Times New Roman" w:hAnsi="Fira Sans" w:cs="Times New Roman"/>
          <w:sz w:val="19"/>
          <w:szCs w:val="19"/>
          <w:lang w:eastAsia="pl-PL"/>
        </w:rPr>
        <w:t>,</w:t>
      </w:r>
      <w:r w:rsidR="00B857AC" w:rsidRPr="00D13BCC">
        <w:rPr>
          <w:rFonts w:ascii="Fira Sans" w:eastAsia="Times New Roman" w:hAnsi="Fira Sans" w:cs="Times New Roman"/>
          <w:sz w:val="19"/>
          <w:szCs w:val="19"/>
          <w:lang w:eastAsia="pl-PL"/>
        </w:rPr>
        <w:t xml:space="preserve"> blisko co druga osoba starsza miała problemy z</w:t>
      </w:r>
      <w:r w:rsidR="00ED1A35" w:rsidRPr="00D13BCC">
        <w:rPr>
          <w:rFonts w:ascii="Fira Sans" w:eastAsia="Times New Roman" w:hAnsi="Fira Sans" w:cs="Times New Roman"/>
          <w:sz w:val="19"/>
          <w:szCs w:val="19"/>
          <w:lang w:eastAsia="pl-PL"/>
        </w:rPr>
        <w:t> </w:t>
      </w:r>
      <w:r w:rsidR="00B857AC" w:rsidRPr="00D13BCC">
        <w:rPr>
          <w:rFonts w:ascii="Fira Sans" w:eastAsia="Times New Roman" w:hAnsi="Fira Sans" w:cs="Times New Roman"/>
          <w:sz w:val="19"/>
          <w:szCs w:val="19"/>
          <w:lang w:eastAsia="pl-PL"/>
        </w:rPr>
        <w:t xml:space="preserve">widzeniem i dotyczyło to zwłaszcza grupy </w:t>
      </w:r>
      <w:r w:rsidR="00110B33">
        <w:rPr>
          <w:rFonts w:ascii="Fira Sans" w:eastAsia="Times New Roman" w:hAnsi="Fira Sans" w:cs="Times New Roman"/>
          <w:sz w:val="19"/>
          <w:szCs w:val="19"/>
          <w:lang w:eastAsia="pl-PL"/>
        </w:rPr>
        <w:t xml:space="preserve">osób </w:t>
      </w:r>
      <w:r w:rsidR="00B857AC" w:rsidRPr="00D13BCC">
        <w:rPr>
          <w:rFonts w:ascii="Fira Sans" w:eastAsia="Times New Roman" w:hAnsi="Fira Sans" w:cs="Times New Roman"/>
          <w:sz w:val="19"/>
          <w:szCs w:val="19"/>
          <w:lang w:eastAsia="pl-PL"/>
        </w:rPr>
        <w:t>najstarszych. W grupie wieku 80 lat i więcej problemy z widzeniem zgłaszało 2/3 tej populacji, z tego blisko co 5 osoba deklarowała, że ma duże trudności z widzeniem lub w ogóle nie widzi</w:t>
      </w:r>
      <w:r w:rsidR="00BB6750" w:rsidRPr="00D13BCC">
        <w:rPr>
          <w:rFonts w:ascii="Fira Sans" w:eastAsia="Times New Roman" w:hAnsi="Fira Sans" w:cs="Times New Roman"/>
          <w:sz w:val="19"/>
          <w:szCs w:val="19"/>
          <w:lang w:eastAsia="pl-PL"/>
        </w:rPr>
        <w:t xml:space="preserve"> (</w:t>
      </w:r>
      <w:r w:rsidR="00BB6750" w:rsidRPr="00D13BCC">
        <w:rPr>
          <w:rFonts w:ascii="Fira Sans" w:eastAsia="Times New Roman" w:hAnsi="Fira Sans" w:cs="Times New Roman"/>
          <w:i/>
          <w:sz w:val="19"/>
          <w:szCs w:val="19"/>
          <w:lang w:eastAsia="pl-PL"/>
        </w:rPr>
        <w:t>tabl.5.7</w:t>
      </w:r>
      <w:r w:rsidR="00BB6750" w:rsidRPr="00D13BCC">
        <w:rPr>
          <w:rFonts w:ascii="Fira Sans" w:eastAsia="Times New Roman" w:hAnsi="Fira Sans" w:cs="Times New Roman"/>
          <w:sz w:val="19"/>
          <w:szCs w:val="19"/>
          <w:lang w:eastAsia="pl-PL"/>
        </w:rPr>
        <w:t>)</w:t>
      </w:r>
      <w:r w:rsidR="00B857AC" w:rsidRPr="00D13BCC">
        <w:rPr>
          <w:rFonts w:ascii="Fira Sans" w:eastAsia="Times New Roman" w:hAnsi="Fira Sans" w:cs="Times New Roman"/>
          <w:sz w:val="19"/>
          <w:szCs w:val="19"/>
          <w:lang w:eastAsia="pl-PL"/>
        </w:rPr>
        <w:t>.</w:t>
      </w:r>
    </w:p>
    <w:p w:rsidR="00B857AC" w:rsidRPr="00D13BCC" w:rsidRDefault="006310E0" w:rsidP="00AC3E29">
      <w:pPr>
        <w:autoSpaceDE w:val="0"/>
        <w:autoSpaceDN w:val="0"/>
        <w:adjustRightInd w:val="0"/>
        <w:spacing w:before="120" w:after="0" w:line="360" w:lineRule="auto"/>
        <w:ind w:firstLine="708"/>
        <w:jc w:val="both"/>
        <w:rPr>
          <w:rFonts w:ascii="Fira Sans" w:eastAsia="Times New Roman" w:hAnsi="Fira Sans" w:cs="Times New Roman"/>
          <w:color w:val="000000" w:themeColor="text1"/>
          <w:sz w:val="19"/>
          <w:szCs w:val="19"/>
          <w:lang w:eastAsia="pl-PL"/>
        </w:rPr>
      </w:pPr>
      <w:r w:rsidRPr="00D13BCC">
        <w:rPr>
          <w:rFonts w:ascii="Fira Sans" w:eastAsia="Times New Roman" w:hAnsi="Fira Sans" w:cs="Times New Roman"/>
          <w:sz w:val="19"/>
          <w:szCs w:val="19"/>
          <w:lang w:eastAsia="pl-PL"/>
        </w:rPr>
        <w:t>Równocześnie t</w:t>
      </w:r>
      <w:r w:rsidR="00B857AC" w:rsidRPr="00D13BCC">
        <w:rPr>
          <w:rFonts w:ascii="Fira Sans" w:eastAsia="Times New Roman" w:hAnsi="Fira Sans" w:cs="Times New Roman"/>
          <w:sz w:val="19"/>
          <w:szCs w:val="19"/>
          <w:lang w:eastAsia="pl-PL"/>
        </w:rPr>
        <w:t>ylko co dwunasta starsza osoba używała aparatu słuchowego</w:t>
      </w:r>
      <w:r w:rsidR="00F60388" w:rsidRPr="00D13BCC">
        <w:rPr>
          <w:rFonts w:ascii="Fira Sans" w:eastAsia="Times New Roman" w:hAnsi="Fira Sans" w:cs="Times New Roman"/>
          <w:sz w:val="19"/>
          <w:szCs w:val="19"/>
          <w:lang w:eastAsia="pl-PL"/>
        </w:rPr>
        <w:t>.</w:t>
      </w:r>
      <w:r w:rsidR="00B857AC" w:rsidRPr="00D13BCC">
        <w:rPr>
          <w:rFonts w:ascii="Fira Sans" w:eastAsia="Times New Roman" w:hAnsi="Fira Sans" w:cs="Times New Roman"/>
          <w:sz w:val="19"/>
          <w:szCs w:val="19"/>
          <w:lang w:eastAsia="pl-PL"/>
        </w:rPr>
        <w:t xml:space="preserve"> </w:t>
      </w:r>
      <w:r w:rsidR="007A79C2" w:rsidRPr="00D13BCC">
        <w:rPr>
          <w:rFonts w:ascii="Fira Sans" w:eastAsia="Times New Roman" w:hAnsi="Fira Sans" w:cs="Times New Roman"/>
          <w:sz w:val="19"/>
          <w:szCs w:val="19"/>
          <w:lang w:eastAsia="pl-PL"/>
        </w:rPr>
        <w:br/>
      </w:r>
      <w:r w:rsidR="00B857AC" w:rsidRPr="00D13BCC">
        <w:rPr>
          <w:rFonts w:ascii="Fira Sans" w:eastAsia="Times New Roman" w:hAnsi="Fira Sans" w:cs="Times New Roman"/>
          <w:sz w:val="19"/>
          <w:szCs w:val="19"/>
          <w:lang w:eastAsia="pl-PL"/>
        </w:rPr>
        <w:t xml:space="preserve">Z tego urządzenia relatywnie </w:t>
      </w:r>
      <w:r w:rsidR="00B857AC" w:rsidRPr="00D13BCC">
        <w:rPr>
          <w:rFonts w:ascii="Fira Sans" w:eastAsia="Times New Roman" w:hAnsi="Fira Sans" w:cs="Times New Roman"/>
          <w:color w:val="000000" w:themeColor="text1"/>
          <w:sz w:val="19"/>
          <w:szCs w:val="19"/>
          <w:lang w:eastAsia="pl-PL"/>
        </w:rPr>
        <w:t xml:space="preserve">najczęściej korzystali najstarsi - co 6 osoba w wieku 80 lat </w:t>
      </w:r>
      <w:r w:rsidR="007A79C2" w:rsidRPr="00D13BCC">
        <w:rPr>
          <w:rFonts w:ascii="Fira Sans" w:eastAsia="Times New Roman" w:hAnsi="Fira Sans" w:cs="Times New Roman"/>
          <w:color w:val="000000" w:themeColor="text1"/>
          <w:sz w:val="19"/>
          <w:szCs w:val="19"/>
          <w:lang w:eastAsia="pl-PL"/>
        </w:rPr>
        <w:br/>
      </w:r>
      <w:r w:rsidR="00B857AC" w:rsidRPr="00D13BCC">
        <w:rPr>
          <w:rFonts w:ascii="Fira Sans" w:eastAsia="Times New Roman" w:hAnsi="Fira Sans" w:cs="Times New Roman"/>
          <w:color w:val="000000" w:themeColor="text1"/>
          <w:sz w:val="19"/>
          <w:szCs w:val="19"/>
          <w:lang w:eastAsia="pl-PL"/>
        </w:rPr>
        <w:t>i więcej. Rozmowę z</w:t>
      </w:r>
      <w:r w:rsidR="00F60388" w:rsidRPr="00D13BCC">
        <w:rPr>
          <w:rFonts w:ascii="Fira Sans" w:eastAsia="Times New Roman" w:hAnsi="Fira Sans" w:cs="Times New Roman"/>
          <w:color w:val="000000" w:themeColor="text1"/>
          <w:sz w:val="19"/>
          <w:szCs w:val="19"/>
          <w:lang w:eastAsia="pl-PL"/>
        </w:rPr>
        <w:t> </w:t>
      </w:r>
      <w:r w:rsidR="00B857AC" w:rsidRPr="00D13BCC">
        <w:rPr>
          <w:rFonts w:ascii="Fira Sans" w:eastAsia="Times New Roman" w:hAnsi="Fira Sans" w:cs="Times New Roman"/>
          <w:color w:val="000000" w:themeColor="text1"/>
          <w:sz w:val="19"/>
          <w:szCs w:val="19"/>
          <w:lang w:eastAsia="pl-PL"/>
        </w:rPr>
        <w:t>1</w:t>
      </w:r>
      <w:r w:rsidR="00F60388" w:rsidRPr="00D13BCC">
        <w:rPr>
          <w:rFonts w:ascii="Fira Sans" w:eastAsia="Times New Roman" w:hAnsi="Fira Sans" w:cs="Times New Roman"/>
          <w:color w:val="000000" w:themeColor="text1"/>
          <w:sz w:val="19"/>
          <w:szCs w:val="19"/>
          <w:lang w:eastAsia="pl-PL"/>
        </w:rPr>
        <w:t> </w:t>
      </w:r>
      <w:r w:rsidR="00B857AC" w:rsidRPr="00D13BCC">
        <w:rPr>
          <w:rFonts w:ascii="Fira Sans" w:eastAsia="Times New Roman" w:hAnsi="Fira Sans" w:cs="Times New Roman"/>
          <w:color w:val="000000" w:themeColor="text1"/>
          <w:sz w:val="19"/>
          <w:szCs w:val="19"/>
          <w:lang w:eastAsia="pl-PL"/>
        </w:rPr>
        <w:t>osobą w cichym pomieszczeniu źle słyszała co czwarta osoba starsza, ale wśród osiemdziesięciolatków – połowa, zaś co 10 sędziwa osoba zadeklarowała duże trudności ze</w:t>
      </w:r>
      <w:r w:rsidR="00ED1A35" w:rsidRPr="00D13BCC">
        <w:rPr>
          <w:rFonts w:ascii="Fira Sans" w:eastAsia="Times New Roman" w:hAnsi="Fira Sans" w:cs="Times New Roman"/>
          <w:color w:val="000000" w:themeColor="text1"/>
          <w:sz w:val="19"/>
          <w:szCs w:val="19"/>
          <w:lang w:eastAsia="pl-PL"/>
        </w:rPr>
        <w:t> </w:t>
      </w:r>
      <w:r w:rsidR="00B857AC" w:rsidRPr="00D13BCC">
        <w:rPr>
          <w:rFonts w:ascii="Fira Sans" w:eastAsia="Times New Roman" w:hAnsi="Fira Sans" w:cs="Times New Roman"/>
          <w:color w:val="000000" w:themeColor="text1"/>
          <w:sz w:val="19"/>
          <w:szCs w:val="19"/>
          <w:lang w:eastAsia="pl-PL"/>
        </w:rPr>
        <w:t>słuchem, bądź nawet głuchotę.</w:t>
      </w:r>
    </w:p>
    <w:p w:rsidR="00B857AC" w:rsidRPr="00D13BCC" w:rsidRDefault="00B857AC" w:rsidP="00AC3E29">
      <w:pPr>
        <w:autoSpaceDE w:val="0"/>
        <w:autoSpaceDN w:val="0"/>
        <w:adjustRightInd w:val="0"/>
        <w:spacing w:before="120" w:after="0" w:line="360" w:lineRule="auto"/>
        <w:ind w:firstLine="708"/>
        <w:jc w:val="both"/>
        <w:rPr>
          <w:rFonts w:ascii="Fira Sans" w:eastAsia="Times New Roman" w:hAnsi="Fira Sans" w:cs="Times New Roman"/>
          <w:color w:val="000000" w:themeColor="text1"/>
          <w:sz w:val="19"/>
          <w:szCs w:val="19"/>
          <w:lang w:eastAsia="pl-PL"/>
        </w:rPr>
      </w:pPr>
      <w:r w:rsidRPr="00D13BCC">
        <w:rPr>
          <w:rFonts w:ascii="Fira Sans" w:eastAsia="Times New Roman" w:hAnsi="Fira Sans" w:cs="Times New Roman"/>
          <w:color w:val="000000" w:themeColor="text1"/>
          <w:sz w:val="19"/>
          <w:szCs w:val="19"/>
          <w:lang w:eastAsia="pl-PL"/>
        </w:rPr>
        <w:t xml:space="preserve">Częściej niż co trzecia starsza osoba zgłosiła w wywiadzie, że ma trudności w przejściu 500 m </w:t>
      </w:r>
      <w:r w:rsidRPr="00D13BCC">
        <w:rPr>
          <w:rFonts w:ascii="Fira Sans" w:eastAsia="Times New Roman" w:hAnsi="Fira Sans" w:cs="Times New Roman"/>
          <w:color w:val="000000"/>
          <w:sz w:val="19"/>
          <w:szCs w:val="19"/>
          <w:lang w:eastAsia="pl-PL"/>
        </w:rPr>
        <w:t>samodzielnie</w:t>
      </w:r>
      <w:r w:rsidRPr="00D13BCC">
        <w:rPr>
          <w:rFonts w:ascii="Fira Sans" w:eastAsia="Times New Roman" w:hAnsi="Fira Sans" w:cs="Times New Roman"/>
          <w:color w:val="000000" w:themeColor="text1"/>
          <w:sz w:val="19"/>
          <w:szCs w:val="19"/>
          <w:lang w:eastAsia="pl-PL"/>
        </w:rPr>
        <w:t xml:space="preserve"> (bez korzystania z pomocy innej osoby czy urządzenia takiego jak laska, kula, balkonik). Problemy z przejściem na odległość 500 m dotyczyły najczęściej osób 70-</w:t>
      </w:r>
      <w:r w:rsidR="00F60388" w:rsidRPr="00D13BCC">
        <w:rPr>
          <w:rFonts w:ascii="Fira Sans" w:eastAsia="Times New Roman" w:hAnsi="Fira Sans" w:cs="Times New Roman"/>
          <w:color w:val="000000" w:themeColor="text1"/>
          <w:sz w:val="19"/>
          <w:szCs w:val="19"/>
          <w:lang w:eastAsia="pl-PL"/>
        </w:rPr>
        <w:t> </w:t>
      </w:r>
      <w:r w:rsidRPr="00D13BCC">
        <w:rPr>
          <w:rFonts w:ascii="Fira Sans" w:eastAsia="Times New Roman" w:hAnsi="Fira Sans" w:cs="Times New Roman"/>
          <w:color w:val="000000" w:themeColor="text1"/>
          <w:sz w:val="19"/>
          <w:szCs w:val="19"/>
          <w:lang w:eastAsia="pl-PL"/>
        </w:rPr>
        <w:t>letnich i starszych. W grupie wieku 70-79 lat mniejsze lub większe problemy z</w:t>
      </w:r>
      <w:r w:rsidR="00ED1A35" w:rsidRPr="00D13BCC">
        <w:rPr>
          <w:rFonts w:ascii="Fira Sans" w:eastAsia="Times New Roman" w:hAnsi="Fira Sans" w:cs="Times New Roman"/>
          <w:color w:val="000000" w:themeColor="text1"/>
          <w:sz w:val="19"/>
          <w:szCs w:val="19"/>
          <w:lang w:eastAsia="pl-PL"/>
        </w:rPr>
        <w:t> </w:t>
      </w:r>
      <w:r w:rsidRPr="00D13BCC">
        <w:rPr>
          <w:rFonts w:ascii="Fira Sans" w:eastAsia="Times New Roman" w:hAnsi="Fira Sans" w:cs="Times New Roman"/>
          <w:color w:val="000000" w:themeColor="text1"/>
          <w:sz w:val="19"/>
          <w:szCs w:val="19"/>
          <w:lang w:eastAsia="pl-PL"/>
        </w:rPr>
        <w:t>przemieszczaniem się m</w:t>
      </w:r>
      <w:r w:rsidR="00D13BCC">
        <w:rPr>
          <w:rFonts w:ascii="Fira Sans" w:eastAsia="Times New Roman" w:hAnsi="Fira Sans" w:cs="Times New Roman"/>
          <w:color w:val="000000" w:themeColor="text1"/>
          <w:sz w:val="19"/>
          <w:szCs w:val="19"/>
          <w:lang w:eastAsia="pl-PL"/>
        </w:rPr>
        <w:t>iała prawie co druga osoba, a w </w:t>
      </w:r>
      <w:r w:rsidRPr="00D13BCC">
        <w:rPr>
          <w:rFonts w:ascii="Fira Sans" w:eastAsia="Times New Roman" w:hAnsi="Fira Sans" w:cs="Times New Roman"/>
          <w:color w:val="000000" w:themeColor="text1"/>
          <w:sz w:val="19"/>
          <w:szCs w:val="19"/>
          <w:lang w:eastAsia="pl-PL"/>
        </w:rPr>
        <w:t xml:space="preserve">grupie najstarszej – prawie </w:t>
      </w:r>
      <w:r w:rsidR="00F60388" w:rsidRPr="00D13BCC">
        <w:rPr>
          <w:rFonts w:ascii="Fira Sans" w:eastAsia="Times New Roman" w:hAnsi="Fira Sans" w:cs="Times New Roman"/>
          <w:color w:val="000000" w:themeColor="text1"/>
          <w:sz w:val="19"/>
          <w:szCs w:val="19"/>
          <w:lang w:eastAsia="pl-PL"/>
        </w:rPr>
        <w:t xml:space="preserve">3/4 </w:t>
      </w:r>
      <w:r w:rsidRPr="00D13BCC">
        <w:rPr>
          <w:rFonts w:ascii="Fira Sans" w:eastAsia="Times New Roman" w:hAnsi="Fira Sans" w:cs="Times New Roman"/>
          <w:color w:val="000000" w:themeColor="text1"/>
          <w:sz w:val="19"/>
          <w:szCs w:val="19"/>
          <w:lang w:eastAsia="pl-PL"/>
        </w:rPr>
        <w:t>tej populacji. Kłopoty z samodzielnym wejściem po schodach i zejściem (na 1 piętro i bez żadnej pomocy) zadeklarowało blisko 30% osób w grupie wieku 60-69 lat, ponad połowa z grupy 70</w:t>
      </w:r>
      <w:r w:rsidR="00F60388" w:rsidRPr="00D13BCC">
        <w:rPr>
          <w:rFonts w:ascii="Fira Sans" w:eastAsia="Times New Roman" w:hAnsi="Fira Sans" w:cs="Times New Roman"/>
          <w:color w:val="000000" w:themeColor="text1"/>
          <w:sz w:val="19"/>
          <w:szCs w:val="19"/>
          <w:lang w:eastAsia="pl-PL"/>
        </w:rPr>
        <w:t> </w:t>
      </w:r>
      <w:r w:rsidRPr="00D13BCC">
        <w:rPr>
          <w:rFonts w:ascii="Fira Sans" w:eastAsia="Times New Roman" w:hAnsi="Fira Sans" w:cs="Times New Roman"/>
          <w:color w:val="000000" w:themeColor="text1"/>
          <w:sz w:val="19"/>
          <w:szCs w:val="19"/>
          <w:lang w:eastAsia="pl-PL"/>
        </w:rPr>
        <w:t>-</w:t>
      </w:r>
      <w:r w:rsidR="00F60388" w:rsidRPr="00D13BCC">
        <w:rPr>
          <w:rFonts w:ascii="Fira Sans" w:eastAsia="Times New Roman" w:hAnsi="Fira Sans" w:cs="Times New Roman"/>
          <w:color w:val="000000" w:themeColor="text1"/>
          <w:sz w:val="19"/>
          <w:szCs w:val="19"/>
          <w:lang w:eastAsia="pl-PL"/>
        </w:rPr>
        <w:t> </w:t>
      </w:r>
      <w:r w:rsidRPr="00D13BCC">
        <w:rPr>
          <w:rFonts w:ascii="Fira Sans" w:eastAsia="Times New Roman" w:hAnsi="Fira Sans" w:cs="Times New Roman"/>
          <w:color w:val="000000" w:themeColor="text1"/>
          <w:sz w:val="19"/>
          <w:szCs w:val="19"/>
          <w:lang w:eastAsia="pl-PL"/>
        </w:rPr>
        <w:t xml:space="preserve">79 lat i prawie 80% osób 80-letnich lub starszych.  </w:t>
      </w:r>
    </w:p>
    <w:p w:rsidR="00B857AC" w:rsidRPr="00D13BCC" w:rsidRDefault="00B857AC" w:rsidP="00AC3E29">
      <w:pPr>
        <w:autoSpaceDE w:val="0"/>
        <w:autoSpaceDN w:val="0"/>
        <w:adjustRightInd w:val="0"/>
        <w:spacing w:before="120" w:after="0" w:line="360" w:lineRule="auto"/>
        <w:ind w:firstLine="708"/>
        <w:jc w:val="both"/>
        <w:rPr>
          <w:rFonts w:ascii="Fira Sans" w:eastAsia="Times New Roman" w:hAnsi="Fira Sans" w:cs="Times New Roman"/>
          <w:sz w:val="19"/>
          <w:szCs w:val="19"/>
          <w:lang w:eastAsia="pl-PL"/>
        </w:rPr>
      </w:pPr>
      <w:r w:rsidRPr="00D13BCC">
        <w:rPr>
          <w:rFonts w:ascii="Fira Sans" w:eastAsia="Times New Roman" w:hAnsi="Fira Sans" w:cs="Times New Roman"/>
          <w:sz w:val="19"/>
          <w:szCs w:val="19"/>
          <w:lang w:eastAsia="pl-PL"/>
        </w:rPr>
        <w:t xml:space="preserve">W badaniu </w:t>
      </w:r>
      <w:r w:rsidR="006310E0" w:rsidRPr="00D13BCC">
        <w:rPr>
          <w:rFonts w:ascii="Fira Sans" w:eastAsia="Times New Roman" w:hAnsi="Fira Sans" w:cs="Times New Roman"/>
          <w:sz w:val="19"/>
          <w:szCs w:val="19"/>
          <w:lang w:eastAsia="pl-PL"/>
        </w:rPr>
        <w:t>tym</w:t>
      </w:r>
      <w:r w:rsidRPr="00D13BCC">
        <w:rPr>
          <w:rFonts w:ascii="Fira Sans" w:eastAsia="Times New Roman" w:hAnsi="Fira Sans" w:cs="Times New Roman"/>
          <w:sz w:val="19"/>
          <w:szCs w:val="19"/>
          <w:lang w:eastAsia="pl-PL"/>
        </w:rPr>
        <w:t xml:space="preserve"> pytano również o zdolność do samoobsługi (tj. czy badana osoba może wykonać czynności, które każdy człowiek dorosły wykonuje codziennie) oraz do prowadzenia gospodarstwa domowego</w:t>
      </w:r>
      <w:r w:rsidR="00032841" w:rsidRPr="00D13BCC">
        <w:rPr>
          <w:rFonts w:ascii="Fira Sans" w:eastAsia="Times New Roman" w:hAnsi="Fira Sans" w:cs="Times New Roman"/>
          <w:sz w:val="19"/>
          <w:szCs w:val="19"/>
          <w:lang w:eastAsia="pl-PL"/>
        </w:rPr>
        <w:t xml:space="preserve"> </w:t>
      </w:r>
      <w:r w:rsidR="00032841" w:rsidRPr="00D13BCC">
        <w:rPr>
          <w:rFonts w:ascii="Fira Sans" w:eastAsia="Times New Roman" w:hAnsi="Fira Sans" w:cs="Times New Roman"/>
          <w:i/>
          <w:sz w:val="19"/>
          <w:szCs w:val="19"/>
          <w:lang w:eastAsia="pl-PL"/>
        </w:rPr>
        <w:t>(tabl.5.8)</w:t>
      </w:r>
      <w:r w:rsidRPr="00D13BCC">
        <w:rPr>
          <w:rFonts w:ascii="Fira Sans" w:eastAsia="Times New Roman" w:hAnsi="Fira Sans" w:cs="Times New Roman"/>
          <w:sz w:val="19"/>
          <w:szCs w:val="19"/>
          <w:lang w:eastAsia="pl-PL"/>
        </w:rPr>
        <w:t>. Pytania były zadawane wyłącznie osobom w</w:t>
      </w:r>
      <w:r w:rsidR="00F60388" w:rsidRPr="00D13BCC">
        <w:rPr>
          <w:rFonts w:ascii="Fira Sans" w:eastAsia="Times New Roman" w:hAnsi="Fira Sans" w:cs="Times New Roman"/>
          <w:sz w:val="19"/>
          <w:szCs w:val="19"/>
          <w:lang w:eastAsia="pl-PL"/>
        </w:rPr>
        <w:t> </w:t>
      </w:r>
      <w:r w:rsidRPr="00D13BCC">
        <w:rPr>
          <w:rFonts w:ascii="Fira Sans" w:eastAsia="Times New Roman" w:hAnsi="Fira Sans" w:cs="Times New Roman"/>
          <w:sz w:val="19"/>
          <w:szCs w:val="19"/>
          <w:lang w:eastAsia="pl-PL"/>
        </w:rPr>
        <w:t xml:space="preserve">wieku 65 lat i więcej. </w:t>
      </w:r>
    </w:p>
    <w:p w:rsidR="00B857AC" w:rsidRPr="00D13BCC" w:rsidRDefault="00B857AC" w:rsidP="009879A0">
      <w:pPr>
        <w:autoSpaceDE w:val="0"/>
        <w:autoSpaceDN w:val="0"/>
        <w:adjustRightInd w:val="0"/>
        <w:spacing w:before="120" w:after="0" w:line="360" w:lineRule="auto"/>
        <w:ind w:firstLine="709"/>
        <w:jc w:val="both"/>
        <w:rPr>
          <w:rFonts w:ascii="Fira Sans" w:eastAsia="Times New Roman" w:hAnsi="Fira Sans" w:cs="Times New Roman"/>
          <w:color w:val="000000" w:themeColor="text1"/>
          <w:sz w:val="19"/>
          <w:szCs w:val="19"/>
          <w:lang w:eastAsia="pl-PL"/>
        </w:rPr>
      </w:pPr>
      <w:r w:rsidRPr="00D13BCC">
        <w:rPr>
          <w:rFonts w:ascii="Fira Sans" w:eastAsia="Times New Roman" w:hAnsi="Fira Sans" w:cs="Times New Roman"/>
          <w:sz w:val="19"/>
          <w:szCs w:val="19"/>
          <w:lang w:eastAsia="pl-PL"/>
        </w:rPr>
        <w:t>Jak pokazują wyniki</w:t>
      </w:r>
      <w:r w:rsidR="006310E0" w:rsidRPr="00D13BCC">
        <w:rPr>
          <w:rFonts w:ascii="Fira Sans" w:eastAsia="Times New Roman" w:hAnsi="Fira Sans" w:cs="Times New Roman"/>
          <w:sz w:val="19"/>
          <w:szCs w:val="19"/>
          <w:lang w:eastAsia="pl-PL"/>
        </w:rPr>
        <w:t xml:space="preserve"> ostatniego </w:t>
      </w:r>
      <w:r w:rsidRPr="00D13BCC">
        <w:rPr>
          <w:rFonts w:ascii="Fira Sans" w:eastAsia="Times New Roman" w:hAnsi="Fira Sans" w:cs="Times New Roman"/>
          <w:sz w:val="19"/>
          <w:szCs w:val="19"/>
          <w:lang w:eastAsia="pl-PL"/>
        </w:rPr>
        <w:t xml:space="preserve">badania </w:t>
      </w:r>
      <w:r w:rsidR="00032841" w:rsidRPr="00D13BCC">
        <w:rPr>
          <w:rFonts w:ascii="Fira Sans" w:eastAsia="Times New Roman" w:hAnsi="Fira Sans" w:cs="Times New Roman"/>
          <w:color w:val="000000" w:themeColor="text1"/>
          <w:sz w:val="19"/>
          <w:szCs w:val="19"/>
          <w:lang w:eastAsia="pl-PL"/>
        </w:rPr>
        <w:t xml:space="preserve">EHIS </w:t>
      </w:r>
      <w:r w:rsidRPr="00D13BCC">
        <w:rPr>
          <w:rFonts w:ascii="Fira Sans" w:eastAsia="Times New Roman" w:hAnsi="Fira Sans" w:cs="Times New Roman"/>
          <w:color w:val="000000" w:themeColor="text1"/>
          <w:sz w:val="19"/>
          <w:szCs w:val="19"/>
          <w:lang w:eastAsia="pl-PL"/>
        </w:rPr>
        <w:t>co trzecia osoba w wieku 65 lat i więcej miała trudności z</w:t>
      </w:r>
      <w:r w:rsidR="00ED1A35" w:rsidRPr="00D13BCC">
        <w:rPr>
          <w:rFonts w:ascii="Fira Sans" w:eastAsia="Times New Roman" w:hAnsi="Fira Sans" w:cs="Times New Roman"/>
          <w:color w:val="000000" w:themeColor="text1"/>
          <w:sz w:val="19"/>
          <w:szCs w:val="19"/>
          <w:lang w:eastAsia="pl-PL"/>
        </w:rPr>
        <w:t> </w:t>
      </w:r>
      <w:r w:rsidRPr="00D13BCC">
        <w:rPr>
          <w:rFonts w:ascii="Fira Sans" w:eastAsia="Times New Roman" w:hAnsi="Fira Sans" w:cs="Times New Roman"/>
          <w:color w:val="000000" w:themeColor="text1"/>
          <w:sz w:val="19"/>
          <w:szCs w:val="19"/>
          <w:lang w:eastAsia="pl-PL"/>
        </w:rPr>
        <w:t>wykonaniem codziennych czynności związanych z samoobsługą. Dla tej grupy osób największą trudność stanowiło kładzenie się i wstawanie z łóżka lub siadanie i wstawanie z</w:t>
      </w:r>
      <w:r w:rsidR="00ED1A35" w:rsidRPr="00D13BCC">
        <w:rPr>
          <w:rFonts w:ascii="Fira Sans" w:eastAsia="Times New Roman" w:hAnsi="Fira Sans" w:cs="Times New Roman"/>
          <w:color w:val="000000" w:themeColor="text1"/>
          <w:sz w:val="19"/>
          <w:szCs w:val="19"/>
          <w:lang w:eastAsia="pl-PL"/>
        </w:rPr>
        <w:t> </w:t>
      </w:r>
      <w:r w:rsidRPr="00D13BCC">
        <w:rPr>
          <w:rFonts w:ascii="Fira Sans" w:eastAsia="Times New Roman" w:hAnsi="Fira Sans" w:cs="Times New Roman"/>
          <w:color w:val="000000" w:themeColor="text1"/>
          <w:sz w:val="19"/>
          <w:szCs w:val="19"/>
          <w:lang w:eastAsia="pl-PL"/>
        </w:rPr>
        <w:t xml:space="preserve">krzesła, </w:t>
      </w:r>
      <w:r w:rsidR="007578AA" w:rsidRPr="00D13BCC">
        <w:rPr>
          <w:rFonts w:ascii="Fira Sans" w:eastAsia="Times New Roman" w:hAnsi="Fira Sans" w:cs="Times New Roman"/>
          <w:color w:val="000000" w:themeColor="text1"/>
          <w:sz w:val="19"/>
          <w:szCs w:val="19"/>
          <w:lang w:eastAsia="pl-PL"/>
        </w:rPr>
        <w:t xml:space="preserve">a także </w:t>
      </w:r>
      <w:r w:rsidRPr="00D13BCC">
        <w:rPr>
          <w:rFonts w:ascii="Fira Sans" w:eastAsia="Times New Roman" w:hAnsi="Fira Sans" w:cs="Times New Roman"/>
          <w:color w:val="000000" w:themeColor="text1"/>
          <w:sz w:val="19"/>
          <w:szCs w:val="19"/>
          <w:lang w:eastAsia="pl-PL"/>
        </w:rPr>
        <w:t>kąpanie się lub mycie pod prysznicem oraz ubieranie się i</w:t>
      </w:r>
      <w:r w:rsidR="00ED1A35" w:rsidRPr="00D13BCC">
        <w:rPr>
          <w:rFonts w:ascii="Fira Sans" w:eastAsia="Times New Roman" w:hAnsi="Fira Sans" w:cs="Times New Roman"/>
          <w:color w:val="000000" w:themeColor="text1"/>
          <w:sz w:val="19"/>
          <w:szCs w:val="19"/>
          <w:lang w:eastAsia="pl-PL"/>
        </w:rPr>
        <w:t> </w:t>
      </w:r>
      <w:r w:rsidRPr="00D13BCC">
        <w:rPr>
          <w:rFonts w:ascii="Fira Sans" w:eastAsia="Times New Roman" w:hAnsi="Fira Sans" w:cs="Times New Roman"/>
          <w:color w:val="000000" w:themeColor="text1"/>
          <w:sz w:val="19"/>
          <w:szCs w:val="19"/>
          <w:lang w:eastAsia="pl-PL"/>
        </w:rPr>
        <w:t xml:space="preserve">rozbieranie. Problemy z wykonaniem co najmniej jednej z tych  czynności zadeklarowała co czwarta osoba w wieku 65 lat i więcej. Poziom </w:t>
      </w:r>
      <w:r w:rsidR="007578AA" w:rsidRPr="00D13BCC">
        <w:rPr>
          <w:rFonts w:ascii="Fira Sans" w:eastAsia="Times New Roman" w:hAnsi="Fira Sans" w:cs="Times New Roman"/>
          <w:color w:val="000000" w:themeColor="text1"/>
          <w:sz w:val="19"/>
          <w:szCs w:val="19"/>
          <w:lang w:eastAsia="pl-PL"/>
        </w:rPr>
        <w:t xml:space="preserve">zdolności do </w:t>
      </w:r>
      <w:r w:rsidRPr="00D13BCC">
        <w:rPr>
          <w:rFonts w:ascii="Fira Sans" w:eastAsia="Times New Roman" w:hAnsi="Fira Sans" w:cs="Times New Roman"/>
          <w:color w:val="000000" w:themeColor="text1"/>
          <w:sz w:val="19"/>
          <w:szCs w:val="19"/>
          <w:lang w:eastAsia="pl-PL"/>
        </w:rPr>
        <w:t xml:space="preserve">codziennej samoobsługi maleje wraz z wiekiem, wśród </w:t>
      </w:r>
      <w:r w:rsidR="00F60388" w:rsidRPr="00D13BCC">
        <w:rPr>
          <w:rFonts w:ascii="Fira Sans" w:eastAsia="Times New Roman" w:hAnsi="Fira Sans" w:cs="Times New Roman"/>
          <w:color w:val="000000" w:themeColor="text1"/>
          <w:sz w:val="19"/>
          <w:szCs w:val="19"/>
          <w:lang w:eastAsia="pl-PL"/>
        </w:rPr>
        <w:t xml:space="preserve">osób </w:t>
      </w:r>
      <w:r w:rsidRPr="00D13BCC">
        <w:rPr>
          <w:rFonts w:ascii="Fira Sans" w:eastAsia="Times New Roman" w:hAnsi="Fira Sans" w:cs="Times New Roman"/>
          <w:color w:val="000000" w:themeColor="text1"/>
          <w:sz w:val="19"/>
          <w:szCs w:val="19"/>
          <w:lang w:eastAsia="pl-PL"/>
        </w:rPr>
        <w:t xml:space="preserve">najstarszych </w:t>
      </w:r>
      <w:r w:rsidR="00295A04" w:rsidRPr="00D13BCC">
        <w:rPr>
          <w:rFonts w:ascii="Fira Sans" w:eastAsia="Times New Roman" w:hAnsi="Fira Sans" w:cs="Times New Roman"/>
          <w:color w:val="000000" w:themeColor="text1"/>
          <w:sz w:val="19"/>
          <w:szCs w:val="19"/>
          <w:lang w:eastAsia="pl-PL"/>
        </w:rPr>
        <w:t xml:space="preserve">(80 lat i więcej) </w:t>
      </w:r>
      <w:r w:rsidRPr="00D13BCC">
        <w:rPr>
          <w:rFonts w:ascii="Fira Sans" w:eastAsia="Times New Roman" w:hAnsi="Fira Sans" w:cs="Times New Roman"/>
          <w:color w:val="000000" w:themeColor="text1"/>
          <w:sz w:val="19"/>
          <w:szCs w:val="19"/>
          <w:lang w:eastAsia="pl-PL"/>
        </w:rPr>
        <w:t>problemy z samoobsługą deklarował</w:t>
      </w:r>
      <w:r w:rsidR="00032841" w:rsidRPr="00D13BCC">
        <w:rPr>
          <w:rFonts w:ascii="Fira Sans" w:eastAsia="Times New Roman" w:hAnsi="Fira Sans" w:cs="Times New Roman"/>
          <w:color w:val="000000" w:themeColor="text1"/>
          <w:sz w:val="19"/>
          <w:szCs w:val="19"/>
          <w:lang w:eastAsia="pl-PL"/>
        </w:rPr>
        <w:t xml:space="preserve">o już </w:t>
      </w:r>
      <w:r w:rsidR="007578AA" w:rsidRPr="00D13BCC">
        <w:rPr>
          <w:rFonts w:ascii="Fira Sans" w:eastAsia="Times New Roman" w:hAnsi="Fira Sans" w:cs="Times New Roman"/>
          <w:color w:val="000000" w:themeColor="text1"/>
          <w:sz w:val="19"/>
          <w:szCs w:val="19"/>
          <w:lang w:eastAsia="pl-PL"/>
        </w:rPr>
        <w:t xml:space="preserve">niemal </w:t>
      </w:r>
      <w:r w:rsidR="00032841" w:rsidRPr="00D13BCC">
        <w:rPr>
          <w:rFonts w:ascii="Fira Sans" w:eastAsia="Times New Roman" w:hAnsi="Fira Sans" w:cs="Times New Roman"/>
          <w:color w:val="000000" w:themeColor="text1"/>
          <w:sz w:val="19"/>
          <w:szCs w:val="19"/>
          <w:lang w:eastAsia="pl-PL"/>
        </w:rPr>
        <w:t>6 osób na 10</w:t>
      </w:r>
      <w:r w:rsidRPr="00D13BCC">
        <w:rPr>
          <w:rFonts w:ascii="Fira Sans" w:eastAsia="Times New Roman" w:hAnsi="Fira Sans" w:cs="Times New Roman"/>
          <w:color w:val="000000" w:themeColor="text1"/>
          <w:sz w:val="19"/>
          <w:szCs w:val="19"/>
          <w:lang w:eastAsia="pl-PL"/>
        </w:rPr>
        <w:t>. O skali potrzeb w</w:t>
      </w:r>
      <w:r w:rsidR="00ED1A35" w:rsidRPr="00D13BCC">
        <w:rPr>
          <w:rFonts w:ascii="Fira Sans" w:eastAsia="Times New Roman" w:hAnsi="Fira Sans" w:cs="Times New Roman"/>
          <w:color w:val="000000" w:themeColor="text1"/>
          <w:sz w:val="19"/>
          <w:szCs w:val="19"/>
          <w:lang w:eastAsia="pl-PL"/>
        </w:rPr>
        <w:t> </w:t>
      </w:r>
      <w:r w:rsidRPr="00D13BCC">
        <w:rPr>
          <w:rFonts w:ascii="Fira Sans" w:eastAsia="Times New Roman" w:hAnsi="Fira Sans" w:cs="Times New Roman"/>
          <w:color w:val="000000" w:themeColor="text1"/>
          <w:sz w:val="19"/>
          <w:szCs w:val="19"/>
          <w:lang w:eastAsia="pl-PL"/>
        </w:rPr>
        <w:t>tym podstawowym aspekcie życia człowieka może świadczyć fakt, że blisko 45% osób starszych mających  problemy z podstawową samoobsługą musiał</w:t>
      </w:r>
      <w:r w:rsidR="00295A04" w:rsidRPr="00D13BCC">
        <w:rPr>
          <w:rFonts w:ascii="Fira Sans" w:eastAsia="Times New Roman" w:hAnsi="Fira Sans" w:cs="Times New Roman"/>
          <w:color w:val="000000" w:themeColor="text1"/>
          <w:sz w:val="19"/>
          <w:szCs w:val="19"/>
          <w:lang w:eastAsia="pl-PL"/>
        </w:rPr>
        <w:t xml:space="preserve">o </w:t>
      </w:r>
      <w:r w:rsidR="00295A04" w:rsidRPr="00D13BCC">
        <w:rPr>
          <w:rFonts w:ascii="Fira Sans" w:eastAsia="Times New Roman" w:hAnsi="Fira Sans" w:cs="Times New Roman"/>
          <w:color w:val="000000" w:themeColor="text1"/>
          <w:sz w:val="19"/>
          <w:szCs w:val="19"/>
          <w:lang w:eastAsia="pl-PL"/>
        </w:rPr>
        <w:lastRenderedPageBreak/>
        <w:t>samotnie zmagać się z tymi problemami</w:t>
      </w:r>
      <w:r w:rsidRPr="00D13BCC">
        <w:rPr>
          <w:rFonts w:ascii="Fira Sans" w:eastAsia="Times New Roman" w:hAnsi="Fira Sans" w:cs="Times New Roman"/>
          <w:color w:val="000000" w:themeColor="text1"/>
          <w:sz w:val="19"/>
          <w:szCs w:val="19"/>
          <w:lang w:eastAsia="pl-PL"/>
        </w:rPr>
        <w:t>, bo nie miał</w:t>
      </w:r>
      <w:r w:rsidR="00295A04" w:rsidRPr="00D13BCC">
        <w:rPr>
          <w:rFonts w:ascii="Fira Sans" w:eastAsia="Times New Roman" w:hAnsi="Fira Sans" w:cs="Times New Roman"/>
          <w:color w:val="000000" w:themeColor="text1"/>
          <w:sz w:val="19"/>
          <w:szCs w:val="19"/>
          <w:lang w:eastAsia="pl-PL"/>
        </w:rPr>
        <w:t>o</w:t>
      </w:r>
      <w:r w:rsidRPr="00D13BCC">
        <w:rPr>
          <w:rFonts w:ascii="Fira Sans" w:eastAsia="Times New Roman" w:hAnsi="Fira Sans" w:cs="Times New Roman"/>
          <w:color w:val="000000" w:themeColor="text1"/>
          <w:sz w:val="19"/>
          <w:szCs w:val="19"/>
          <w:lang w:eastAsia="pl-PL"/>
        </w:rPr>
        <w:t xml:space="preserve">  żadnej pomocy ze strony osób lub</w:t>
      </w:r>
      <w:r w:rsidR="00D13BCC">
        <w:rPr>
          <w:rFonts w:ascii="Fira Sans" w:eastAsia="Times New Roman" w:hAnsi="Fira Sans" w:cs="Times New Roman"/>
          <w:color w:val="000000" w:themeColor="text1"/>
          <w:sz w:val="19"/>
          <w:szCs w:val="19"/>
          <w:lang w:eastAsia="pl-PL"/>
        </w:rPr>
        <w:t xml:space="preserve"> udogodnień w </w:t>
      </w:r>
      <w:r w:rsidR="007578AA" w:rsidRPr="00D13BCC">
        <w:rPr>
          <w:rFonts w:ascii="Fira Sans" w:eastAsia="Times New Roman" w:hAnsi="Fira Sans" w:cs="Times New Roman"/>
          <w:color w:val="000000" w:themeColor="text1"/>
          <w:sz w:val="19"/>
          <w:szCs w:val="19"/>
          <w:lang w:eastAsia="pl-PL"/>
        </w:rPr>
        <w:t>postaci</w:t>
      </w:r>
      <w:r w:rsidRPr="00D13BCC">
        <w:rPr>
          <w:rFonts w:ascii="Fira Sans" w:eastAsia="Times New Roman" w:hAnsi="Fira Sans" w:cs="Times New Roman"/>
          <w:color w:val="000000" w:themeColor="text1"/>
          <w:sz w:val="19"/>
          <w:szCs w:val="19"/>
          <w:lang w:eastAsia="pl-PL"/>
        </w:rPr>
        <w:t xml:space="preserve"> urządzeń. </w:t>
      </w:r>
    </w:p>
    <w:p w:rsidR="00B857AC" w:rsidRPr="00D13BCC" w:rsidRDefault="00B857AC" w:rsidP="00AC3E29">
      <w:pPr>
        <w:autoSpaceDE w:val="0"/>
        <w:autoSpaceDN w:val="0"/>
        <w:adjustRightInd w:val="0"/>
        <w:spacing w:before="120" w:after="0" w:line="360" w:lineRule="auto"/>
        <w:ind w:firstLine="708"/>
        <w:jc w:val="both"/>
        <w:rPr>
          <w:rFonts w:ascii="Fira Sans" w:eastAsia="Times New Roman" w:hAnsi="Fira Sans" w:cs="Times New Roman"/>
          <w:color w:val="000000" w:themeColor="text1"/>
          <w:sz w:val="19"/>
          <w:szCs w:val="19"/>
          <w:lang w:eastAsia="pl-PL"/>
        </w:rPr>
      </w:pPr>
      <w:r w:rsidRPr="00D13BCC">
        <w:rPr>
          <w:rFonts w:ascii="Fira Sans" w:eastAsia="Times New Roman" w:hAnsi="Fira Sans" w:cs="Times New Roman"/>
          <w:color w:val="000000" w:themeColor="text1"/>
          <w:sz w:val="19"/>
          <w:szCs w:val="19"/>
          <w:lang w:eastAsia="pl-PL"/>
        </w:rPr>
        <w:t xml:space="preserve">W </w:t>
      </w:r>
      <w:r w:rsidRPr="00D13BCC">
        <w:rPr>
          <w:rFonts w:ascii="Fira Sans" w:eastAsia="Times New Roman" w:hAnsi="Fira Sans" w:cs="Times New Roman"/>
          <w:color w:val="000000"/>
          <w:sz w:val="19"/>
          <w:szCs w:val="19"/>
          <w:lang w:eastAsia="pl-PL"/>
        </w:rPr>
        <w:t>odniesieniu</w:t>
      </w:r>
      <w:r w:rsidRPr="00D13BCC">
        <w:rPr>
          <w:rFonts w:ascii="Fira Sans" w:eastAsia="Times New Roman" w:hAnsi="Fira Sans" w:cs="Times New Roman"/>
          <w:color w:val="000000" w:themeColor="text1"/>
          <w:sz w:val="19"/>
          <w:szCs w:val="19"/>
          <w:lang w:eastAsia="pl-PL"/>
        </w:rPr>
        <w:t xml:space="preserve"> do kwestii możliwości prowadzenia gospodarstwa domowego </w:t>
      </w:r>
      <w:r w:rsidR="00621838" w:rsidRPr="00D13BCC">
        <w:rPr>
          <w:rFonts w:ascii="Fira Sans" w:eastAsia="Times New Roman" w:hAnsi="Fira Sans" w:cs="Times New Roman"/>
          <w:color w:val="000000" w:themeColor="text1"/>
          <w:sz w:val="19"/>
          <w:szCs w:val="19"/>
          <w:lang w:eastAsia="pl-PL"/>
        </w:rPr>
        <w:t xml:space="preserve"> </w:t>
      </w:r>
      <w:r w:rsidRPr="00D13BCC">
        <w:rPr>
          <w:rFonts w:ascii="Fira Sans" w:eastAsia="Times New Roman" w:hAnsi="Fira Sans" w:cs="Times New Roman"/>
          <w:color w:val="000000" w:themeColor="text1"/>
          <w:sz w:val="19"/>
          <w:szCs w:val="19"/>
          <w:lang w:eastAsia="pl-PL"/>
        </w:rPr>
        <w:t>można wnioskować, że występujące ograniczenia zdrowotne nie pozwalają osobom starszym wykonywać okazjonalnie  ciężkich prac domowych. Co druga osoba mająca 65 lat i więcej miała trudności z takimi czynnościami. Także robienie codziennych zakupów sprawiało trudność co trzeciej starszej osobie, a w dalszej kolejności wykonywanie lżejszych prac domowych czy też dbanie o sprawy administracyjne i finansowe. Prawie 28% starszych osób zgłaszających ograniczenia w prowadzeniu gospodarstwa domowego nie miał</w:t>
      </w:r>
      <w:r w:rsidR="00E74890" w:rsidRPr="00D13BCC">
        <w:rPr>
          <w:rFonts w:ascii="Fira Sans" w:eastAsia="Times New Roman" w:hAnsi="Fira Sans" w:cs="Times New Roman"/>
          <w:color w:val="000000" w:themeColor="text1"/>
          <w:sz w:val="19"/>
          <w:szCs w:val="19"/>
          <w:lang w:eastAsia="pl-PL"/>
        </w:rPr>
        <w:t>o</w:t>
      </w:r>
      <w:r w:rsidR="00D13BCC">
        <w:rPr>
          <w:rFonts w:ascii="Fira Sans" w:eastAsia="Times New Roman" w:hAnsi="Fira Sans" w:cs="Times New Roman"/>
          <w:color w:val="000000" w:themeColor="text1"/>
          <w:sz w:val="19"/>
          <w:szCs w:val="19"/>
          <w:lang w:eastAsia="pl-PL"/>
        </w:rPr>
        <w:t xml:space="preserve"> żadnej </w:t>
      </w:r>
      <w:r w:rsidRPr="00D13BCC">
        <w:rPr>
          <w:rFonts w:ascii="Fira Sans" w:eastAsia="Times New Roman" w:hAnsi="Fira Sans" w:cs="Times New Roman"/>
          <w:color w:val="000000" w:themeColor="text1"/>
          <w:sz w:val="19"/>
          <w:szCs w:val="19"/>
          <w:lang w:eastAsia="pl-PL"/>
        </w:rPr>
        <w:t>pomocy i musiał</w:t>
      </w:r>
      <w:r w:rsidR="00E74890" w:rsidRPr="00D13BCC">
        <w:rPr>
          <w:rFonts w:ascii="Fira Sans" w:eastAsia="Times New Roman" w:hAnsi="Fira Sans" w:cs="Times New Roman"/>
          <w:color w:val="000000" w:themeColor="text1"/>
          <w:sz w:val="19"/>
          <w:szCs w:val="19"/>
          <w:lang w:eastAsia="pl-PL"/>
        </w:rPr>
        <w:t>o</w:t>
      </w:r>
      <w:r w:rsidRPr="00D13BCC">
        <w:rPr>
          <w:rFonts w:ascii="Fira Sans" w:eastAsia="Times New Roman" w:hAnsi="Fira Sans" w:cs="Times New Roman"/>
          <w:color w:val="000000" w:themeColor="text1"/>
          <w:sz w:val="19"/>
          <w:szCs w:val="19"/>
          <w:lang w:eastAsia="pl-PL"/>
        </w:rPr>
        <w:t xml:space="preserve"> sobie radzić sam</w:t>
      </w:r>
      <w:r w:rsidR="00E74890" w:rsidRPr="00D13BCC">
        <w:rPr>
          <w:rFonts w:ascii="Fira Sans" w:eastAsia="Times New Roman" w:hAnsi="Fira Sans" w:cs="Times New Roman"/>
          <w:color w:val="000000" w:themeColor="text1"/>
          <w:sz w:val="19"/>
          <w:szCs w:val="19"/>
          <w:lang w:eastAsia="pl-PL"/>
        </w:rPr>
        <w:t>odzielnie</w:t>
      </w:r>
      <w:r w:rsidR="008B2A2E" w:rsidRPr="00D13BCC">
        <w:rPr>
          <w:rFonts w:ascii="Fira Sans" w:eastAsia="Times New Roman" w:hAnsi="Fira Sans" w:cs="Times New Roman"/>
          <w:color w:val="000000" w:themeColor="text1"/>
          <w:sz w:val="19"/>
          <w:szCs w:val="19"/>
          <w:lang w:eastAsia="pl-PL"/>
        </w:rPr>
        <w:t xml:space="preserve"> </w:t>
      </w:r>
      <w:r w:rsidR="003552E6" w:rsidRPr="00D13BCC">
        <w:rPr>
          <w:rFonts w:ascii="Fira Sans" w:eastAsia="Times New Roman" w:hAnsi="Fira Sans" w:cs="Times New Roman"/>
          <w:color w:val="000000" w:themeColor="text1"/>
          <w:sz w:val="19"/>
          <w:szCs w:val="19"/>
          <w:lang w:eastAsia="pl-PL"/>
        </w:rPr>
        <w:t>(</w:t>
      </w:r>
      <w:r w:rsidR="003552E6" w:rsidRPr="00D13BCC">
        <w:rPr>
          <w:rFonts w:ascii="Fira Sans" w:eastAsia="Times New Roman" w:hAnsi="Fira Sans" w:cs="Times New Roman"/>
          <w:i/>
          <w:color w:val="000000" w:themeColor="text1"/>
          <w:sz w:val="19"/>
          <w:szCs w:val="19"/>
          <w:lang w:eastAsia="pl-PL"/>
        </w:rPr>
        <w:t>tabl.5.9</w:t>
      </w:r>
      <w:r w:rsidR="003552E6" w:rsidRPr="00D13BCC">
        <w:rPr>
          <w:rFonts w:ascii="Fira Sans" w:eastAsia="Times New Roman" w:hAnsi="Fira Sans" w:cs="Times New Roman"/>
          <w:color w:val="000000" w:themeColor="text1"/>
          <w:sz w:val="19"/>
          <w:szCs w:val="19"/>
          <w:lang w:eastAsia="pl-PL"/>
        </w:rPr>
        <w:t>)</w:t>
      </w:r>
      <w:r w:rsidRPr="00D13BCC">
        <w:rPr>
          <w:rFonts w:ascii="Fira Sans" w:eastAsia="Times New Roman" w:hAnsi="Fira Sans" w:cs="Times New Roman"/>
          <w:color w:val="000000" w:themeColor="text1"/>
          <w:sz w:val="19"/>
          <w:szCs w:val="19"/>
          <w:lang w:eastAsia="pl-PL"/>
        </w:rPr>
        <w:t>.</w:t>
      </w:r>
    </w:p>
    <w:p w:rsidR="00B857AC" w:rsidRPr="000D1535" w:rsidRDefault="00B857AC" w:rsidP="0011143F">
      <w:pPr>
        <w:spacing w:after="0" w:line="360" w:lineRule="auto"/>
        <w:jc w:val="both"/>
        <w:rPr>
          <w:rFonts w:ascii="Times New Roman" w:eastAsia="Times New Roman" w:hAnsi="Times New Roman" w:cs="Times New Roman"/>
          <w:b/>
          <w:color w:val="000000" w:themeColor="text1"/>
          <w:sz w:val="24"/>
          <w:szCs w:val="24"/>
          <w:lang w:eastAsia="pl-PL"/>
        </w:rPr>
      </w:pPr>
    </w:p>
    <w:p w:rsidR="00B857AC" w:rsidRPr="009879A0" w:rsidRDefault="00B857AC" w:rsidP="000D1535">
      <w:pPr>
        <w:pStyle w:val="Nagwek3"/>
        <w:rPr>
          <w:rFonts w:ascii="Fira Sans" w:eastAsia="Times New Roman" w:hAnsi="Fira Sans"/>
          <w:color w:val="0070C0"/>
          <w:lang w:eastAsia="pl-PL"/>
        </w:rPr>
      </w:pPr>
      <w:bookmarkStart w:id="16" w:name="_Toc456009387"/>
      <w:r w:rsidRPr="009879A0">
        <w:rPr>
          <w:rFonts w:ascii="Fira Sans" w:eastAsia="Times New Roman" w:hAnsi="Fira Sans"/>
          <w:color w:val="0070C0"/>
          <w:lang w:eastAsia="pl-PL"/>
        </w:rPr>
        <w:t>Profilaktyka zdrowotna i częstość korzystania z usług medycznych</w:t>
      </w:r>
      <w:bookmarkEnd w:id="16"/>
    </w:p>
    <w:p w:rsidR="00B857AC" w:rsidRPr="009879A0" w:rsidRDefault="006310E0" w:rsidP="009879A0">
      <w:pPr>
        <w:spacing w:before="240" w:after="0" w:line="360" w:lineRule="auto"/>
        <w:ind w:firstLine="709"/>
        <w:jc w:val="both"/>
        <w:rPr>
          <w:rFonts w:ascii="Fira Sans" w:eastAsia="Times New Roman" w:hAnsi="Fira Sans" w:cs="Times New Roman"/>
          <w:color w:val="000000" w:themeColor="text1"/>
          <w:sz w:val="19"/>
          <w:szCs w:val="19"/>
          <w:lang w:eastAsia="pl-PL"/>
        </w:rPr>
      </w:pPr>
      <w:r w:rsidRPr="009879A0">
        <w:rPr>
          <w:rFonts w:ascii="Fira Sans" w:eastAsia="Times New Roman" w:hAnsi="Fira Sans" w:cs="Times New Roman"/>
          <w:sz w:val="19"/>
          <w:szCs w:val="19"/>
          <w:lang w:eastAsia="pl-PL"/>
        </w:rPr>
        <w:t>Jak wskazują wyniki badania EHIS w 2014 r. l</w:t>
      </w:r>
      <w:r w:rsidR="00B857AC" w:rsidRPr="009879A0">
        <w:rPr>
          <w:rFonts w:ascii="Fira Sans" w:eastAsia="Times New Roman" w:hAnsi="Fira Sans" w:cs="Times New Roman"/>
          <w:sz w:val="19"/>
          <w:szCs w:val="19"/>
          <w:lang w:eastAsia="pl-PL"/>
        </w:rPr>
        <w:t xml:space="preserve">udzie starsi często poddają się podstawowym badaniom profilaktycznym. W ciągu ostatnich 12 miesięcy przed terminem wywiadu </w:t>
      </w:r>
      <w:r w:rsidR="00F60388" w:rsidRPr="009879A0">
        <w:rPr>
          <w:rFonts w:ascii="Fira Sans" w:eastAsia="Times New Roman" w:hAnsi="Fira Sans" w:cs="Times New Roman"/>
          <w:sz w:val="19"/>
          <w:szCs w:val="19"/>
          <w:lang w:eastAsia="pl-PL"/>
        </w:rPr>
        <w:t xml:space="preserve">w badaniu EHIS </w:t>
      </w:r>
      <w:r w:rsidR="00B857AC" w:rsidRPr="009879A0">
        <w:rPr>
          <w:rFonts w:ascii="Fira Sans" w:eastAsia="Times New Roman" w:hAnsi="Fira Sans" w:cs="Times New Roman"/>
          <w:sz w:val="19"/>
          <w:szCs w:val="19"/>
          <w:lang w:eastAsia="pl-PL"/>
        </w:rPr>
        <w:t xml:space="preserve">blisko 84% ludzi starszych miało wykonane profesjonalne badanie ciśnienia krwi; badanie </w:t>
      </w:r>
      <w:r w:rsidR="00B857AC" w:rsidRPr="009879A0">
        <w:rPr>
          <w:rFonts w:ascii="Fira Sans" w:eastAsia="Times New Roman" w:hAnsi="Fira Sans" w:cs="Times New Roman"/>
          <w:color w:val="000000" w:themeColor="text1"/>
          <w:sz w:val="19"/>
          <w:szCs w:val="19"/>
          <w:lang w:eastAsia="pl-PL"/>
        </w:rPr>
        <w:t>poziomu cholesterolu oraz cukru we krwi  wykonało ponad 70% ogólnej populacji ludzi starszych. Te podstawowe badania stosunkowo częściej wykonywane były przez sędziwe osoby</w:t>
      </w:r>
      <w:r w:rsidR="000F366F" w:rsidRPr="009879A0">
        <w:rPr>
          <w:rFonts w:ascii="Fira Sans" w:eastAsia="Times New Roman" w:hAnsi="Fira Sans" w:cs="Times New Roman"/>
          <w:color w:val="000000" w:themeColor="text1"/>
          <w:sz w:val="19"/>
          <w:szCs w:val="19"/>
          <w:lang w:eastAsia="pl-PL"/>
        </w:rPr>
        <w:t xml:space="preserve"> (grupa 80 lat i więcej)</w:t>
      </w:r>
      <w:r w:rsidR="00B857AC" w:rsidRPr="009879A0">
        <w:rPr>
          <w:rFonts w:ascii="Fira Sans" w:eastAsia="Times New Roman" w:hAnsi="Fira Sans" w:cs="Times New Roman"/>
          <w:color w:val="000000" w:themeColor="text1"/>
          <w:sz w:val="19"/>
          <w:szCs w:val="19"/>
          <w:lang w:eastAsia="pl-PL"/>
        </w:rPr>
        <w:t>, częściej też wykonywały je starsze kobiety niż mężczyźni</w:t>
      </w:r>
      <w:r w:rsidR="00EA07CA" w:rsidRPr="009879A0">
        <w:rPr>
          <w:rFonts w:ascii="Fira Sans" w:eastAsia="Times New Roman" w:hAnsi="Fira Sans" w:cs="Times New Roman"/>
          <w:color w:val="000000" w:themeColor="text1"/>
          <w:sz w:val="19"/>
          <w:szCs w:val="19"/>
          <w:lang w:eastAsia="pl-PL"/>
        </w:rPr>
        <w:t xml:space="preserve"> (</w:t>
      </w:r>
      <w:r w:rsidR="00EA07CA" w:rsidRPr="009879A0">
        <w:rPr>
          <w:rFonts w:ascii="Fira Sans" w:eastAsia="Times New Roman" w:hAnsi="Fira Sans" w:cs="Times New Roman"/>
          <w:i/>
          <w:color w:val="000000" w:themeColor="text1"/>
          <w:sz w:val="19"/>
          <w:szCs w:val="19"/>
          <w:lang w:eastAsia="pl-PL"/>
        </w:rPr>
        <w:t>tabl.</w:t>
      </w:r>
      <w:r w:rsidR="00C67D93" w:rsidRPr="009879A0">
        <w:rPr>
          <w:rFonts w:ascii="Fira Sans" w:eastAsia="Times New Roman" w:hAnsi="Fira Sans" w:cs="Times New Roman"/>
          <w:i/>
          <w:color w:val="000000" w:themeColor="text1"/>
          <w:sz w:val="19"/>
          <w:szCs w:val="19"/>
          <w:lang w:eastAsia="pl-PL"/>
        </w:rPr>
        <w:t>5.</w:t>
      </w:r>
      <w:r w:rsidR="00EA07CA" w:rsidRPr="009879A0">
        <w:rPr>
          <w:rFonts w:ascii="Fira Sans" w:eastAsia="Times New Roman" w:hAnsi="Fira Sans" w:cs="Times New Roman"/>
          <w:i/>
          <w:color w:val="000000" w:themeColor="text1"/>
          <w:sz w:val="19"/>
          <w:szCs w:val="19"/>
          <w:lang w:eastAsia="pl-PL"/>
        </w:rPr>
        <w:t>1</w:t>
      </w:r>
      <w:r w:rsidR="002C7366" w:rsidRPr="009879A0">
        <w:rPr>
          <w:rFonts w:ascii="Fira Sans" w:eastAsia="Times New Roman" w:hAnsi="Fira Sans" w:cs="Times New Roman"/>
          <w:i/>
          <w:color w:val="000000" w:themeColor="text1"/>
          <w:sz w:val="19"/>
          <w:szCs w:val="19"/>
          <w:lang w:eastAsia="pl-PL"/>
        </w:rPr>
        <w:t>1</w:t>
      </w:r>
      <w:r w:rsidR="00EA07CA" w:rsidRPr="009879A0">
        <w:rPr>
          <w:rFonts w:ascii="Fira Sans" w:eastAsia="Times New Roman" w:hAnsi="Fira Sans" w:cs="Times New Roman"/>
          <w:color w:val="000000" w:themeColor="text1"/>
          <w:sz w:val="19"/>
          <w:szCs w:val="19"/>
          <w:lang w:eastAsia="pl-PL"/>
        </w:rPr>
        <w:t>).</w:t>
      </w:r>
    </w:p>
    <w:p w:rsidR="00B857AC" w:rsidRPr="009879A0" w:rsidRDefault="00B857AC" w:rsidP="009879A0">
      <w:pPr>
        <w:autoSpaceDE w:val="0"/>
        <w:autoSpaceDN w:val="0"/>
        <w:adjustRightInd w:val="0"/>
        <w:spacing w:before="120" w:after="0" w:line="360" w:lineRule="auto"/>
        <w:ind w:firstLine="709"/>
        <w:jc w:val="both"/>
        <w:rPr>
          <w:rFonts w:ascii="Fira Sans" w:eastAsia="Times New Roman" w:hAnsi="Fira Sans" w:cs="Times New Roman"/>
          <w:color w:val="000000" w:themeColor="text1"/>
          <w:sz w:val="19"/>
          <w:szCs w:val="19"/>
          <w:lang w:eastAsia="pl-PL"/>
        </w:rPr>
      </w:pPr>
      <w:r w:rsidRPr="009879A0">
        <w:rPr>
          <w:rFonts w:ascii="Fira Sans" w:eastAsia="Times New Roman" w:hAnsi="Fira Sans" w:cs="Times New Roman"/>
          <w:color w:val="000000" w:themeColor="text1"/>
          <w:sz w:val="19"/>
          <w:szCs w:val="19"/>
          <w:lang w:eastAsia="pl-PL"/>
        </w:rPr>
        <w:t xml:space="preserve">Niestety, wskazania do wykonywania corocznych szczepień przeciw grypie przez osoby starsze  nie znajdują realnego oddźwięku w tej grupie. </w:t>
      </w:r>
      <w:r w:rsidR="006310E0" w:rsidRPr="009879A0">
        <w:rPr>
          <w:rFonts w:ascii="Fira Sans" w:eastAsia="Times New Roman" w:hAnsi="Fira Sans" w:cs="Times New Roman"/>
          <w:color w:val="000000" w:themeColor="text1"/>
          <w:sz w:val="19"/>
          <w:szCs w:val="19"/>
          <w:lang w:eastAsia="pl-PL"/>
        </w:rPr>
        <w:t>Pod koniec 2014 r. j</w:t>
      </w:r>
      <w:r w:rsidRPr="009879A0">
        <w:rPr>
          <w:rFonts w:ascii="Fira Sans" w:eastAsia="Times New Roman" w:hAnsi="Fira Sans" w:cs="Times New Roman"/>
          <w:color w:val="000000" w:themeColor="text1"/>
          <w:sz w:val="19"/>
          <w:szCs w:val="19"/>
          <w:lang w:eastAsia="pl-PL"/>
        </w:rPr>
        <w:t>edynie co czwarta taka osoba zadeklarowała, że przynajmniej raz w życiu szczepiła się przeciw grypie, a tylko niespełna</w:t>
      </w:r>
      <w:r w:rsidR="009879A0">
        <w:rPr>
          <w:rFonts w:ascii="Fira Sans" w:eastAsia="Times New Roman" w:hAnsi="Fira Sans" w:cs="Times New Roman"/>
          <w:color w:val="000000" w:themeColor="text1"/>
          <w:sz w:val="19"/>
          <w:szCs w:val="19"/>
          <w:lang w:eastAsia="pl-PL"/>
        </w:rPr>
        <w:t xml:space="preserve"> co dziesiąta zaszczepiła się w </w:t>
      </w:r>
      <w:r w:rsidRPr="009879A0">
        <w:rPr>
          <w:rFonts w:ascii="Fira Sans" w:eastAsia="Times New Roman" w:hAnsi="Fira Sans" w:cs="Times New Roman"/>
          <w:color w:val="000000" w:themeColor="text1"/>
          <w:sz w:val="19"/>
          <w:szCs w:val="19"/>
          <w:lang w:eastAsia="pl-PL"/>
        </w:rPr>
        <w:t>okresie ostatnich 2 lat (w 2013 lub 2014 roku). Wykonywane szczepienia zgodnie z zaleceniami relatywnie częściej deklarowały najstarsze osoby,  znacznie częściej  mężczyźni niż kobiety.</w:t>
      </w:r>
    </w:p>
    <w:p w:rsidR="00B857AC" w:rsidRPr="009879A0" w:rsidRDefault="00F81A63" w:rsidP="009879A0">
      <w:pPr>
        <w:autoSpaceDE w:val="0"/>
        <w:autoSpaceDN w:val="0"/>
        <w:adjustRightInd w:val="0"/>
        <w:spacing w:before="120" w:after="0" w:line="360" w:lineRule="auto"/>
        <w:ind w:firstLine="709"/>
        <w:jc w:val="both"/>
        <w:rPr>
          <w:rFonts w:ascii="Fira Sans" w:eastAsia="Times New Roman" w:hAnsi="Fira Sans" w:cs="Times New Roman"/>
          <w:color w:val="000000" w:themeColor="text1"/>
          <w:sz w:val="19"/>
          <w:szCs w:val="19"/>
          <w:lang w:eastAsia="pl-PL"/>
        </w:rPr>
      </w:pPr>
      <w:r w:rsidRPr="009879A0">
        <w:rPr>
          <w:rFonts w:ascii="Fira Sans" w:eastAsia="Times New Roman" w:hAnsi="Fira Sans" w:cs="Times New Roman"/>
          <w:color w:val="000000" w:themeColor="text1"/>
          <w:sz w:val="19"/>
          <w:szCs w:val="19"/>
          <w:lang w:eastAsia="pl-PL"/>
        </w:rPr>
        <w:t>Zgodnie z wynikami  badania EHIS 2014 n</w:t>
      </w:r>
      <w:r w:rsidR="00B857AC" w:rsidRPr="009879A0">
        <w:rPr>
          <w:rFonts w:ascii="Fira Sans" w:eastAsia="Times New Roman" w:hAnsi="Fira Sans" w:cs="Times New Roman"/>
          <w:color w:val="000000" w:themeColor="text1"/>
          <w:sz w:val="19"/>
          <w:szCs w:val="19"/>
          <w:lang w:eastAsia="pl-PL"/>
        </w:rPr>
        <w:t>iespełna co 3 starsza os</w:t>
      </w:r>
      <w:r w:rsidR="009879A0">
        <w:rPr>
          <w:rFonts w:ascii="Fira Sans" w:eastAsia="Times New Roman" w:hAnsi="Fira Sans" w:cs="Times New Roman"/>
          <w:color w:val="000000" w:themeColor="text1"/>
          <w:sz w:val="19"/>
          <w:szCs w:val="19"/>
          <w:lang w:eastAsia="pl-PL"/>
        </w:rPr>
        <w:t>oba została chociaż jeden raz w </w:t>
      </w:r>
      <w:r w:rsidR="00B857AC" w:rsidRPr="009879A0">
        <w:rPr>
          <w:rFonts w:ascii="Fira Sans" w:eastAsia="Times New Roman" w:hAnsi="Fira Sans" w:cs="Times New Roman"/>
          <w:color w:val="000000" w:themeColor="text1"/>
          <w:sz w:val="19"/>
          <w:szCs w:val="19"/>
          <w:lang w:eastAsia="pl-PL"/>
        </w:rPr>
        <w:t>życiu przebadana w kierunku wykrywania raka jelita grubego, wykonując kolonoskopię lub badanie krwi utajonej w kale. Najczęściej badania te wykonywali najstarsi mężczyźni – co trzeci z grupy w wieku 80 lat i</w:t>
      </w:r>
      <w:r w:rsidR="00ED1A35" w:rsidRPr="009879A0">
        <w:rPr>
          <w:rFonts w:ascii="Fira Sans" w:eastAsia="Times New Roman" w:hAnsi="Fira Sans" w:cs="Times New Roman"/>
          <w:color w:val="000000" w:themeColor="text1"/>
          <w:sz w:val="19"/>
          <w:szCs w:val="19"/>
          <w:lang w:eastAsia="pl-PL"/>
        </w:rPr>
        <w:t> </w:t>
      </w:r>
      <w:r w:rsidR="00B857AC" w:rsidRPr="009879A0">
        <w:rPr>
          <w:rFonts w:ascii="Fira Sans" w:eastAsia="Times New Roman" w:hAnsi="Fira Sans" w:cs="Times New Roman"/>
          <w:color w:val="000000" w:themeColor="text1"/>
          <w:sz w:val="19"/>
          <w:szCs w:val="19"/>
          <w:lang w:eastAsia="pl-PL"/>
        </w:rPr>
        <w:t xml:space="preserve">więcej. </w:t>
      </w:r>
    </w:p>
    <w:p w:rsidR="00B857AC" w:rsidRPr="009879A0" w:rsidRDefault="00B857AC" w:rsidP="009879A0">
      <w:pPr>
        <w:spacing w:after="0" w:line="360" w:lineRule="auto"/>
        <w:ind w:firstLine="709"/>
        <w:jc w:val="both"/>
        <w:rPr>
          <w:rFonts w:ascii="Fira Sans" w:eastAsia="Times New Roman" w:hAnsi="Fira Sans" w:cs="Times New Roman"/>
          <w:color w:val="000000" w:themeColor="text1"/>
          <w:sz w:val="19"/>
          <w:szCs w:val="19"/>
          <w:lang w:eastAsia="pl-PL"/>
        </w:rPr>
      </w:pPr>
      <w:r w:rsidRPr="009879A0">
        <w:rPr>
          <w:rFonts w:ascii="Fira Sans" w:eastAsia="Times New Roman" w:hAnsi="Fira Sans" w:cs="Times New Roman"/>
          <w:color w:val="000000" w:themeColor="text1"/>
          <w:sz w:val="19"/>
          <w:szCs w:val="19"/>
          <w:lang w:eastAsia="pl-PL"/>
        </w:rPr>
        <w:t>Co drugi starszy mężczyzna miał wykonane badanie lekarski</w:t>
      </w:r>
      <w:r w:rsidR="009879A0">
        <w:rPr>
          <w:rFonts w:ascii="Fira Sans" w:eastAsia="Times New Roman" w:hAnsi="Fira Sans" w:cs="Times New Roman"/>
          <w:color w:val="000000" w:themeColor="text1"/>
          <w:sz w:val="19"/>
          <w:szCs w:val="19"/>
          <w:lang w:eastAsia="pl-PL"/>
        </w:rPr>
        <w:t xml:space="preserve">e prostaty, a wśród mężczyzn 70 </w:t>
      </w:r>
      <w:r w:rsidR="009879A0">
        <w:rPr>
          <w:rFonts w:ascii="Fira Sans" w:eastAsia="Times New Roman" w:hAnsi="Fira Sans" w:cs="Times New Roman"/>
          <w:color w:val="000000" w:themeColor="text1"/>
          <w:sz w:val="19"/>
          <w:szCs w:val="19"/>
          <w:lang w:eastAsia="pl-PL"/>
        </w:rPr>
        <w:noBreakHyphen/>
        <w:t xml:space="preserve"> </w:t>
      </w:r>
      <w:r w:rsidRPr="009879A0">
        <w:rPr>
          <w:rFonts w:ascii="Fira Sans" w:eastAsia="Times New Roman" w:hAnsi="Fira Sans" w:cs="Times New Roman"/>
          <w:color w:val="000000" w:themeColor="text1"/>
          <w:sz w:val="19"/>
          <w:szCs w:val="19"/>
          <w:lang w:eastAsia="pl-PL"/>
        </w:rPr>
        <w:t xml:space="preserve">letnich lub starszych - 2/3 tych osób. </w:t>
      </w:r>
    </w:p>
    <w:p w:rsidR="00B857AC" w:rsidRPr="009879A0" w:rsidRDefault="00B857AC" w:rsidP="00AC3E29">
      <w:pPr>
        <w:autoSpaceDE w:val="0"/>
        <w:autoSpaceDN w:val="0"/>
        <w:adjustRightInd w:val="0"/>
        <w:spacing w:before="120" w:after="0" w:line="360" w:lineRule="auto"/>
        <w:ind w:firstLine="708"/>
        <w:jc w:val="both"/>
        <w:rPr>
          <w:rFonts w:ascii="Fira Sans" w:eastAsia="Calibri" w:hAnsi="Fira Sans" w:cs="Times New Roman"/>
          <w:sz w:val="19"/>
          <w:szCs w:val="19"/>
          <w:lang w:eastAsia="en-GB"/>
        </w:rPr>
      </w:pPr>
      <w:r w:rsidRPr="009879A0">
        <w:rPr>
          <w:rFonts w:ascii="Fira Sans" w:eastAsia="Times New Roman" w:hAnsi="Fira Sans" w:cs="Times New Roman"/>
          <w:color w:val="000000" w:themeColor="text1"/>
          <w:sz w:val="19"/>
          <w:szCs w:val="19"/>
          <w:lang w:eastAsia="pl-PL"/>
        </w:rPr>
        <w:t>Częstość</w:t>
      </w:r>
      <w:r w:rsidRPr="009879A0">
        <w:rPr>
          <w:rFonts w:ascii="Fira Sans" w:eastAsia="Calibri" w:hAnsi="Fira Sans" w:cs="Times New Roman"/>
          <w:sz w:val="19"/>
          <w:szCs w:val="19"/>
          <w:lang w:eastAsia="en-GB"/>
        </w:rPr>
        <w:t xml:space="preserve"> korzystania z usług medycznych jest uzależniona zarówno od przyjętego sposobu dbałości o swoje zdrowie, jak i od kondycji zdrowotnej człowieka w przypadku usług o</w:t>
      </w:r>
      <w:r w:rsidR="00ED1A35" w:rsidRPr="009879A0">
        <w:rPr>
          <w:rFonts w:ascii="Fira Sans" w:eastAsia="Calibri" w:hAnsi="Fira Sans" w:cs="Times New Roman"/>
          <w:sz w:val="19"/>
          <w:szCs w:val="19"/>
          <w:lang w:eastAsia="en-GB"/>
        </w:rPr>
        <w:t> </w:t>
      </w:r>
      <w:r w:rsidRPr="009879A0">
        <w:rPr>
          <w:rFonts w:ascii="Fira Sans" w:eastAsia="Calibri" w:hAnsi="Fira Sans" w:cs="Times New Roman"/>
          <w:sz w:val="19"/>
          <w:szCs w:val="19"/>
          <w:lang w:eastAsia="en-GB"/>
        </w:rPr>
        <w:t>charakterze leczniczym (naprawczym). Osoby mające problemy zdrowotne, stałe i</w:t>
      </w:r>
      <w:r w:rsidR="00ED1A35" w:rsidRPr="009879A0">
        <w:rPr>
          <w:rFonts w:ascii="Fira Sans" w:eastAsia="Calibri" w:hAnsi="Fira Sans" w:cs="Times New Roman"/>
          <w:sz w:val="19"/>
          <w:szCs w:val="19"/>
          <w:lang w:eastAsia="en-GB"/>
        </w:rPr>
        <w:t> </w:t>
      </w:r>
      <w:r w:rsidRPr="009879A0">
        <w:rPr>
          <w:rFonts w:ascii="Fira Sans" w:eastAsia="Calibri" w:hAnsi="Fira Sans" w:cs="Times New Roman"/>
          <w:sz w:val="19"/>
          <w:szCs w:val="19"/>
          <w:lang w:eastAsia="en-GB"/>
        </w:rPr>
        <w:t xml:space="preserve">tymczasowe, potrzebują pomocy medycznej, a zatem częściej z niej korzystają niż osoby cieszące się dobrym zdrowiem. Nietrudno zatem wysnuć wniosek, że osoby starsze stanowią stosunkowo liczną grupę pacjentów w placówkach ambulatoryjnej i stacjonarnej opieki zdrowotnej. </w:t>
      </w:r>
    </w:p>
    <w:p w:rsidR="00B857AC" w:rsidRPr="009879A0" w:rsidRDefault="00B857AC" w:rsidP="00AC3E29">
      <w:pPr>
        <w:autoSpaceDE w:val="0"/>
        <w:autoSpaceDN w:val="0"/>
        <w:adjustRightInd w:val="0"/>
        <w:spacing w:before="120" w:after="0" w:line="360" w:lineRule="auto"/>
        <w:ind w:firstLine="708"/>
        <w:jc w:val="both"/>
        <w:rPr>
          <w:rFonts w:ascii="Fira Sans" w:eastAsia="Calibri" w:hAnsi="Fira Sans" w:cs="Times New Roman"/>
          <w:sz w:val="19"/>
          <w:szCs w:val="19"/>
          <w:lang w:eastAsia="pl-PL"/>
        </w:rPr>
      </w:pPr>
      <w:r w:rsidRPr="009879A0">
        <w:rPr>
          <w:rFonts w:ascii="Fira Sans" w:eastAsia="Calibri" w:hAnsi="Fira Sans" w:cs="Times New Roman"/>
          <w:sz w:val="19"/>
          <w:szCs w:val="19"/>
          <w:lang w:eastAsia="en-GB"/>
        </w:rPr>
        <w:t xml:space="preserve">Jak </w:t>
      </w:r>
      <w:r w:rsidRPr="009879A0">
        <w:rPr>
          <w:rFonts w:ascii="Fira Sans" w:eastAsia="Times New Roman" w:hAnsi="Fira Sans" w:cs="Times New Roman"/>
          <w:sz w:val="19"/>
          <w:szCs w:val="19"/>
          <w:lang w:eastAsia="pl-PL"/>
        </w:rPr>
        <w:t>wynika</w:t>
      </w:r>
      <w:r w:rsidRPr="009879A0">
        <w:rPr>
          <w:rFonts w:ascii="Fira Sans" w:eastAsia="Calibri" w:hAnsi="Fira Sans" w:cs="Times New Roman"/>
          <w:sz w:val="19"/>
          <w:szCs w:val="19"/>
          <w:lang w:eastAsia="en-GB"/>
        </w:rPr>
        <w:t xml:space="preserve"> z </w:t>
      </w:r>
      <w:r w:rsidR="008F5D57" w:rsidRPr="009879A0">
        <w:rPr>
          <w:rFonts w:ascii="Fira Sans" w:eastAsia="Calibri" w:hAnsi="Fira Sans" w:cs="Times New Roman"/>
          <w:sz w:val="19"/>
          <w:szCs w:val="19"/>
          <w:lang w:eastAsia="en-GB"/>
        </w:rPr>
        <w:t xml:space="preserve">analizowanego </w:t>
      </w:r>
      <w:r w:rsidRPr="009879A0">
        <w:rPr>
          <w:rFonts w:ascii="Fira Sans" w:eastAsia="Calibri" w:hAnsi="Fira Sans" w:cs="Times New Roman"/>
          <w:sz w:val="19"/>
          <w:szCs w:val="19"/>
          <w:lang w:eastAsia="en-GB"/>
        </w:rPr>
        <w:t>badania,</w:t>
      </w:r>
      <w:r w:rsidR="00DE4E63">
        <w:rPr>
          <w:rFonts w:ascii="Fira Sans" w:eastAsia="Calibri" w:hAnsi="Fira Sans" w:cs="Times New Roman"/>
          <w:sz w:val="19"/>
          <w:szCs w:val="19"/>
          <w:lang w:eastAsia="en-GB"/>
        </w:rPr>
        <w:t xml:space="preserve"> w</w:t>
      </w:r>
      <w:r w:rsidRPr="009879A0">
        <w:rPr>
          <w:rFonts w:ascii="Fira Sans" w:eastAsia="Calibri" w:hAnsi="Fira Sans" w:cs="Times New Roman"/>
          <w:sz w:val="19"/>
          <w:szCs w:val="19"/>
          <w:lang w:eastAsia="en-GB"/>
        </w:rPr>
        <w:t xml:space="preserve"> </w:t>
      </w:r>
      <w:r w:rsidR="00F81A63" w:rsidRPr="009879A0">
        <w:rPr>
          <w:rFonts w:ascii="Fira Sans" w:eastAsia="Calibri" w:hAnsi="Fira Sans" w:cs="Times New Roman"/>
          <w:sz w:val="19"/>
          <w:szCs w:val="19"/>
          <w:lang w:eastAsia="en-GB"/>
        </w:rPr>
        <w:t>2014 r., co piąta starsza o</w:t>
      </w:r>
      <w:r w:rsidR="009879A0">
        <w:rPr>
          <w:rFonts w:ascii="Fira Sans" w:eastAsia="Calibri" w:hAnsi="Fira Sans" w:cs="Times New Roman"/>
          <w:sz w:val="19"/>
          <w:szCs w:val="19"/>
          <w:lang w:eastAsia="en-GB"/>
        </w:rPr>
        <w:t>soba  była leczona w szpitalu w </w:t>
      </w:r>
      <w:r w:rsidR="00F81A63" w:rsidRPr="009879A0">
        <w:rPr>
          <w:rFonts w:ascii="Fira Sans" w:eastAsia="Calibri" w:hAnsi="Fira Sans" w:cs="Times New Roman"/>
          <w:sz w:val="19"/>
          <w:szCs w:val="19"/>
          <w:lang w:eastAsia="en-GB"/>
        </w:rPr>
        <w:t xml:space="preserve">ciągu ostatnich 12 miesięcy i przebywała tam co najmniej 1 noc </w:t>
      </w:r>
      <w:r w:rsidR="008A2D38" w:rsidRPr="009879A0">
        <w:rPr>
          <w:rFonts w:ascii="Fira Sans" w:eastAsia="Calibri" w:hAnsi="Fira Sans" w:cs="Times New Roman"/>
          <w:sz w:val="19"/>
          <w:szCs w:val="19"/>
          <w:lang w:eastAsia="en-GB"/>
        </w:rPr>
        <w:t>(</w:t>
      </w:r>
      <w:r w:rsidR="008A2D38" w:rsidRPr="009879A0">
        <w:rPr>
          <w:rFonts w:ascii="Fira Sans" w:eastAsia="Calibri" w:hAnsi="Fira Sans" w:cs="Times New Roman"/>
          <w:i/>
          <w:sz w:val="19"/>
          <w:szCs w:val="19"/>
          <w:lang w:eastAsia="en-GB"/>
        </w:rPr>
        <w:t>tabl.</w:t>
      </w:r>
      <w:r w:rsidR="00602F5D" w:rsidRPr="009879A0">
        <w:rPr>
          <w:rFonts w:ascii="Fira Sans" w:eastAsia="Calibri" w:hAnsi="Fira Sans" w:cs="Times New Roman"/>
          <w:i/>
          <w:sz w:val="19"/>
          <w:szCs w:val="19"/>
          <w:lang w:eastAsia="en-GB"/>
        </w:rPr>
        <w:t>5.18</w:t>
      </w:r>
      <w:r w:rsidR="008A2D38" w:rsidRPr="009879A0">
        <w:rPr>
          <w:rFonts w:ascii="Fira Sans" w:eastAsia="Calibri" w:hAnsi="Fira Sans" w:cs="Times New Roman"/>
          <w:sz w:val="19"/>
          <w:szCs w:val="19"/>
          <w:lang w:eastAsia="en-GB"/>
        </w:rPr>
        <w:t>)</w:t>
      </w:r>
      <w:r w:rsidRPr="009879A0">
        <w:rPr>
          <w:rFonts w:ascii="Fira Sans" w:eastAsia="Calibri" w:hAnsi="Fira Sans" w:cs="Times New Roman"/>
          <w:sz w:val="19"/>
          <w:szCs w:val="19"/>
          <w:lang w:eastAsia="en-GB"/>
        </w:rPr>
        <w:t xml:space="preserve">. Relatywnie częściej hospitalizacji podlegali  mężczyźni niż kobiety, zwłaszcza ci najstarsi. </w:t>
      </w:r>
      <w:r w:rsidRPr="009879A0">
        <w:rPr>
          <w:rFonts w:ascii="Fira Sans" w:eastAsia="Calibri" w:hAnsi="Fira Sans" w:cs="Times New Roman"/>
          <w:sz w:val="19"/>
          <w:szCs w:val="19"/>
          <w:lang w:eastAsia="pl-PL"/>
        </w:rPr>
        <w:t xml:space="preserve">Generalnie częstość hospitalizacji </w:t>
      </w:r>
      <w:r w:rsidRPr="009879A0">
        <w:rPr>
          <w:rFonts w:ascii="Fira Sans" w:eastAsia="Calibri" w:hAnsi="Fira Sans" w:cs="Times New Roman"/>
          <w:sz w:val="19"/>
          <w:szCs w:val="19"/>
          <w:lang w:eastAsia="pl-PL"/>
        </w:rPr>
        <w:lastRenderedPageBreak/>
        <w:t>wzrasta z wiekiem, kiedy pogarsza się stan zdrowia. O ile w grupie 60-latków niespełna 18% tej populacji poddało się hospitalizacji, to w najstarszej już co czwarta osoba.</w:t>
      </w:r>
    </w:p>
    <w:p w:rsidR="00B857AC" w:rsidRPr="009879A0" w:rsidRDefault="00F81A63" w:rsidP="00AC3E29">
      <w:pPr>
        <w:autoSpaceDE w:val="0"/>
        <w:autoSpaceDN w:val="0"/>
        <w:adjustRightInd w:val="0"/>
        <w:spacing w:before="120" w:after="0" w:line="360" w:lineRule="auto"/>
        <w:ind w:firstLine="708"/>
        <w:jc w:val="both"/>
        <w:rPr>
          <w:rFonts w:ascii="Fira Sans" w:eastAsia="Calibri" w:hAnsi="Fira Sans" w:cs="Times New Roman"/>
          <w:sz w:val="19"/>
          <w:szCs w:val="19"/>
          <w:lang w:eastAsia="pl-PL"/>
        </w:rPr>
      </w:pPr>
      <w:r w:rsidRPr="009879A0">
        <w:rPr>
          <w:rFonts w:ascii="Fira Sans" w:eastAsia="Times New Roman" w:hAnsi="Fira Sans" w:cs="Times New Roman"/>
          <w:sz w:val="19"/>
          <w:szCs w:val="19"/>
          <w:lang w:eastAsia="pl-PL"/>
        </w:rPr>
        <w:t>Jak wskazują wyniki badania EHIS z 2014 r., t</w:t>
      </w:r>
      <w:r w:rsidR="00B857AC" w:rsidRPr="009879A0">
        <w:rPr>
          <w:rFonts w:ascii="Fira Sans" w:eastAsia="Times New Roman" w:hAnsi="Fira Sans" w:cs="Times New Roman"/>
          <w:sz w:val="19"/>
          <w:szCs w:val="19"/>
          <w:lang w:eastAsia="pl-PL"/>
        </w:rPr>
        <w:t>ylko</w:t>
      </w:r>
      <w:r w:rsidR="00B857AC" w:rsidRPr="009879A0">
        <w:rPr>
          <w:rFonts w:ascii="Fira Sans" w:eastAsia="Calibri" w:hAnsi="Fira Sans" w:cs="Times New Roman"/>
          <w:sz w:val="19"/>
          <w:szCs w:val="19"/>
          <w:lang w:eastAsia="pl-PL"/>
        </w:rPr>
        <w:t xml:space="preserve"> co 10 osoba starsza w ciągu ostatnich 12 miesięcy nie była ani razu u lekarza pierwszego kontaktu czy rodzinnego, co oznacza, że 90% polskich seniorów na takiej wizycie było chociaż 1 raz. Z usług lekarza rodzinnego stosunkowo często korzystali najstarsi mieszkańcy Polski; tylko co 20-ty zadeklarował, że w ostatnim roku nie był ani razu u takiego lekarza. Generalnie porad lekarza rodzinnego częściej potrzebowały kobiety niż mężczyźni </w:t>
      </w:r>
      <w:r w:rsidR="00F60388" w:rsidRPr="009879A0">
        <w:rPr>
          <w:rFonts w:ascii="Fira Sans" w:eastAsia="Calibri" w:hAnsi="Fira Sans" w:cs="Times New Roman"/>
          <w:sz w:val="19"/>
          <w:szCs w:val="19"/>
          <w:lang w:eastAsia="pl-PL"/>
        </w:rPr>
        <w:t>w tym samym wieku</w:t>
      </w:r>
      <w:r w:rsidR="00B857AC" w:rsidRPr="009879A0">
        <w:rPr>
          <w:rFonts w:ascii="Fira Sans" w:eastAsia="Calibri" w:hAnsi="Fira Sans" w:cs="Times New Roman"/>
          <w:sz w:val="19"/>
          <w:szCs w:val="19"/>
          <w:lang w:eastAsia="pl-PL"/>
        </w:rPr>
        <w:t>.</w:t>
      </w:r>
    </w:p>
    <w:p w:rsidR="00B857AC" w:rsidRPr="009879A0" w:rsidRDefault="00F81A63" w:rsidP="00AC3E29">
      <w:pPr>
        <w:autoSpaceDE w:val="0"/>
        <w:autoSpaceDN w:val="0"/>
        <w:adjustRightInd w:val="0"/>
        <w:spacing w:before="120" w:after="0" w:line="360" w:lineRule="auto"/>
        <w:ind w:firstLine="708"/>
        <w:jc w:val="both"/>
        <w:rPr>
          <w:rFonts w:ascii="Fira Sans" w:eastAsia="Calibri" w:hAnsi="Fira Sans" w:cs="Times New Roman"/>
          <w:sz w:val="19"/>
          <w:szCs w:val="19"/>
          <w:lang w:eastAsia="pl-PL"/>
        </w:rPr>
      </w:pPr>
      <w:r w:rsidRPr="009879A0">
        <w:rPr>
          <w:rFonts w:ascii="Fira Sans" w:eastAsia="Times New Roman" w:hAnsi="Fira Sans" w:cs="Times New Roman"/>
          <w:sz w:val="19"/>
          <w:szCs w:val="19"/>
          <w:lang w:eastAsia="pl-PL"/>
        </w:rPr>
        <w:t>Ponadto p</w:t>
      </w:r>
      <w:r w:rsidR="00B857AC" w:rsidRPr="009879A0">
        <w:rPr>
          <w:rFonts w:ascii="Fira Sans" w:eastAsia="Times New Roman" w:hAnsi="Fira Sans" w:cs="Times New Roman"/>
          <w:sz w:val="19"/>
          <w:szCs w:val="19"/>
          <w:lang w:eastAsia="pl-PL"/>
        </w:rPr>
        <w:t>onad</w:t>
      </w:r>
      <w:r w:rsidR="00B857AC" w:rsidRPr="009879A0">
        <w:rPr>
          <w:rFonts w:ascii="Fira Sans" w:eastAsia="Calibri" w:hAnsi="Fira Sans" w:cs="Times New Roman"/>
          <w:sz w:val="19"/>
          <w:szCs w:val="19"/>
          <w:lang w:eastAsia="pl-PL"/>
        </w:rPr>
        <w:t xml:space="preserve"> 70% populacji osób starszych w ciągu ostatnich 12 miesięcy leczyło się u lekarzy specjalistów. Stosunkowo najliczniej z porad specjalistycznych korzystały osoby w wieku 70-79 lat, znacznie rzadziej młodsi i starsi. Podobnie jak w przypadku wizyt u lekarzy POZ, w tej dziedzinie usług zdrowotnych stosunkowo częściej pacjentami lekarz</w:t>
      </w:r>
      <w:r w:rsidR="009879A0">
        <w:rPr>
          <w:rFonts w:ascii="Fira Sans" w:eastAsia="Calibri" w:hAnsi="Fira Sans" w:cs="Times New Roman"/>
          <w:sz w:val="19"/>
          <w:szCs w:val="19"/>
          <w:lang w:eastAsia="pl-PL"/>
        </w:rPr>
        <w:t>y specjalistów były kobiety niż </w:t>
      </w:r>
      <w:r w:rsidR="00B857AC" w:rsidRPr="009879A0">
        <w:rPr>
          <w:rFonts w:ascii="Fira Sans" w:eastAsia="Calibri" w:hAnsi="Fira Sans" w:cs="Times New Roman"/>
          <w:sz w:val="19"/>
          <w:szCs w:val="19"/>
          <w:lang w:eastAsia="pl-PL"/>
        </w:rPr>
        <w:t>mężczyźni, za wyjątkiem najstarszej grupy (80 lat i więcej).</w:t>
      </w:r>
    </w:p>
    <w:p w:rsidR="00B857AC" w:rsidRPr="009879A0" w:rsidRDefault="00B857AC" w:rsidP="00AC3E29">
      <w:pPr>
        <w:autoSpaceDE w:val="0"/>
        <w:autoSpaceDN w:val="0"/>
        <w:adjustRightInd w:val="0"/>
        <w:spacing w:before="120" w:after="0" w:line="360" w:lineRule="auto"/>
        <w:ind w:firstLine="708"/>
        <w:jc w:val="both"/>
        <w:rPr>
          <w:rFonts w:ascii="Fira Sans" w:eastAsia="Calibri" w:hAnsi="Fira Sans" w:cs="Times New Roman"/>
          <w:sz w:val="19"/>
          <w:szCs w:val="19"/>
          <w:lang w:eastAsia="pl-PL"/>
        </w:rPr>
      </w:pPr>
      <w:r w:rsidRPr="009879A0">
        <w:rPr>
          <w:rFonts w:ascii="Fira Sans" w:eastAsia="Calibri" w:hAnsi="Fira Sans" w:cs="Times New Roman"/>
          <w:sz w:val="19"/>
          <w:szCs w:val="19"/>
          <w:lang w:eastAsia="pl-PL"/>
        </w:rPr>
        <w:t>W okresie ostatnich 2 tygodni przed datą wywiadu 92% ogółu osób w wieku 60 lat i</w:t>
      </w:r>
      <w:r w:rsidR="00ED1A35" w:rsidRPr="009879A0">
        <w:rPr>
          <w:rFonts w:ascii="Fira Sans" w:eastAsia="Calibri" w:hAnsi="Fira Sans" w:cs="Times New Roman"/>
          <w:sz w:val="19"/>
          <w:szCs w:val="19"/>
          <w:lang w:eastAsia="pl-PL"/>
        </w:rPr>
        <w:t> </w:t>
      </w:r>
      <w:r w:rsidRPr="009879A0">
        <w:rPr>
          <w:rFonts w:ascii="Fira Sans" w:eastAsia="Calibri" w:hAnsi="Fira Sans" w:cs="Times New Roman"/>
          <w:sz w:val="19"/>
          <w:szCs w:val="19"/>
          <w:lang w:eastAsia="pl-PL"/>
        </w:rPr>
        <w:t xml:space="preserve">więcej zażywało leki, zarówno przepisane przez lekarza, jak i bez recepty. Wśród najmłodszych seniorów leki zażywało 88% tej zbiorowości, a wśród najstarszych ponad 95%. Relatywnie częściej leki </w:t>
      </w:r>
      <w:r w:rsidR="009879A0">
        <w:rPr>
          <w:rFonts w:ascii="Fira Sans" w:eastAsia="Calibri" w:hAnsi="Fira Sans" w:cs="Times New Roman"/>
          <w:sz w:val="19"/>
          <w:szCs w:val="19"/>
          <w:lang w:eastAsia="pl-PL"/>
        </w:rPr>
        <w:t>zażywane były przez kobiety niż </w:t>
      </w:r>
      <w:r w:rsidRPr="009879A0">
        <w:rPr>
          <w:rFonts w:ascii="Fira Sans" w:eastAsia="Calibri" w:hAnsi="Fira Sans" w:cs="Times New Roman"/>
          <w:sz w:val="19"/>
          <w:szCs w:val="19"/>
          <w:lang w:eastAsia="pl-PL"/>
        </w:rPr>
        <w:t>przez mężczyzn.</w:t>
      </w:r>
    </w:p>
    <w:p w:rsidR="00B857AC" w:rsidRPr="00BB2C17" w:rsidRDefault="00B857AC" w:rsidP="0011143F">
      <w:pPr>
        <w:spacing w:after="0" w:line="360" w:lineRule="auto"/>
        <w:jc w:val="both"/>
        <w:rPr>
          <w:rFonts w:ascii="Times New Roman" w:eastAsia="Times New Roman" w:hAnsi="Times New Roman" w:cs="Times New Roman"/>
          <w:b/>
          <w:color w:val="000000" w:themeColor="text1"/>
          <w:sz w:val="26"/>
          <w:szCs w:val="26"/>
          <w:lang w:eastAsia="pl-PL"/>
        </w:rPr>
      </w:pPr>
    </w:p>
    <w:p w:rsidR="00B857AC" w:rsidRPr="009879A0" w:rsidRDefault="00B857AC" w:rsidP="000D1535">
      <w:pPr>
        <w:pStyle w:val="Nagwek3"/>
        <w:rPr>
          <w:rFonts w:ascii="Fira Sans" w:eastAsia="Times New Roman" w:hAnsi="Fira Sans"/>
          <w:color w:val="0070C0"/>
          <w:lang w:eastAsia="pl-PL"/>
        </w:rPr>
      </w:pPr>
      <w:bookmarkStart w:id="17" w:name="_Toc456009388"/>
      <w:r w:rsidRPr="009879A0">
        <w:rPr>
          <w:rFonts w:ascii="Fira Sans" w:eastAsia="Times New Roman" w:hAnsi="Fira Sans"/>
          <w:color w:val="0070C0"/>
          <w:lang w:eastAsia="pl-PL"/>
        </w:rPr>
        <w:t>Wybrane elementy stylu życia</w:t>
      </w:r>
      <w:bookmarkEnd w:id="17"/>
    </w:p>
    <w:p w:rsidR="00B857AC" w:rsidRPr="009879A0" w:rsidRDefault="00B857AC" w:rsidP="00951550">
      <w:pPr>
        <w:spacing w:before="240" w:after="120" w:line="360" w:lineRule="auto"/>
        <w:ind w:firstLine="709"/>
        <w:jc w:val="both"/>
        <w:rPr>
          <w:rFonts w:ascii="Fira Sans" w:eastAsia="Calibri" w:hAnsi="Fira Sans" w:cs="Times New Roman"/>
          <w:sz w:val="19"/>
          <w:szCs w:val="19"/>
          <w:lang w:eastAsia="en-GB"/>
        </w:rPr>
      </w:pPr>
      <w:r w:rsidRPr="009879A0">
        <w:rPr>
          <w:rFonts w:ascii="Fira Sans" w:eastAsia="Calibri" w:hAnsi="Fira Sans" w:cs="Times New Roman"/>
          <w:sz w:val="19"/>
          <w:szCs w:val="19"/>
          <w:lang w:eastAsia="pl-PL"/>
        </w:rPr>
        <w:t>Obiektywne mierniki masy ciała BMI (według aktualnych norm WHO) wskazują, że</w:t>
      </w:r>
      <w:r w:rsidR="00F60388" w:rsidRPr="009879A0">
        <w:rPr>
          <w:rFonts w:ascii="Fira Sans" w:eastAsia="Calibri" w:hAnsi="Fira Sans" w:cs="Times New Roman"/>
          <w:sz w:val="19"/>
          <w:szCs w:val="19"/>
          <w:lang w:eastAsia="pl-PL"/>
        </w:rPr>
        <w:t> </w:t>
      </w:r>
      <w:r w:rsidRPr="009879A0">
        <w:rPr>
          <w:rFonts w:ascii="Fira Sans" w:eastAsia="Calibri" w:hAnsi="Fira Sans" w:cs="Times New Roman"/>
          <w:sz w:val="19"/>
          <w:szCs w:val="19"/>
          <w:lang w:eastAsia="pl-PL"/>
        </w:rPr>
        <w:t xml:space="preserve">znaczna część populacji ludzi starszych boryka się z problemem nadwagi lub otyłości. </w:t>
      </w:r>
      <w:r w:rsidR="001E34D2" w:rsidRPr="009879A0">
        <w:rPr>
          <w:rFonts w:ascii="Fira Sans" w:eastAsia="Calibri" w:hAnsi="Fira Sans" w:cs="Times New Roman"/>
          <w:sz w:val="19"/>
          <w:szCs w:val="19"/>
          <w:lang w:eastAsia="pl-PL"/>
        </w:rPr>
        <w:t>Pod koniec 2014 r. z</w:t>
      </w:r>
      <w:r w:rsidRPr="009879A0">
        <w:rPr>
          <w:rFonts w:ascii="Fira Sans" w:eastAsia="Calibri" w:hAnsi="Fira Sans" w:cs="Times New Roman"/>
          <w:sz w:val="19"/>
          <w:szCs w:val="19"/>
          <w:lang w:eastAsia="pl-PL"/>
        </w:rPr>
        <w:t>byt dużą masę ciała miało blisko 70% osób starszych, a co czwarta została zaliczona do grona osób otyłych (BMI&gt;30). Relatywnie częściej problemy z nadmierną masą ciała wystąpiły  wśród młodszych seniorów, wśród najstarszych problem ten nie był tak częsty</w:t>
      </w:r>
      <w:r w:rsidR="008F0265" w:rsidRPr="009879A0">
        <w:rPr>
          <w:rFonts w:ascii="Fira Sans" w:eastAsia="Calibri" w:hAnsi="Fira Sans" w:cs="Times New Roman"/>
          <w:sz w:val="19"/>
          <w:szCs w:val="19"/>
          <w:lang w:eastAsia="pl-PL"/>
        </w:rPr>
        <w:t xml:space="preserve"> (</w:t>
      </w:r>
      <w:r w:rsidR="008F0265" w:rsidRPr="009879A0">
        <w:rPr>
          <w:rFonts w:ascii="Fira Sans" w:eastAsia="Calibri" w:hAnsi="Fira Sans" w:cs="Times New Roman"/>
          <w:i/>
          <w:sz w:val="19"/>
          <w:szCs w:val="19"/>
          <w:lang w:eastAsia="pl-PL"/>
        </w:rPr>
        <w:t>tabl. 5.12</w:t>
      </w:r>
      <w:r w:rsidR="008F0265" w:rsidRPr="009879A0">
        <w:rPr>
          <w:rFonts w:ascii="Fira Sans" w:eastAsia="Calibri" w:hAnsi="Fira Sans" w:cs="Times New Roman"/>
          <w:sz w:val="19"/>
          <w:szCs w:val="19"/>
          <w:lang w:eastAsia="pl-PL"/>
        </w:rPr>
        <w:t>)</w:t>
      </w:r>
      <w:r w:rsidRPr="009879A0">
        <w:rPr>
          <w:rFonts w:ascii="Fira Sans" w:eastAsia="Calibri" w:hAnsi="Fira Sans" w:cs="Times New Roman"/>
          <w:sz w:val="19"/>
          <w:szCs w:val="19"/>
          <w:lang w:eastAsia="pl-PL"/>
        </w:rPr>
        <w:t>.</w:t>
      </w:r>
    </w:p>
    <w:p w:rsidR="00B857AC" w:rsidRPr="009879A0" w:rsidRDefault="00B857AC" w:rsidP="00AC3E29">
      <w:pPr>
        <w:autoSpaceDE w:val="0"/>
        <w:autoSpaceDN w:val="0"/>
        <w:adjustRightInd w:val="0"/>
        <w:spacing w:before="120" w:after="0" w:line="360" w:lineRule="auto"/>
        <w:ind w:firstLine="708"/>
        <w:jc w:val="both"/>
        <w:rPr>
          <w:rFonts w:ascii="Fira Sans" w:eastAsia="Calibri" w:hAnsi="Fira Sans" w:cs="Times New Roman"/>
          <w:sz w:val="19"/>
          <w:szCs w:val="19"/>
          <w:lang w:eastAsia="en-GB"/>
        </w:rPr>
      </w:pPr>
      <w:r w:rsidRPr="009879A0">
        <w:rPr>
          <w:rFonts w:ascii="Fira Sans" w:eastAsia="Calibri" w:hAnsi="Fira Sans" w:cs="Times New Roman"/>
          <w:sz w:val="19"/>
          <w:szCs w:val="19"/>
          <w:lang w:eastAsia="pl-PL"/>
        </w:rPr>
        <w:t>Uwzględniając</w:t>
      </w:r>
      <w:r w:rsidRPr="009879A0">
        <w:rPr>
          <w:rFonts w:ascii="Fira Sans" w:eastAsia="Calibri" w:hAnsi="Fira Sans" w:cs="Times New Roman"/>
          <w:sz w:val="19"/>
          <w:szCs w:val="19"/>
          <w:lang w:eastAsia="en-GB"/>
        </w:rPr>
        <w:t xml:space="preserve"> podział osób starszych według płci można powiedzieć, że odsetek starszych mężczyzn ważących zbyt dużo był nieco wyższy niż kobiet w podobnym wieku, lecz znaczący udział w tej grupie mieli mężczyźni tylko z nadwagą, natomiast wśród kobiet znacznie częściej wystąpił problem otyłości, co zostało zaobserwowane we wszystkich grupach wieku ludzi starszych.</w:t>
      </w:r>
    </w:p>
    <w:p w:rsidR="00B857AC" w:rsidRPr="009879A0" w:rsidRDefault="00B857AC" w:rsidP="0011143F">
      <w:pPr>
        <w:widowControl w:val="0"/>
        <w:overflowPunct w:val="0"/>
        <w:autoSpaceDE w:val="0"/>
        <w:autoSpaceDN w:val="0"/>
        <w:adjustRightInd w:val="0"/>
        <w:spacing w:after="0" w:line="360" w:lineRule="auto"/>
        <w:ind w:firstLine="708"/>
        <w:jc w:val="both"/>
        <w:textAlignment w:val="baseline"/>
        <w:rPr>
          <w:rFonts w:ascii="Fira Sans" w:eastAsia="Calibri" w:hAnsi="Fira Sans" w:cs="Times New Roman"/>
          <w:sz w:val="19"/>
          <w:szCs w:val="19"/>
          <w:lang w:eastAsia="en-GB"/>
        </w:rPr>
      </w:pPr>
      <w:r w:rsidRPr="009879A0">
        <w:rPr>
          <w:rFonts w:ascii="Fira Sans" w:eastAsia="Calibri" w:hAnsi="Fira Sans" w:cs="Times New Roman"/>
          <w:sz w:val="19"/>
          <w:szCs w:val="19"/>
          <w:lang w:eastAsia="en-GB"/>
        </w:rPr>
        <w:t>W odróżnieniu od młodszych, osoby starsze rzadziej spożywają warzywa i owoce</w:t>
      </w:r>
      <w:r w:rsidR="0070372E" w:rsidRPr="009879A0">
        <w:rPr>
          <w:rFonts w:ascii="Fira Sans" w:eastAsia="Calibri" w:hAnsi="Fira Sans" w:cs="Times New Roman"/>
          <w:sz w:val="19"/>
          <w:szCs w:val="19"/>
          <w:lang w:eastAsia="en-GB"/>
        </w:rPr>
        <w:t xml:space="preserve"> (</w:t>
      </w:r>
      <w:r w:rsidR="0070372E" w:rsidRPr="009879A0">
        <w:rPr>
          <w:rFonts w:ascii="Fira Sans" w:eastAsia="Calibri" w:hAnsi="Fira Sans" w:cs="Times New Roman"/>
          <w:i/>
          <w:sz w:val="19"/>
          <w:szCs w:val="19"/>
          <w:lang w:eastAsia="en-GB"/>
        </w:rPr>
        <w:t>tabl. 5.13</w:t>
      </w:r>
      <w:r w:rsidR="0070372E" w:rsidRPr="009879A0">
        <w:rPr>
          <w:rFonts w:ascii="Fira Sans" w:eastAsia="Calibri" w:hAnsi="Fira Sans" w:cs="Times New Roman"/>
          <w:sz w:val="19"/>
          <w:szCs w:val="19"/>
          <w:lang w:eastAsia="en-GB"/>
        </w:rPr>
        <w:t>)</w:t>
      </w:r>
      <w:r w:rsidRPr="009879A0">
        <w:rPr>
          <w:rFonts w:ascii="Fira Sans" w:eastAsia="Calibri" w:hAnsi="Fira Sans" w:cs="Times New Roman"/>
          <w:sz w:val="19"/>
          <w:szCs w:val="19"/>
          <w:lang w:eastAsia="en-GB"/>
        </w:rPr>
        <w:t>. Zgodnie z wynikami badania</w:t>
      </w:r>
      <w:r w:rsidR="001E34D2" w:rsidRPr="009879A0">
        <w:rPr>
          <w:rFonts w:ascii="Fira Sans" w:eastAsia="Calibri" w:hAnsi="Fira Sans" w:cs="Times New Roman"/>
          <w:sz w:val="19"/>
          <w:szCs w:val="19"/>
          <w:lang w:eastAsia="en-GB"/>
        </w:rPr>
        <w:t xml:space="preserve"> z 2014 r.</w:t>
      </w:r>
      <w:r w:rsidRPr="009879A0">
        <w:rPr>
          <w:rFonts w:ascii="Fira Sans" w:eastAsia="Calibri" w:hAnsi="Fira Sans" w:cs="Times New Roman"/>
          <w:sz w:val="19"/>
          <w:szCs w:val="19"/>
          <w:lang w:eastAsia="en-GB"/>
        </w:rPr>
        <w:t>, owoce codziennie jadało 63% osób starszych, a</w:t>
      </w:r>
      <w:r w:rsidR="00ED1A35" w:rsidRPr="009879A0">
        <w:rPr>
          <w:rFonts w:ascii="Fira Sans" w:eastAsia="Calibri" w:hAnsi="Fira Sans" w:cs="Times New Roman"/>
          <w:sz w:val="19"/>
          <w:szCs w:val="19"/>
          <w:lang w:eastAsia="en-GB"/>
        </w:rPr>
        <w:t> </w:t>
      </w:r>
      <w:r w:rsidRPr="009879A0">
        <w:rPr>
          <w:rFonts w:ascii="Fira Sans" w:eastAsia="Calibri" w:hAnsi="Fira Sans" w:cs="Times New Roman"/>
          <w:sz w:val="19"/>
          <w:szCs w:val="19"/>
          <w:lang w:eastAsia="en-GB"/>
        </w:rPr>
        <w:t xml:space="preserve">najczęściej osoby między 60 a 79 rokiem życia </w:t>
      </w:r>
      <w:r w:rsidR="000E300E" w:rsidRPr="009879A0">
        <w:rPr>
          <w:rFonts w:ascii="Fira Sans" w:eastAsia="Calibri" w:hAnsi="Fira Sans" w:cs="Times New Roman"/>
          <w:sz w:val="19"/>
          <w:szCs w:val="19"/>
          <w:lang w:eastAsia="en-GB"/>
        </w:rPr>
        <w:t>(</w:t>
      </w:r>
      <w:r w:rsidRPr="009879A0">
        <w:rPr>
          <w:rFonts w:ascii="Fira Sans" w:eastAsia="Calibri" w:hAnsi="Fira Sans" w:cs="Times New Roman"/>
          <w:sz w:val="19"/>
          <w:szCs w:val="19"/>
          <w:lang w:eastAsia="en-GB"/>
        </w:rPr>
        <w:t>blisko 2/3 tej grupy</w:t>
      </w:r>
      <w:r w:rsidR="000E300E" w:rsidRPr="009879A0">
        <w:rPr>
          <w:rFonts w:ascii="Fira Sans" w:eastAsia="Calibri" w:hAnsi="Fira Sans" w:cs="Times New Roman"/>
          <w:sz w:val="19"/>
          <w:szCs w:val="19"/>
          <w:lang w:eastAsia="en-GB"/>
        </w:rPr>
        <w:t>)</w:t>
      </w:r>
      <w:r w:rsidRPr="009879A0">
        <w:rPr>
          <w:rFonts w:ascii="Fira Sans" w:eastAsia="Calibri" w:hAnsi="Fira Sans" w:cs="Times New Roman"/>
          <w:sz w:val="19"/>
          <w:szCs w:val="19"/>
          <w:lang w:eastAsia="en-GB"/>
        </w:rPr>
        <w:t xml:space="preserve">.  Relatywnie </w:t>
      </w:r>
      <w:r w:rsidR="007578AA" w:rsidRPr="009879A0">
        <w:rPr>
          <w:rFonts w:ascii="Fira Sans" w:eastAsia="Calibri" w:hAnsi="Fira Sans" w:cs="Times New Roman"/>
          <w:sz w:val="19"/>
          <w:szCs w:val="19"/>
          <w:lang w:eastAsia="en-GB"/>
        </w:rPr>
        <w:t>rzadziej</w:t>
      </w:r>
      <w:r w:rsidRPr="009879A0">
        <w:rPr>
          <w:rFonts w:ascii="Fira Sans" w:eastAsia="Calibri" w:hAnsi="Fira Sans" w:cs="Times New Roman"/>
          <w:sz w:val="19"/>
          <w:szCs w:val="19"/>
          <w:lang w:eastAsia="en-GB"/>
        </w:rPr>
        <w:t xml:space="preserve"> owoce (nawet przetworzone) spożywały osoby sędziwe. </w:t>
      </w:r>
    </w:p>
    <w:p w:rsidR="00B857AC" w:rsidRPr="009879A0" w:rsidRDefault="00B857AC" w:rsidP="0011143F">
      <w:pPr>
        <w:widowControl w:val="0"/>
        <w:overflowPunct w:val="0"/>
        <w:autoSpaceDE w:val="0"/>
        <w:autoSpaceDN w:val="0"/>
        <w:adjustRightInd w:val="0"/>
        <w:spacing w:after="0" w:line="360" w:lineRule="auto"/>
        <w:ind w:firstLine="708"/>
        <w:jc w:val="both"/>
        <w:textAlignment w:val="baseline"/>
        <w:rPr>
          <w:rFonts w:ascii="Fira Sans" w:eastAsia="Calibri" w:hAnsi="Fira Sans" w:cs="Times New Roman"/>
          <w:sz w:val="19"/>
          <w:szCs w:val="19"/>
          <w:lang w:eastAsia="en-GB"/>
        </w:rPr>
      </w:pPr>
      <w:r w:rsidRPr="009879A0">
        <w:rPr>
          <w:rFonts w:ascii="Fira Sans" w:eastAsia="Calibri" w:hAnsi="Fira Sans" w:cs="Times New Roman"/>
          <w:sz w:val="19"/>
          <w:szCs w:val="19"/>
          <w:lang w:eastAsia="en-GB"/>
        </w:rPr>
        <w:t xml:space="preserve">Co najmniej raz dziennie warzywa (z wyłączeniem ziemniaków) </w:t>
      </w:r>
      <w:r w:rsidR="007578AA" w:rsidRPr="009879A0">
        <w:rPr>
          <w:rFonts w:ascii="Fira Sans" w:eastAsia="Calibri" w:hAnsi="Fira Sans" w:cs="Times New Roman"/>
          <w:sz w:val="19"/>
          <w:szCs w:val="19"/>
          <w:lang w:eastAsia="en-GB"/>
        </w:rPr>
        <w:t xml:space="preserve">spożywało </w:t>
      </w:r>
      <w:r w:rsidRPr="009879A0">
        <w:rPr>
          <w:rFonts w:ascii="Fira Sans" w:eastAsia="Calibri" w:hAnsi="Fira Sans" w:cs="Times New Roman"/>
          <w:sz w:val="19"/>
          <w:szCs w:val="19"/>
          <w:lang w:eastAsia="en-GB"/>
        </w:rPr>
        <w:t>niespełna 56% starszych osób. Najrzadziej warzywa, podobnie jak i owoce, jadały osoby najstars</w:t>
      </w:r>
      <w:r w:rsidR="009879A0">
        <w:rPr>
          <w:rFonts w:ascii="Fira Sans" w:eastAsia="Calibri" w:hAnsi="Fira Sans" w:cs="Times New Roman"/>
          <w:sz w:val="19"/>
          <w:szCs w:val="19"/>
          <w:lang w:eastAsia="en-GB"/>
        </w:rPr>
        <w:t>ze. Niespełna co druga osoba co </w:t>
      </w:r>
      <w:r w:rsidRPr="009879A0">
        <w:rPr>
          <w:rFonts w:ascii="Fira Sans" w:eastAsia="Calibri" w:hAnsi="Fira Sans" w:cs="Times New Roman"/>
          <w:sz w:val="19"/>
          <w:szCs w:val="19"/>
          <w:lang w:eastAsia="en-GB"/>
        </w:rPr>
        <w:t xml:space="preserve">najmniej 80-letnia podała, że codziennie chociaż jeden raz zjada posiłek zawierający warzywa. Rzadkie spożycie warzyw i owoców dotyczy zwłaszcza najstarszych mężczyzn. </w:t>
      </w:r>
    </w:p>
    <w:p w:rsidR="00B857AC" w:rsidRPr="009879A0" w:rsidRDefault="00B857AC" w:rsidP="0011143F">
      <w:pPr>
        <w:widowControl w:val="0"/>
        <w:overflowPunct w:val="0"/>
        <w:autoSpaceDE w:val="0"/>
        <w:autoSpaceDN w:val="0"/>
        <w:adjustRightInd w:val="0"/>
        <w:spacing w:after="0" w:line="360" w:lineRule="auto"/>
        <w:ind w:firstLine="708"/>
        <w:jc w:val="both"/>
        <w:textAlignment w:val="baseline"/>
        <w:rPr>
          <w:rFonts w:ascii="Fira Sans" w:eastAsia="Calibri" w:hAnsi="Fira Sans" w:cs="Times New Roman"/>
          <w:sz w:val="19"/>
          <w:szCs w:val="19"/>
          <w:lang w:eastAsia="en-GB"/>
        </w:rPr>
      </w:pPr>
      <w:r w:rsidRPr="009879A0">
        <w:rPr>
          <w:rFonts w:ascii="Fira Sans" w:eastAsia="Calibri" w:hAnsi="Fira Sans" w:cs="Times New Roman"/>
          <w:sz w:val="19"/>
          <w:szCs w:val="19"/>
          <w:lang w:eastAsia="en-GB"/>
        </w:rPr>
        <w:t xml:space="preserve">Palenie tytoniu wśród osób starszych </w:t>
      </w:r>
      <w:r w:rsidR="001E34D2" w:rsidRPr="009879A0">
        <w:rPr>
          <w:rFonts w:ascii="Fira Sans" w:eastAsia="Calibri" w:hAnsi="Fira Sans" w:cs="Times New Roman"/>
          <w:sz w:val="19"/>
          <w:szCs w:val="19"/>
          <w:lang w:eastAsia="en-GB"/>
        </w:rPr>
        <w:t>także nie było</w:t>
      </w:r>
      <w:r w:rsidRPr="009879A0">
        <w:rPr>
          <w:rFonts w:ascii="Fira Sans" w:eastAsia="Calibri" w:hAnsi="Fira Sans" w:cs="Times New Roman"/>
          <w:sz w:val="19"/>
          <w:szCs w:val="19"/>
          <w:lang w:eastAsia="en-GB"/>
        </w:rPr>
        <w:t xml:space="preserve"> popularne, zwłaszcza w starszych grupach wieku</w:t>
      </w:r>
      <w:r w:rsidR="00863AE3" w:rsidRPr="009879A0">
        <w:rPr>
          <w:rFonts w:ascii="Fira Sans" w:eastAsia="Calibri" w:hAnsi="Fira Sans" w:cs="Times New Roman"/>
          <w:sz w:val="19"/>
          <w:szCs w:val="19"/>
          <w:lang w:eastAsia="en-GB"/>
        </w:rPr>
        <w:t xml:space="preserve"> (</w:t>
      </w:r>
      <w:r w:rsidR="00863AE3" w:rsidRPr="009879A0">
        <w:rPr>
          <w:rFonts w:ascii="Fira Sans" w:eastAsia="Calibri" w:hAnsi="Fira Sans" w:cs="Times New Roman"/>
          <w:i/>
          <w:sz w:val="19"/>
          <w:szCs w:val="19"/>
          <w:lang w:eastAsia="en-GB"/>
        </w:rPr>
        <w:t>tabl. 5.14</w:t>
      </w:r>
      <w:r w:rsidR="00863AE3" w:rsidRPr="009879A0">
        <w:rPr>
          <w:rFonts w:ascii="Fira Sans" w:eastAsia="Calibri" w:hAnsi="Fira Sans" w:cs="Times New Roman"/>
          <w:sz w:val="19"/>
          <w:szCs w:val="19"/>
          <w:lang w:eastAsia="en-GB"/>
        </w:rPr>
        <w:t>)</w:t>
      </w:r>
      <w:r w:rsidRPr="009879A0">
        <w:rPr>
          <w:rFonts w:ascii="Fira Sans" w:eastAsia="Calibri" w:hAnsi="Fira Sans" w:cs="Times New Roman"/>
          <w:sz w:val="19"/>
          <w:szCs w:val="19"/>
          <w:lang w:eastAsia="en-GB"/>
        </w:rPr>
        <w:t>. Wśród sześćdziesięciolatków tytoń pali codziennie blisko 30% mężczyzn i</w:t>
      </w:r>
      <w:r w:rsidR="001515CE" w:rsidRPr="009879A0">
        <w:rPr>
          <w:rFonts w:ascii="Fira Sans" w:eastAsia="Calibri" w:hAnsi="Fira Sans" w:cs="Times New Roman"/>
          <w:sz w:val="19"/>
          <w:szCs w:val="19"/>
          <w:lang w:eastAsia="en-GB"/>
        </w:rPr>
        <w:t> </w:t>
      </w:r>
      <w:r w:rsidRPr="009879A0">
        <w:rPr>
          <w:rFonts w:ascii="Fira Sans" w:eastAsia="Calibri" w:hAnsi="Fira Sans" w:cs="Times New Roman"/>
          <w:sz w:val="19"/>
          <w:szCs w:val="19"/>
          <w:lang w:eastAsia="en-GB"/>
        </w:rPr>
        <w:t xml:space="preserve">ponad 20% kobiet, natomiast w starszych grupach wieku znacznie rzadziej </w:t>
      </w:r>
      <w:r w:rsidR="007578AA" w:rsidRPr="009879A0">
        <w:rPr>
          <w:rFonts w:ascii="Fira Sans" w:eastAsia="Calibri" w:hAnsi="Fira Sans" w:cs="Times New Roman"/>
          <w:sz w:val="19"/>
          <w:szCs w:val="19"/>
          <w:lang w:eastAsia="en-GB"/>
        </w:rPr>
        <w:t>–</w:t>
      </w:r>
      <w:r w:rsidRPr="009879A0">
        <w:rPr>
          <w:rFonts w:ascii="Fira Sans" w:eastAsia="Calibri" w:hAnsi="Fira Sans" w:cs="Times New Roman"/>
          <w:sz w:val="19"/>
          <w:szCs w:val="19"/>
          <w:lang w:eastAsia="en-GB"/>
        </w:rPr>
        <w:t xml:space="preserve"> </w:t>
      </w:r>
      <w:r w:rsidR="007578AA" w:rsidRPr="009879A0">
        <w:rPr>
          <w:rFonts w:ascii="Fira Sans" w:eastAsia="Calibri" w:hAnsi="Fira Sans" w:cs="Times New Roman"/>
          <w:sz w:val="19"/>
          <w:szCs w:val="19"/>
          <w:lang w:eastAsia="en-GB"/>
        </w:rPr>
        <w:t>ok. </w:t>
      </w:r>
      <w:r w:rsidRPr="009879A0">
        <w:rPr>
          <w:rFonts w:ascii="Fira Sans" w:eastAsia="Calibri" w:hAnsi="Fira Sans" w:cs="Times New Roman"/>
          <w:sz w:val="19"/>
          <w:szCs w:val="19"/>
          <w:lang w:eastAsia="en-GB"/>
        </w:rPr>
        <w:t>1</w:t>
      </w:r>
      <w:r w:rsidR="004D403F" w:rsidRPr="009879A0">
        <w:rPr>
          <w:rFonts w:ascii="Fira Sans" w:eastAsia="Calibri" w:hAnsi="Fira Sans" w:cs="Times New Roman"/>
          <w:sz w:val="19"/>
          <w:szCs w:val="19"/>
          <w:lang w:eastAsia="en-GB"/>
        </w:rPr>
        <w:t>0</w:t>
      </w:r>
      <w:r w:rsidR="009879A0">
        <w:rPr>
          <w:rFonts w:ascii="Fira Sans" w:eastAsia="Calibri" w:hAnsi="Fira Sans" w:cs="Times New Roman"/>
          <w:sz w:val="19"/>
          <w:szCs w:val="19"/>
          <w:lang w:eastAsia="en-GB"/>
        </w:rPr>
        <w:t xml:space="preserve">% siedemdziesięciolatków </w:t>
      </w:r>
      <w:r w:rsidR="009879A0">
        <w:rPr>
          <w:rFonts w:ascii="Fira Sans" w:eastAsia="Calibri" w:hAnsi="Fira Sans" w:cs="Times New Roman"/>
          <w:sz w:val="19"/>
          <w:szCs w:val="19"/>
          <w:lang w:eastAsia="en-GB"/>
        </w:rPr>
        <w:lastRenderedPageBreak/>
        <w:t>i </w:t>
      </w:r>
      <w:r w:rsidRPr="009879A0">
        <w:rPr>
          <w:rFonts w:ascii="Fira Sans" w:eastAsia="Calibri" w:hAnsi="Fira Sans" w:cs="Times New Roman"/>
          <w:sz w:val="19"/>
          <w:szCs w:val="19"/>
          <w:lang w:eastAsia="en-GB"/>
        </w:rPr>
        <w:t>niespełna 4% osób sędziwych. Starsze osoby palące tytoń codziennie to głównie mężczyźni</w:t>
      </w:r>
      <w:r w:rsidR="00F33622" w:rsidRPr="009879A0">
        <w:rPr>
          <w:rFonts w:ascii="Fira Sans" w:eastAsia="Calibri" w:hAnsi="Fira Sans" w:cs="Times New Roman"/>
          <w:sz w:val="19"/>
          <w:szCs w:val="19"/>
          <w:lang w:eastAsia="en-GB"/>
        </w:rPr>
        <w:t xml:space="preserve">, </w:t>
      </w:r>
      <w:r w:rsidR="001E34D2" w:rsidRPr="009879A0">
        <w:rPr>
          <w:rFonts w:ascii="Fira Sans" w:eastAsia="Calibri" w:hAnsi="Fira Sans" w:cs="Times New Roman"/>
          <w:sz w:val="19"/>
          <w:szCs w:val="19"/>
          <w:lang w:eastAsia="en-GB"/>
        </w:rPr>
        <w:t>podczas gdy</w:t>
      </w:r>
      <w:r w:rsidRPr="009879A0">
        <w:rPr>
          <w:rFonts w:ascii="Fira Sans" w:eastAsia="Calibri" w:hAnsi="Fira Sans" w:cs="Times New Roman"/>
          <w:sz w:val="19"/>
          <w:szCs w:val="19"/>
          <w:lang w:eastAsia="en-GB"/>
        </w:rPr>
        <w:t xml:space="preserve"> 65% starszych kobiet zadeklarowało, że nigdy nie paliły tytoniu</w:t>
      </w:r>
      <w:r w:rsidR="00F33622" w:rsidRPr="009879A0">
        <w:rPr>
          <w:rFonts w:ascii="Fira Sans" w:eastAsia="Calibri" w:hAnsi="Fira Sans" w:cs="Times New Roman"/>
          <w:sz w:val="19"/>
          <w:szCs w:val="19"/>
          <w:lang w:eastAsia="en-GB"/>
        </w:rPr>
        <w:t xml:space="preserve"> (</w:t>
      </w:r>
      <w:r w:rsidRPr="009879A0">
        <w:rPr>
          <w:rFonts w:ascii="Fira Sans" w:eastAsia="Calibri" w:hAnsi="Fira Sans" w:cs="Times New Roman"/>
          <w:sz w:val="19"/>
          <w:szCs w:val="19"/>
          <w:lang w:eastAsia="en-GB"/>
        </w:rPr>
        <w:t xml:space="preserve">wśród </w:t>
      </w:r>
      <w:r w:rsidR="009879A0">
        <w:rPr>
          <w:rFonts w:ascii="Fira Sans" w:eastAsia="Calibri" w:hAnsi="Fira Sans" w:cs="Times New Roman"/>
          <w:sz w:val="19"/>
          <w:szCs w:val="19"/>
          <w:lang w:eastAsia="en-GB"/>
        </w:rPr>
        <w:t>starszych mężczyzn niespełna co </w:t>
      </w:r>
      <w:r w:rsidRPr="009879A0">
        <w:rPr>
          <w:rFonts w:ascii="Fira Sans" w:eastAsia="Calibri" w:hAnsi="Fira Sans" w:cs="Times New Roman"/>
          <w:sz w:val="19"/>
          <w:szCs w:val="19"/>
          <w:lang w:eastAsia="en-GB"/>
        </w:rPr>
        <w:t>czwarty</w:t>
      </w:r>
      <w:r w:rsidR="00F33622" w:rsidRPr="009879A0">
        <w:rPr>
          <w:rFonts w:ascii="Fira Sans" w:eastAsia="Calibri" w:hAnsi="Fira Sans" w:cs="Times New Roman"/>
          <w:sz w:val="19"/>
          <w:szCs w:val="19"/>
          <w:lang w:eastAsia="en-GB"/>
        </w:rPr>
        <w:t>)</w:t>
      </w:r>
      <w:r w:rsidRPr="009879A0">
        <w:rPr>
          <w:rFonts w:ascii="Fira Sans" w:eastAsia="Calibri" w:hAnsi="Fira Sans" w:cs="Times New Roman"/>
          <w:sz w:val="19"/>
          <w:szCs w:val="19"/>
          <w:lang w:eastAsia="en-GB"/>
        </w:rPr>
        <w:t>.</w:t>
      </w:r>
    </w:p>
    <w:p w:rsidR="00B857AC" w:rsidRPr="009879A0" w:rsidRDefault="001E34D2" w:rsidP="0011143F">
      <w:pPr>
        <w:widowControl w:val="0"/>
        <w:overflowPunct w:val="0"/>
        <w:autoSpaceDE w:val="0"/>
        <w:autoSpaceDN w:val="0"/>
        <w:adjustRightInd w:val="0"/>
        <w:spacing w:after="0" w:line="360" w:lineRule="auto"/>
        <w:ind w:firstLine="708"/>
        <w:jc w:val="both"/>
        <w:textAlignment w:val="baseline"/>
        <w:rPr>
          <w:rFonts w:ascii="Fira Sans" w:eastAsia="Calibri" w:hAnsi="Fira Sans" w:cs="Times New Roman"/>
          <w:sz w:val="19"/>
          <w:szCs w:val="19"/>
          <w:lang w:eastAsia="en-GB"/>
        </w:rPr>
      </w:pPr>
      <w:r w:rsidRPr="009879A0">
        <w:rPr>
          <w:rFonts w:ascii="Fira Sans" w:eastAsia="Calibri" w:hAnsi="Fira Sans" w:cs="Times New Roman"/>
          <w:sz w:val="19"/>
          <w:szCs w:val="19"/>
          <w:lang w:eastAsia="en-GB"/>
        </w:rPr>
        <w:t>Równocześnie p</w:t>
      </w:r>
      <w:r w:rsidR="00B857AC" w:rsidRPr="009879A0">
        <w:rPr>
          <w:rFonts w:ascii="Fira Sans" w:eastAsia="Calibri" w:hAnsi="Fira Sans" w:cs="Times New Roman"/>
          <w:sz w:val="19"/>
          <w:szCs w:val="19"/>
          <w:lang w:eastAsia="en-GB"/>
        </w:rPr>
        <w:t>rawie 43% ogółu osób starszych zadeklarowało całkowitą abstynencję w ciągu ostatnich 12 miesięcy; picie alkoholu zadeklarowało 57% osób starszych, z tego prawie połowa piła alkohol rzadziej niż 1 raz w miesiącu. Alkohol znacznie częściej spożywali starsi mężczyźni niż kobiety, niezależnie od wieku, choć w miarę starzenia się zwiększa się populacja osób nie pij</w:t>
      </w:r>
      <w:r w:rsidR="009879A0">
        <w:rPr>
          <w:rFonts w:ascii="Fira Sans" w:eastAsia="Calibri" w:hAnsi="Fira Sans" w:cs="Times New Roman"/>
          <w:sz w:val="19"/>
          <w:szCs w:val="19"/>
          <w:lang w:eastAsia="en-GB"/>
        </w:rPr>
        <w:t>ących alkoholu w ogóle. O ile w </w:t>
      </w:r>
      <w:r w:rsidR="00B857AC" w:rsidRPr="009879A0">
        <w:rPr>
          <w:rFonts w:ascii="Fira Sans" w:eastAsia="Calibri" w:hAnsi="Fira Sans" w:cs="Times New Roman"/>
          <w:sz w:val="19"/>
          <w:szCs w:val="19"/>
          <w:lang w:eastAsia="en-GB"/>
        </w:rPr>
        <w:t>grupie 60-69 lat alkoholu do ust nie brało tylko nieco ponad 30%, to w kolejnej grupie wieku 70-79 – ponad połowa, a wśród najstarszych blisko 70% zbiorowości</w:t>
      </w:r>
      <w:r w:rsidR="00181337" w:rsidRPr="009879A0">
        <w:rPr>
          <w:rFonts w:ascii="Fira Sans" w:eastAsia="Calibri" w:hAnsi="Fira Sans" w:cs="Times New Roman"/>
          <w:sz w:val="19"/>
          <w:szCs w:val="19"/>
          <w:lang w:eastAsia="en-GB"/>
        </w:rPr>
        <w:t xml:space="preserve"> (</w:t>
      </w:r>
      <w:r w:rsidR="00181337" w:rsidRPr="009879A0">
        <w:rPr>
          <w:rFonts w:ascii="Fira Sans" w:eastAsia="Calibri" w:hAnsi="Fira Sans" w:cs="Times New Roman"/>
          <w:i/>
          <w:sz w:val="19"/>
          <w:szCs w:val="19"/>
          <w:lang w:eastAsia="en-GB"/>
        </w:rPr>
        <w:t>tabl. 5.1</w:t>
      </w:r>
      <w:r w:rsidR="00863AE3" w:rsidRPr="009879A0">
        <w:rPr>
          <w:rFonts w:ascii="Fira Sans" w:eastAsia="Calibri" w:hAnsi="Fira Sans" w:cs="Times New Roman"/>
          <w:i/>
          <w:sz w:val="19"/>
          <w:szCs w:val="19"/>
          <w:lang w:eastAsia="en-GB"/>
        </w:rPr>
        <w:t>5</w:t>
      </w:r>
      <w:r w:rsidR="00181337" w:rsidRPr="009879A0">
        <w:rPr>
          <w:rFonts w:ascii="Fira Sans" w:eastAsia="Calibri" w:hAnsi="Fira Sans" w:cs="Times New Roman"/>
          <w:sz w:val="19"/>
          <w:szCs w:val="19"/>
          <w:lang w:eastAsia="en-GB"/>
        </w:rPr>
        <w:t>)</w:t>
      </w:r>
      <w:r w:rsidR="00B857AC" w:rsidRPr="009879A0">
        <w:rPr>
          <w:rFonts w:ascii="Fira Sans" w:eastAsia="Calibri" w:hAnsi="Fira Sans" w:cs="Times New Roman"/>
          <w:sz w:val="19"/>
          <w:szCs w:val="19"/>
          <w:lang w:eastAsia="en-GB"/>
        </w:rPr>
        <w:t xml:space="preserve">.  </w:t>
      </w:r>
    </w:p>
    <w:p w:rsidR="00B857AC" w:rsidRPr="009879A0" w:rsidRDefault="00B857AC" w:rsidP="0011143F">
      <w:pPr>
        <w:widowControl w:val="0"/>
        <w:overflowPunct w:val="0"/>
        <w:autoSpaceDE w:val="0"/>
        <w:autoSpaceDN w:val="0"/>
        <w:adjustRightInd w:val="0"/>
        <w:spacing w:after="0" w:line="360" w:lineRule="auto"/>
        <w:ind w:firstLine="708"/>
        <w:jc w:val="both"/>
        <w:textAlignment w:val="baseline"/>
        <w:rPr>
          <w:rFonts w:ascii="Fira Sans" w:eastAsia="Calibri" w:hAnsi="Fira Sans" w:cs="Times New Roman"/>
          <w:sz w:val="19"/>
          <w:szCs w:val="19"/>
          <w:lang w:eastAsia="en-GB"/>
        </w:rPr>
      </w:pPr>
      <w:r w:rsidRPr="009879A0">
        <w:rPr>
          <w:rFonts w:ascii="Fira Sans" w:eastAsia="Calibri" w:hAnsi="Fira Sans" w:cs="Times New Roman"/>
          <w:sz w:val="19"/>
          <w:szCs w:val="19"/>
          <w:lang w:eastAsia="en-GB"/>
        </w:rPr>
        <w:t xml:space="preserve"> </w:t>
      </w:r>
    </w:p>
    <w:p w:rsidR="00B857AC" w:rsidRPr="009879A0" w:rsidRDefault="00B857AC" w:rsidP="000D1535">
      <w:pPr>
        <w:pStyle w:val="Nagwek2"/>
        <w:rPr>
          <w:rFonts w:ascii="Fira Sans" w:hAnsi="Fira Sans"/>
          <w:sz w:val="28"/>
          <w:szCs w:val="28"/>
        </w:rPr>
      </w:pPr>
      <w:bookmarkStart w:id="18" w:name="_Toc456009389"/>
      <w:r w:rsidRPr="009879A0">
        <w:rPr>
          <w:rFonts w:ascii="Fira Sans" w:hAnsi="Fira Sans"/>
          <w:sz w:val="28"/>
          <w:szCs w:val="28"/>
        </w:rPr>
        <w:t>Opieka zdrowotna</w:t>
      </w:r>
      <w:bookmarkEnd w:id="18"/>
      <w:r w:rsidRPr="009879A0">
        <w:rPr>
          <w:rFonts w:ascii="Fira Sans" w:hAnsi="Fira Sans"/>
          <w:sz w:val="28"/>
          <w:szCs w:val="28"/>
        </w:rPr>
        <w:t xml:space="preserve"> </w:t>
      </w:r>
    </w:p>
    <w:p w:rsidR="00702B3A" w:rsidRPr="009879A0" w:rsidRDefault="00702B3A" w:rsidP="00702B3A">
      <w:pPr>
        <w:pStyle w:val="Nagwek3"/>
        <w:spacing w:before="120"/>
        <w:rPr>
          <w:rFonts w:ascii="Fira Sans" w:eastAsia="Calibri" w:hAnsi="Fira Sans"/>
          <w:color w:val="2E74B5" w:themeColor="accent1" w:themeShade="BF"/>
          <w:lang w:eastAsia="en-GB"/>
        </w:rPr>
      </w:pPr>
      <w:bookmarkStart w:id="19" w:name="_Toc456009390"/>
      <w:r w:rsidRPr="009879A0">
        <w:rPr>
          <w:rFonts w:ascii="Fira Sans" w:eastAsia="Calibri" w:hAnsi="Fira Sans"/>
          <w:color w:val="2E74B5" w:themeColor="accent1" w:themeShade="BF"/>
          <w:lang w:eastAsia="en-GB"/>
        </w:rPr>
        <w:t xml:space="preserve">Ambulatoryjna opieka </w:t>
      </w:r>
      <w:r w:rsidRPr="009879A0">
        <w:rPr>
          <w:rFonts w:ascii="Fira Sans" w:hAnsi="Fira Sans"/>
          <w:color w:val="2E74B5" w:themeColor="accent1" w:themeShade="BF"/>
        </w:rPr>
        <w:t>zdrowotna</w:t>
      </w:r>
    </w:p>
    <w:p w:rsidR="00702B3A" w:rsidRPr="009879A0" w:rsidRDefault="00702B3A" w:rsidP="00702B3A">
      <w:pPr>
        <w:spacing w:before="240" w:after="120" w:line="360" w:lineRule="auto"/>
        <w:ind w:firstLine="709"/>
        <w:jc w:val="both"/>
        <w:rPr>
          <w:rFonts w:ascii="Fira Sans" w:eastAsia="Calibri" w:hAnsi="Fira Sans" w:cs="Times New Roman"/>
          <w:sz w:val="19"/>
          <w:szCs w:val="19"/>
          <w:lang w:eastAsia="en-GB"/>
        </w:rPr>
      </w:pPr>
      <w:r w:rsidRPr="009879A0">
        <w:rPr>
          <w:rFonts w:ascii="Fira Sans" w:eastAsia="Calibri" w:hAnsi="Fira Sans" w:cs="Times New Roman"/>
          <w:sz w:val="19"/>
          <w:szCs w:val="19"/>
          <w:lang w:eastAsia="en-GB"/>
        </w:rPr>
        <w:t xml:space="preserve">Ambulatoryjne świadczenia zdrowotne udzielane osobom starszym </w:t>
      </w:r>
      <w:r w:rsidR="009879A0">
        <w:rPr>
          <w:rFonts w:ascii="Fira Sans" w:eastAsia="Calibri" w:hAnsi="Fira Sans" w:cs="Times New Roman"/>
          <w:sz w:val="19"/>
          <w:szCs w:val="19"/>
          <w:lang w:eastAsia="en-GB"/>
        </w:rPr>
        <w:t>obejmują porady lekarskie w </w:t>
      </w:r>
      <w:r w:rsidRPr="009879A0">
        <w:rPr>
          <w:rFonts w:ascii="Fira Sans" w:eastAsia="Calibri" w:hAnsi="Fira Sans" w:cs="Times New Roman"/>
          <w:sz w:val="19"/>
          <w:szCs w:val="19"/>
          <w:lang w:eastAsia="en-GB"/>
        </w:rPr>
        <w:t>zakresie podstawowej i specjalistycznej opieki zdrowotne</w:t>
      </w:r>
      <w:r w:rsidR="009879A0">
        <w:rPr>
          <w:rFonts w:ascii="Fira Sans" w:eastAsia="Calibri" w:hAnsi="Fira Sans" w:cs="Times New Roman"/>
          <w:sz w:val="19"/>
          <w:szCs w:val="19"/>
          <w:lang w:eastAsia="en-GB"/>
        </w:rPr>
        <w:t>j oraz porady stomatologiczne w </w:t>
      </w:r>
      <w:r w:rsidRPr="009879A0">
        <w:rPr>
          <w:rFonts w:ascii="Fira Sans" w:eastAsia="Calibri" w:hAnsi="Fira Sans" w:cs="Times New Roman"/>
          <w:sz w:val="19"/>
          <w:szCs w:val="19"/>
          <w:lang w:eastAsia="en-GB"/>
        </w:rPr>
        <w:t>przychodniach i w ramach praktyk lekarskich.</w:t>
      </w:r>
    </w:p>
    <w:p w:rsidR="00702B3A" w:rsidRPr="009879A0" w:rsidRDefault="00702B3A" w:rsidP="009879A0">
      <w:pPr>
        <w:widowControl w:val="0"/>
        <w:overflowPunct w:val="0"/>
        <w:autoSpaceDE w:val="0"/>
        <w:autoSpaceDN w:val="0"/>
        <w:adjustRightInd w:val="0"/>
        <w:spacing w:before="120" w:after="0" w:line="360" w:lineRule="auto"/>
        <w:ind w:firstLine="709"/>
        <w:jc w:val="both"/>
        <w:textAlignment w:val="baseline"/>
        <w:rPr>
          <w:rFonts w:ascii="Fira Sans" w:eastAsia="Calibri" w:hAnsi="Fira Sans" w:cs="Times New Roman"/>
          <w:sz w:val="19"/>
          <w:szCs w:val="19"/>
          <w:lang w:eastAsia="en-GB"/>
        </w:rPr>
      </w:pPr>
      <w:r w:rsidRPr="009879A0">
        <w:rPr>
          <w:rFonts w:ascii="Fira Sans" w:eastAsia="Calibri" w:hAnsi="Fira Sans" w:cs="Times New Roman"/>
          <w:sz w:val="19"/>
          <w:szCs w:val="19"/>
          <w:lang w:eastAsia="en-GB"/>
        </w:rPr>
        <w:t>Zgodnie ze sprawozdawczością placówek ochrony zdrowia w 2017 r. osoby w wieku 65 lat i więcej</w:t>
      </w:r>
      <w:r w:rsidRPr="009879A0">
        <w:rPr>
          <w:rStyle w:val="Odwoanieprzypisudolnego"/>
          <w:rFonts w:ascii="Fira Sans" w:eastAsia="Calibri" w:hAnsi="Fira Sans" w:cs="Times New Roman"/>
          <w:sz w:val="19"/>
          <w:szCs w:val="19"/>
          <w:lang w:eastAsia="en-GB"/>
        </w:rPr>
        <w:footnoteReference w:id="9"/>
      </w:r>
      <w:r w:rsidRPr="009879A0">
        <w:rPr>
          <w:rFonts w:ascii="Fira Sans" w:eastAsia="Calibri" w:hAnsi="Fira Sans" w:cs="Times New Roman"/>
          <w:sz w:val="19"/>
          <w:szCs w:val="19"/>
          <w:lang w:eastAsia="en-GB"/>
        </w:rPr>
        <w:t xml:space="preserve"> skorzystały z 92,4 mln porad lekarskich w ramach ambulatoryjnej opieki zdrowotnej </w:t>
      </w:r>
      <w:r w:rsidRPr="009879A0">
        <w:rPr>
          <w:rFonts w:ascii="Fira Sans" w:eastAsia="Calibri" w:hAnsi="Fira Sans" w:cs="Times New Roman"/>
          <w:i/>
          <w:sz w:val="19"/>
          <w:szCs w:val="19"/>
          <w:lang w:eastAsia="en-GB"/>
        </w:rPr>
        <w:t>(tabl.5.16)</w:t>
      </w:r>
      <w:r w:rsidR="009879A0">
        <w:rPr>
          <w:rFonts w:ascii="Fira Sans" w:eastAsia="Calibri" w:hAnsi="Fira Sans" w:cs="Times New Roman"/>
          <w:sz w:val="19"/>
          <w:szCs w:val="19"/>
          <w:lang w:eastAsia="en-GB"/>
        </w:rPr>
        <w:t>. W </w:t>
      </w:r>
      <w:r w:rsidRPr="009879A0">
        <w:rPr>
          <w:rFonts w:ascii="Fira Sans" w:eastAsia="Calibri" w:hAnsi="Fira Sans" w:cs="Times New Roman"/>
          <w:sz w:val="19"/>
          <w:szCs w:val="19"/>
          <w:lang w:eastAsia="en-GB"/>
        </w:rPr>
        <w:t>podstawowej opiece zdrowotnej lekarze udzielili osobom starszym niemal 54,5 mln porad, co stanowiło 32% ogółu porad w tym zakresie. W opiece specjalistycznej lekarze udz</w:t>
      </w:r>
      <w:r w:rsidR="009879A0">
        <w:rPr>
          <w:rFonts w:ascii="Fira Sans" w:eastAsia="Calibri" w:hAnsi="Fira Sans" w:cs="Times New Roman"/>
          <w:sz w:val="19"/>
          <w:szCs w:val="19"/>
          <w:lang w:eastAsia="en-GB"/>
        </w:rPr>
        <w:t>ielili osobom starszym ponad 32 </w:t>
      </w:r>
      <w:r w:rsidRPr="009879A0">
        <w:rPr>
          <w:rFonts w:ascii="Fira Sans" w:eastAsia="Calibri" w:hAnsi="Fira Sans" w:cs="Times New Roman"/>
          <w:sz w:val="19"/>
          <w:szCs w:val="19"/>
          <w:lang w:eastAsia="en-GB"/>
        </w:rPr>
        <w:t xml:space="preserve">mln porad lekarskich, tj. 28% wszystkich porad specjalistycznych. </w:t>
      </w:r>
    </w:p>
    <w:p w:rsidR="00702B3A" w:rsidRPr="009879A0" w:rsidRDefault="00702B3A" w:rsidP="009879A0">
      <w:pPr>
        <w:widowControl w:val="0"/>
        <w:overflowPunct w:val="0"/>
        <w:autoSpaceDE w:val="0"/>
        <w:autoSpaceDN w:val="0"/>
        <w:adjustRightInd w:val="0"/>
        <w:spacing w:before="120" w:after="0" w:line="360" w:lineRule="auto"/>
        <w:ind w:firstLine="708"/>
        <w:jc w:val="both"/>
        <w:textAlignment w:val="baseline"/>
        <w:rPr>
          <w:rFonts w:ascii="Fira Sans" w:eastAsia="Calibri" w:hAnsi="Fira Sans" w:cs="Times New Roman"/>
          <w:sz w:val="19"/>
          <w:szCs w:val="19"/>
          <w:lang w:eastAsia="en-GB"/>
        </w:rPr>
      </w:pPr>
      <w:r w:rsidRPr="009879A0">
        <w:rPr>
          <w:rFonts w:ascii="Fira Sans" w:eastAsia="Calibri" w:hAnsi="Fira Sans" w:cs="Times New Roman"/>
          <w:sz w:val="19"/>
          <w:szCs w:val="19"/>
          <w:lang w:eastAsia="en-GB"/>
        </w:rPr>
        <w:t>Lekarze dentyści udzielili osobom starszym ponad</w:t>
      </w:r>
      <w:r w:rsidR="007A79C2" w:rsidRPr="009879A0">
        <w:rPr>
          <w:rFonts w:ascii="Fira Sans" w:eastAsia="Calibri" w:hAnsi="Fira Sans" w:cs="Times New Roman"/>
          <w:sz w:val="19"/>
          <w:szCs w:val="19"/>
          <w:lang w:eastAsia="en-GB"/>
        </w:rPr>
        <w:t xml:space="preserve"> </w:t>
      </w:r>
      <w:r w:rsidRPr="009879A0">
        <w:rPr>
          <w:rFonts w:ascii="Fira Sans" w:eastAsia="Calibri" w:hAnsi="Fira Sans" w:cs="Times New Roman"/>
          <w:sz w:val="19"/>
          <w:szCs w:val="19"/>
          <w:lang w:eastAsia="en-GB"/>
        </w:rPr>
        <w:t>5 mln porad stomatologicznych, co stanowiło 15% wszystkich udzielonych przez nich porad.</w:t>
      </w:r>
    </w:p>
    <w:p w:rsidR="00702B3A" w:rsidRPr="009879A0" w:rsidRDefault="00702B3A" w:rsidP="00DF057A">
      <w:pPr>
        <w:widowControl w:val="0"/>
        <w:overflowPunct w:val="0"/>
        <w:autoSpaceDE w:val="0"/>
        <w:autoSpaceDN w:val="0"/>
        <w:adjustRightInd w:val="0"/>
        <w:spacing w:before="120" w:after="0" w:line="360" w:lineRule="auto"/>
        <w:ind w:firstLine="708"/>
        <w:jc w:val="both"/>
        <w:textAlignment w:val="baseline"/>
        <w:rPr>
          <w:rFonts w:ascii="Fira Sans" w:eastAsia="Calibri" w:hAnsi="Fira Sans" w:cs="Times New Roman"/>
          <w:sz w:val="19"/>
          <w:szCs w:val="19"/>
          <w:lang w:eastAsia="en-GB"/>
        </w:rPr>
      </w:pPr>
      <w:r w:rsidRPr="009879A0">
        <w:rPr>
          <w:rFonts w:ascii="Fira Sans" w:eastAsia="Calibri" w:hAnsi="Fira Sans" w:cs="Times New Roman"/>
          <w:sz w:val="19"/>
          <w:szCs w:val="19"/>
          <w:lang w:eastAsia="en-GB"/>
        </w:rPr>
        <w:t xml:space="preserve">Przeciętna liczba porad lekarskich udzielonych w ambulatoryjnej opiece zdrowotnej w przeliczeniu na 1 mieszkańca w 2017 r. wyniosła 8,3 porady, podczas </w:t>
      </w:r>
      <w:r w:rsidR="009879A0">
        <w:rPr>
          <w:rFonts w:ascii="Fira Sans" w:eastAsia="Calibri" w:hAnsi="Fira Sans" w:cs="Times New Roman"/>
          <w:sz w:val="19"/>
          <w:szCs w:val="19"/>
          <w:lang w:eastAsia="en-GB"/>
        </w:rPr>
        <w:t>gdy w przypadku osób w wieku 65 </w:t>
      </w:r>
      <w:r w:rsidRPr="009879A0">
        <w:rPr>
          <w:rFonts w:ascii="Fira Sans" w:eastAsia="Calibri" w:hAnsi="Fira Sans" w:cs="Times New Roman"/>
          <w:sz w:val="19"/>
          <w:szCs w:val="19"/>
          <w:lang w:eastAsia="en-GB"/>
        </w:rPr>
        <w:t>lat i więcej wskaźnik ten stanowił 14,4 porady na 1 mieszkańca w tym wieku. W przypadku porad stomatologicznych wskaźnik ten dla grupy starszych pacjentów był nieco mniejszy niż dla całej populacji (0,8 w porównaniu do 0,9 dla całej populacji).</w:t>
      </w:r>
    </w:p>
    <w:p w:rsidR="00702B3A" w:rsidRPr="00EF3586" w:rsidRDefault="00702B3A" w:rsidP="00EF3586">
      <w:pPr>
        <w:pStyle w:val="Nagwek3"/>
        <w:spacing w:before="240"/>
        <w:rPr>
          <w:rFonts w:ascii="Fira Sans" w:eastAsia="Calibri" w:hAnsi="Fira Sans"/>
          <w:color w:val="2E74B5" w:themeColor="accent1" w:themeShade="BF"/>
          <w:lang w:eastAsia="en-GB"/>
        </w:rPr>
      </w:pPr>
      <w:r w:rsidRPr="00EF3586">
        <w:rPr>
          <w:rFonts w:ascii="Fira Sans" w:eastAsia="Calibri" w:hAnsi="Fira Sans"/>
          <w:color w:val="2E74B5" w:themeColor="accent1" w:themeShade="BF"/>
          <w:lang w:eastAsia="en-GB"/>
        </w:rPr>
        <w:t>Stacjonarna opieka zdrowotna</w:t>
      </w:r>
    </w:p>
    <w:p w:rsidR="00702B3A" w:rsidRPr="009879A0" w:rsidRDefault="00702B3A" w:rsidP="00702B3A">
      <w:pPr>
        <w:spacing w:before="240" w:after="120" w:line="360" w:lineRule="auto"/>
        <w:ind w:firstLine="709"/>
        <w:jc w:val="both"/>
        <w:rPr>
          <w:rFonts w:ascii="Fira Sans" w:hAnsi="Fira Sans" w:cs="Times New Roman"/>
          <w:sz w:val="19"/>
          <w:szCs w:val="19"/>
        </w:rPr>
      </w:pPr>
      <w:r w:rsidRPr="009879A0">
        <w:rPr>
          <w:rFonts w:ascii="Fira Sans" w:hAnsi="Fira Sans" w:cs="Times New Roman"/>
          <w:sz w:val="19"/>
          <w:szCs w:val="19"/>
        </w:rPr>
        <w:t xml:space="preserve">W opiece stacjonarnej oddziałami szpitalnymi zapewniającymi </w:t>
      </w:r>
      <w:r w:rsidR="00120DDD">
        <w:rPr>
          <w:rFonts w:ascii="Fira Sans" w:hAnsi="Fira Sans" w:cs="Times New Roman"/>
          <w:sz w:val="19"/>
          <w:szCs w:val="19"/>
        </w:rPr>
        <w:t>kompleksową opiekę medyczną i </w:t>
      </w:r>
      <w:r w:rsidRPr="009879A0">
        <w:rPr>
          <w:rFonts w:ascii="Fira Sans" w:hAnsi="Fira Sans" w:cs="Times New Roman"/>
          <w:sz w:val="19"/>
          <w:szCs w:val="19"/>
        </w:rPr>
        <w:t>usługi pielęgnacyjne dla osób w starszym wieku są oddziały geriatryczne. Na koniec 2016 r. oddziały geriatryczne dysponowały 1122 łóżkami, na których w ciągu roku leczono 31,9 tys. pacjentów. Przyjmując założenie, że  oddziały geriatryczne przeznaczone są  dla pacjentów w wieku 60 lat i więcej - z tej formy opieki  skorzystało blisko 36 pacjentów na 10 tys. ludności w wieku 60 lat i więcej.</w:t>
      </w:r>
    </w:p>
    <w:p w:rsidR="00702B3A" w:rsidRPr="009879A0" w:rsidRDefault="00702B3A" w:rsidP="00120DDD">
      <w:pPr>
        <w:spacing w:after="120" w:line="360" w:lineRule="auto"/>
        <w:ind w:firstLine="709"/>
        <w:jc w:val="both"/>
        <w:rPr>
          <w:rFonts w:ascii="Fira Sans" w:hAnsi="Fira Sans" w:cs="Times New Roman"/>
          <w:sz w:val="19"/>
          <w:szCs w:val="19"/>
        </w:rPr>
      </w:pPr>
      <w:r w:rsidRPr="009879A0">
        <w:rPr>
          <w:rFonts w:ascii="Fira Sans" w:hAnsi="Fira Sans" w:cs="Times New Roman"/>
          <w:sz w:val="19"/>
          <w:szCs w:val="19"/>
        </w:rPr>
        <w:t>Stacjonarne zakłady opieki długoterminowej i hospicyjno-paliatywnej w ciągu 2016 roku udzieliły pomocy 98</w:t>
      </w:r>
      <w:r w:rsidR="00DE4E63">
        <w:rPr>
          <w:rFonts w:ascii="Fira Sans" w:hAnsi="Fira Sans" w:cs="Times New Roman"/>
          <w:sz w:val="19"/>
          <w:szCs w:val="19"/>
        </w:rPr>
        <w:t>,</w:t>
      </w:r>
      <w:r w:rsidRPr="009879A0">
        <w:rPr>
          <w:rFonts w:ascii="Fira Sans" w:hAnsi="Fira Sans" w:cs="Times New Roman"/>
          <w:sz w:val="19"/>
          <w:szCs w:val="19"/>
        </w:rPr>
        <w:t xml:space="preserve">5 tys. pacjentów, z czego szacuje się że niespełna trzy czwarte (73% tj. 71,9 tys. osób) stanowili </w:t>
      </w:r>
      <w:r w:rsidRPr="009879A0">
        <w:rPr>
          <w:rFonts w:ascii="Fira Sans" w:hAnsi="Fira Sans" w:cs="Times New Roman"/>
          <w:sz w:val="19"/>
          <w:szCs w:val="19"/>
        </w:rPr>
        <w:lastRenderedPageBreak/>
        <w:t>pacjenci w wieku 65 lat i więcej.  W przeliczeniu na 10 tys. ludności w wieku 65 lat i więcej</w:t>
      </w:r>
      <w:r w:rsidR="00DE4E63">
        <w:rPr>
          <w:rFonts w:ascii="Fira Sans" w:hAnsi="Fira Sans" w:cs="Times New Roman"/>
          <w:sz w:val="19"/>
          <w:szCs w:val="19"/>
        </w:rPr>
        <w:t>,</w:t>
      </w:r>
      <w:r w:rsidRPr="009879A0">
        <w:rPr>
          <w:rFonts w:ascii="Fira Sans" w:hAnsi="Fira Sans" w:cs="Times New Roman"/>
          <w:sz w:val="19"/>
          <w:szCs w:val="19"/>
        </w:rPr>
        <w:t xml:space="preserve"> około 116 pacjentów skorzystało z tej formy opieki (</w:t>
      </w:r>
      <w:r w:rsidRPr="009879A0">
        <w:rPr>
          <w:rFonts w:ascii="Fira Sans" w:hAnsi="Fira Sans" w:cs="Times New Roman"/>
          <w:i/>
          <w:sz w:val="19"/>
          <w:szCs w:val="19"/>
        </w:rPr>
        <w:t xml:space="preserve">tabl. 5.18.1 </w:t>
      </w:r>
      <w:r w:rsidRPr="009879A0">
        <w:rPr>
          <w:rFonts w:ascii="Fira Sans" w:hAnsi="Fira Sans" w:cs="Times New Roman"/>
          <w:sz w:val="19"/>
          <w:szCs w:val="19"/>
        </w:rPr>
        <w:t xml:space="preserve">).  </w:t>
      </w:r>
    </w:p>
    <w:p w:rsidR="00702B3A" w:rsidRPr="009879A0" w:rsidRDefault="00702B3A" w:rsidP="00702B3A">
      <w:pPr>
        <w:spacing w:after="120" w:line="360" w:lineRule="auto"/>
        <w:ind w:firstLine="708"/>
        <w:jc w:val="both"/>
        <w:rPr>
          <w:rFonts w:ascii="Fira Sans" w:hAnsi="Fira Sans" w:cs="Times New Roman"/>
          <w:sz w:val="19"/>
          <w:szCs w:val="19"/>
        </w:rPr>
      </w:pPr>
      <w:r w:rsidRPr="009879A0">
        <w:rPr>
          <w:rFonts w:ascii="Fira Sans" w:eastAsia="Calibri" w:hAnsi="Fira Sans" w:cs="Times New Roman"/>
          <w:sz w:val="19"/>
          <w:szCs w:val="19"/>
        </w:rPr>
        <w:t xml:space="preserve">W końcu 2017 r. zakłady lecznictwa uzdrowiskowego dysponowały łącznie 44,4 tys. łóżek. Z </w:t>
      </w:r>
      <w:r w:rsidRPr="009879A0">
        <w:rPr>
          <w:rFonts w:ascii="Fira Sans" w:hAnsi="Fira Sans" w:cs="Times New Roman"/>
          <w:sz w:val="19"/>
          <w:szCs w:val="19"/>
        </w:rPr>
        <w:t xml:space="preserve">leczenia uzdrowiskowego w trybie stacjonarnym i ambulatoryjnym skorzystało łącznie 759,7  tys. polskich kuracjuszy, </w:t>
      </w:r>
      <w:r w:rsidRPr="009879A0">
        <w:rPr>
          <w:rFonts w:ascii="Fira Sans" w:eastAsia="Calibri" w:hAnsi="Fira Sans" w:cs="Times New Roman"/>
          <w:sz w:val="19"/>
          <w:szCs w:val="19"/>
        </w:rPr>
        <w:t>o 0,5% (tj. 3,7  tys. osób) mniej  niż w 2016 roku</w:t>
      </w:r>
      <w:r w:rsidRPr="009879A0">
        <w:rPr>
          <w:rFonts w:ascii="Fira Sans" w:hAnsi="Fira Sans" w:cs="Times New Roman"/>
          <w:sz w:val="19"/>
          <w:szCs w:val="19"/>
        </w:rPr>
        <w:t xml:space="preserve">. Kuracjusze w wieku 65 lat i więcej stanowili grupę 340,9 tys. osób co stanowiło 5,3% ludności Polski w wieku 65 lat i więcej) </w:t>
      </w:r>
      <w:r w:rsidRPr="009879A0">
        <w:rPr>
          <w:rFonts w:ascii="Fira Sans" w:eastAsia="Calibri" w:hAnsi="Fira Sans" w:cs="Times New Roman"/>
          <w:sz w:val="19"/>
          <w:szCs w:val="19"/>
        </w:rPr>
        <w:t>(</w:t>
      </w:r>
      <w:r w:rsidRPr="009879A0">
        <w:rPr>
          <w:rFonts w:ascii="Fira Sans" w:eastAsia="Calibri" w:hAnsi="Fira Sans" w:cs="Times New Roman"/>
          <w:i/>
          <w:sz w:val="19"/>
          <w:szCs w:val="19"/>
        </w:rPr>
        <w:t>tabl.5.19</w:t>
      </w:r>
      <w:r w:rsidRPr="009879A0">
        <w:rPr>
          <w:rFonts w:ascii="Fira Sans" w:eastAsia="Calibri" w:hAnsi="Fira Sans" w:cs="Times New Roman"/>
          <w:sz w:val="19"/>
          <w:szCs w:val="19"/>
        </w:rPr>
        <w:t>).</w:t>
      </w:r>
    </w:p>
    <w:p w:rsidR="00702B3A" w:rsidRPr="00120DDD" w:rsidRDefault="00702B3A" w:rsidP="00702B3A">
      <w:pPr>
        <w:pStyle w:val="Nagwek3"/>
        <w:spacing w:before="240"/>
        <w:rPr>
          <w:rFonts w:ascii="Fira Sans" w:hAnsi="Fira Sans"/>
          <w:color w:val="0070C0"/>
        </w:rPr>
      </w:pPr>
      <w:r w:rsidRPr="00120DDD">
        <w:rPr>
          <w:rFonts w:ascii="Fira Sans" w:hAnsi="Fira Sans"/>
          <w:color w:val="0070C0"/>
        </w:rPr>
        <w:t>Ratownictwo medyczne</w:t>
      </w:r>
    </w:p>
    <w:p w:rsidR="0041083C" w:rsidRPr="00120DDD" w:rsidRDefault="00702B3A" w:rsidP="0041083C">
      <w:pPr>
        <w:spacing w:before="240" w:after="120" w:line="360" w:lineRule="auto"/>
        <w:ind w:firstLine="709"/>
        <w:jc w:val="both"/>
        <w:rPr>
          <w:rFonts w:ascii="Fira Sans" w:hAnsi="Fira Sans" w:cs="Times New Roman"/>
          <w:sz w:val="19"/>
          <w:szCs w:val="19"/>
        </w:rPr>
      </w:pPr>
      <w:r w:rsidRPr="00120DDD">
        <w:rPr>
          <w:rFonts w:ascii="Fira Sans" w:hAnsi="Fira Sans" w:cs="Times New Roman"/>
          <w:sz w:val="19"/>
          <w:szCs w:val="19"/>
        </w:rPr>
        <w:t>W 2017 r. w skali kraju zespoły ratownictwa medycznego udzie</w:t>
      </w:r>
      <w:r w:rsidR="00120DDD">
        <w:rPr>
          <w:rFonts w:ascii="Fira Sans" w:hAnsi="Fira Sans" w:cs="Times New Roman"/>
          <w:sz w:val="19"/>
          <w:szCs w:val="19"/>
        </w:rPr>
        <w:t>liły pomocy medycznej ponad 3,2 </w:t>
      </w:r>
      <w:r w:rsidRPr="00120DDD">
        <w:rPr>
          <w:rFonts w:ascii="Fira Sans" w:hAnsi="Fira Sans" w:cs="Times New Roman"/>
          <w:sz w:val="19"/>
          <w:szCs w:val="19"/>
        </w:rPr>
        <w:t>mln osób, z czego osoby w wieku 65 lat i więcej stanowiły 43,2% pacjentów (</w:t>
      </w:r>
      <w:r w:rsidRPr="00120DDD">
        <w:rPr>
          <w:rFonts w:ascii="Fira Sans" w:hAnsi="Fira Sans" w:cs="Times New Roman"/>
          <w:i/>
          <w:sz w:val="19"/>
          <w:szCs w:val="19"/>
        </w:rPr>
        <w:t>tabl. 5.20</w:t>
      </w:r>
      <w:r w:rsidRPr="00120DDD">
        <w:rPr>
          <w:rFonts w:ascii="Fira Sans" w:hAnsi="Fira Sans" w:cs="Times New Roman"/>
          <w:sz w:val="19"/>
          <w:szCs w:val="19"/>
        </w:rPr>
        <w:t>). Na każde 1000 osób w wieku 65 lat i więcej przypadało 212,6 osób, którym udzielono pomocy w trakcie wyjazdów zespołów ratownictwa medycznego. W 2017 r. ze świadczeń zdrowotnych udzielonych w izbie przyjęć/szpitalnym oddziale ratunkowym w trybie ambulatoryjnym (niezakończonym hospita</w:t>
      </w:r>
      <w:r w:rsidR="00120DDD">
        <w:rPr>
          <w:rFonts w:ascii="Fira Sans" w:hAnsi="Fira Sans" w:cs="Times New Roman"/>
          <w:sz w:val="19"/>
          <w:szCs w:val="19"/>
        </w:rPr>
        <w:t>lizacją) skorzystało niemal 4,8 </w:t>
      </w:r>
      <w:r w:rsidRPr="00120DDD">
        <w:rPr>
          <w:rFonts w:ascii="Fira Sans" w:hAnsi="Fira Sans" w:cs="Times New Roman"/>
          <w:sz w:val="19"/>
          <w:szCs w:val="19"/>
        </w:rPr>
        <w:t>mln osób, z czego osoby starsze stanowiły 23,5%. Na każde 1000 osób w wieku 65 lat i więcej przypadało 172,1 osób, którym udzielono świadczenia zdrowotnego w izbie przyjęć/szpitalnym oddziale ratunkowym w trybie ambulatoryjnym.</w:t>
      </w:r>
      <w:bookmarkStart w:id="20" w:name="_Toc456009393"/>
      <w:bookmarkEnd w:id="19"/>
    </w:p>
    <w:p w:rsidR="0041083C" w:rsidRPr="00120DDD" w:rsidRDefault="00945EC2" w:rsidP="00D61B1E">
      <w:pPr>
        <w:spacing w:after="0" w:line="360" w:lineRule="auto"/>
        <w:jc w:val="both"/>
        <w:rPr>
          <w:rFonts w:ascii="Fira Sans" w:hAnsi="Fira Sans" w:cstheme="majorHAnsi"/>
          <w:color w:val="0070C0"/>
          <w:sz w:val="28"/>
          <w:szCs w:val="28"/>
        </w:rPr>
      </w:pPr>
      <w:r w:rsidRPr="00120DDD">
        <w:rPr>
          <w:rFonts w:ascii="Fira Sans" w:hAnsi="Fira Sans" w:cstheme="majorHAnsi"/>
          <w:color w:val="0070C0"/>
          <w:sz w:val="28"/>
          <w:szCs w:val="28"/>
        </w:rPr>
        <w:t>Dostępność usług socjalnych</w:t>
      </w:r>
      <w:bookmarkEnd w:id="20"/>
      <w:r w:rsidRPr="00120DDD">
        <w:rPr>
          <w:rFonts w:ascii="Fira Sans" w:hAnsi="Fira Sans" w:cstheme="majorHAnsi"/>
          <w:color w:val="0070C0"/>
          <w:sz w:val="28"/>
          <w:szCs w:val="28"/>
        </w:rPr>
        <w:tab/>
      </w:r>
      <w:bookmarkStart w:id="21" w:name="_Toc456009394"/>
    </w:p>
    <w:p w:rsidR="0041083C" w:rsidRPr="00120DDD" w:rsidRDefault="00150C13" w:rsidP="00D61B1E">
      <w:pPr>
        <w:spacing w:after="0" w:line="360" w:lineRule="auto"/>
        <w:jc w:val="both"/>
        <w:rPr>
          <w:rFonts w:ascii="Fira Sans" w:hAnsi="Fira Sans" w:cstheme="majorHAnsi"/>
          <w:color w:val="0070C0"/>
          <w:sz w:val="24"/>
          <w:szCs w:val="24"/>
        </w:rPr>
      </w:pPr>
      <w:r w:rsidRPr="00120DDD">
        <w:rPr>
          <w:rFonts w:ascii="Fira Sans" w:hAnsi="Fira Sans" w:cstheme="majorHAnsi"/>
          <w:color w:val="0070C0"/>
          <w:sz w:val="24"/>
          <w:szCs w:val="24"/>
        </w:rPr>
        <w:t>Pensjonariusze zakładów stacjonarnych pomocy społecznej</w:t>
      </w:r>
      <w:bookmarkEnd w:id="21"/>
      <w:r w:rsidRPr="00120DDD">
        <w:rPr>
          <w:rFonts w:ascii="Fira Sans" w:hAnsi="Fira Sans" w:cstheme="majorHAnsi"/>
          <w:color w:val="0070C0"/>
          <w:sz w:val="24"/>
          <w:szCs w:val="24"/>
        </w:rPr>
        <w:t xml:space="preserve"> </w:t>
      </w:r>
      <w:bookmarkStart w:id="22" w:name="_Toc456009395"/>
    </w:p>
    <w:p w:rsidR="0041083C" w:rsidRPr="00120DDD" w:rsidRDefault="003767F6" w:rsidP="0041083C">
      <w:pPr>
        <w:spacing w:before="240" w:after="120" w:line="360" w:lineRule="auto"/>
        <w:ind w:firstLine="709"/>
        <w:jc w:val="both"/>
        <w:rPr>
          <w:rFonts w:ascii="Fira Sans" w:eastAsia="Times New Roman" w:hAnsi="Fira Sans"/>
          <w:sz w:val="19"/>
          <w:szCs w:val="19"/>
        </w:rPr>
      </w:pPr>
      <w:r w:rsidRPr="00120DDD">
        <w:rPr>
          <w:rFonts w:ascii="Fira Sans" w:eastAsia="Times New Roman" w:hAnsi="Fira Sans"/>
          <w:sz w:val="19"/>
          <w:szCs w:val="19"/>
        </w:rPr>
        <w:t>Zakłady stacjonarne pomocy społecznej stanowią inną formę wsparcia, z której mogą korzystać osoby starsze. Placówki te zapewniają pomoc osobom w</w:t>
      </w:r>
      <w:r w:rsidR="00120DDD">
        <w:rPr>
          <w:rFonts w:ascii="Fira Sans" w:eastAsia="Times New Roman" w:hAnsi="Fira Sans"/>
          <w:sz w:val="19"/>
          <w:szCs w:val="19"/>
        </w:rPr>
        <w:t>ymagającym całodobowej opieki z </w:t>
      </w:r>
      <w:r w:rsidRPr="00120DDD">
        <w:rPr>
          <w:rFonts w:ascii="Fira Sans" w:eastAsia="Times New Roman" w:hAnsi="Fira Sans"/>
          <w:sz w:val="19"/>
          <w:szCs w:val="19"/>
        </w:rPr>
        <w:t>powodu między innymi: wieku, choroby, niepełnosprawności, niezależnie od typu placówki (np. dom pomocy społecznej, rodzinny dom pomocy, schronisko dla bezdomny</w:t>
      </w:r>
      <w:r w:rsidR="00120DDD">
        <w:rPr>
          <w:rFonts w:ascii="Fira Sans" w:eastAsia="Times New Roman" w:hAnsi="Fira Sans"/>
          <w:sz w:val="19"/>
          <w:szCs w:val="19"/>
        </w:rPr>
        <w:t>ch), czy jej przeznaczenia (np. </w:t>
      </w:r>
      <w:r w:rsidRPr="00120DDD">
        <w:rPr>
          <w:rFonts w:ascii="Fira Sans" w:eastAsia="Times New Roman" w:hAnsi="Fira Sans"/>
          <w:sz w:val="19"/>
          <w:szCs w:val="19"/>
        </w:rPr>
        <w:t xml:space="preserve">placówka dla osób w podeszłym wieku, osób przewlekle somatycznie chorych, osób niepełnosprawnych intelektualnie, fizycznie, osób bezdomnych i uzależnionych od alkoholu). </w:t>
      </w:r>
    </w:p>
    <w:p w:rsidR="003767F6" w:rsidRPr="00120DDD" w:rsidRDefault="003767F6" w:rsidP="0041083C">
      <w:pPr>
        <w:spacing w:before="240" w:after="120" w:line="360" w:lineRule="auto"/>
        <w:ind w:firstLine="709"/>
        <w:jc w:val="both"/>
        <w:rPr>
          <w:rFonts w:ascii="Fira Sans" w:hAnsi="Fira Sans" w:cs="Times New Roman"/>
          <w:sz w:val="19"/>
          <w:szCs w:val="19"/>
        </w:rPr>
      </w:pPr>
      <w:r w:rsidRPr="00120DDD">
        <w:rPr>
          <w:rFonts w:ascii="Fira Sans" w:eastAsia="Times New Roman" w:hAnsi="Fira Sans"/>
          <w:sz w:val="19"/>
          <w:szCs w:val="19"/>
        </w:rPr>
        <w:t>W końcu 2017 r. w placówkach tych przebywało 109,2 tys. pensjonariuszy, z czego osoby w wieku 60 i więcej lat stanowiły blisko 61%.  Wśród starszych mieszkańców zakładów stacjonarnych pomocy społecznej większość (61%) przebywała w placówkach działających w mieście. W tej samej kategorii wieku, kobiety stanowiły blisko 55% pensjonariuszy (spadek o 1 p. proc</w:t>
      </w:r>
      <w:r w:rsidR="00F27410" w:rsidRPr="00120DDD">
        <w:rPr>
          <w:rFonts w:ascii="Fira Sans" w:eastAsia="Times New Roman" w:hAnsi="Fira Sans"/>
          <w:sz w:val="19"/>
          <w:szCs w:val="19"/>
        </w:rPr>
        <w:t>.</w:t>
      </w:r>
      <w:r w:rsidRPr="00120DDD">
        <w:rPr>
          <w:rFonts w:ascii="Fira Sans" w:eastAsia="Times New Roman" w:hAnsi="Fira Sans"/>
          <w:sz w:val="19"/>
          <w:szCs w:val="19"/>
        </w:rPr>
        <w:t xml:space="preserve"> w porównaniu do roku 2016</w:t>
      </w:r>
      <w:r w:rsidR="006071DA">
        <w:rPr>
          <w:rFonts w:ascii="Fira Sans" w:eastAsia="Times New Roman" w:hAnsi="Fira Sans"/>
          <w:sz w:val="19"/>
          <w:szCs w:val="19"/>
        </w:rPr>
        <w:t>)</w:t>
      </w:r>
      <w:r w:rsidRPr="00120DDD">
        <w:rPr>
          <w:rFonts w:ascii="Fira Sans" w:eastAsia="Times New Roman" w:hAnsi="Fira Sans"/>
          <w:sz w:val="19"/>
          <w:szCs w:val="19"/>
        </w:rPr>
        <w:t>.</w:t>
      </w:r>
    </w:p>
    <w:p w:rsidR="009537D7" w:rsidRPr="00120DDD" w:rsidRDefault="00043B6C" w:rsidP="003767F6">
      <w:pPr>
        <w:pStyle w:val="Nagwek1"/>
        <w:spacing w:line="360" w:lineRule="auto"/>
        <w:jc w:val="both"/>
        <w:rPr>
          <w:rFonts w:ascii="Fira Sans" w:hAnsi="Fira Sans"/>
          <w:sz w:val="28"/>
          <w:szCs w:val="28"/>
        </w:rPr>
      </w:pPr>
      <w:r w:rsidRPr="00120DDD">
        <w:rPr>
          <w:rFonts w:ascii="Fira Sans" w:hAnsi="Fira Sans"/>
          <w:sz w:val="28"/>
          <w:szCs w:val="28"/>
        </w:rPr>
        <w:t>A</w:t>
      </w:r>
      <w:r w:rsidR="009537D7" w:rsidRPr="00120DDD">
        <w:rPr>
          <w:rFonts w:ascii="Fira Sans" w:hAnsi="Fira Sans"/>
          <w:sz w:val="28"/>
          <w:szCs w:val="28"/>
        </w:rPr>
        <w:t>ktywność społeczna i obywatelska</w:t>
      </w:r>
      <w:bookmarkEnd w:id="22"/>
    </w:p>
    <w:p w:rsidR="009D7EAA" w:rsidRPr="00120DDD" w:rsidRDefault="009D7EAA" w:rsidP="009D7EAA">
      <w:pPr>
        <w:spacing w:before="240" w:after="120" w:line="360" w:lineRule="auto"/>
        <w:ind w:firstLine="709"/>
        <w:jc w:val="both"/>
        <w:rPr>
          <w:rFonts w:ascii="Fira Sans" w:hAnsi="Fira Sans" w:cs="Times New Roman"/>
          <w:sz w:val="19"/>
          <w:szCs w:val="19"/>
        </w:rPr>
      </w:pPr>
      <w:r w:rsidRPr="00120DDD">
        <w:rPr>
          <w:rFonts w:ascii="Fira Sans" w:hAnsi="Fira Sans" w:cs="Times New Roman"/>
          <w:sz w:val="19"/>
          <w:szCs w:val="19"/>
        </w:rPr>
        <w:t xml:space="preserve">Zgodnie z wynikami Badania spójności społecznej 2015, aktywność osób starszych w zakresie kontaktów społecznych jest generalnie niższa niż osób w młodszych grupach wiekowych, o czym świadczą wartości wskaźników izolacji społecznej i uczestnictwa w świeckich organizacjach pozarządowych. Wskaźnik izolacji społecznej wskazuje, że co 10 osoba starsza ma bardzo ograniczone kontakty społeczne. Skala aktywność osób starszych we wspólnotach, organizacjach lub grupach religijnych jest podobna skali obserwowanej wśród ogółu ludności. Osoby starsze mają natomiast większe zaufanie do ludzi ogólnie rzecz biorąc niż osoby w młodszych grupach wieku. </w:t>
      </w:r>
    </w:p>
    <w:p w:rsidR="009D7EAA" w:rsidRPr="00120DDD" w:rsidRDefault="009D7EAA" w:rsidP="009D7EAA">
      <w:pPr>
        <w:spacing w:before="240" w:after="120" w:line="360" w:lineRule="auto"/>
        <w:ind w:firstLine="709"/>
        <w:jc w:val="both"/>
        <w:rPr>
          <w:rFonts w:ascii="Fira Sans" w:hAnsi="Fira Sans" w:cs="Times New Roman"/>
          <w:sz w:val="19"/>
          <w:szCs w:val="19"/>
        </w:rPr>
      </w:pPr>
      <w:r w:rsidRPr="00120DDD">
        <w:rPr>
          <w:rFonts w:ascii="Fira Sans" w:hAnsi="Fira Sans" w:cs="Times New Roman"/>
          <w:sz w:val="19"/>
          <w:szCs w:val="19"/>
        </w:rPr>
        <w:lastRenderedPageBreak/>
        <w:t>Ponadto, wśród osób starszych wyższa jest satysfakcja ze spędzania czasu wolnego.</w:t>
      </w:r>
    </w:p>
    <w:p w:rsidR="00223A6E" w:rsidRPr="00120DDD" w:rsidRDefault="00223A6E" w:rsidP="00223A6E">
      <w:pPr>
        <w:pStyle w:val="Nagwek1"/>
        <w:rPr>
          <w:rFonts w:ascii="Fira Sans" w:hAnsi="Fira Sans"/>
          <w:sz w:val="28"/>
          <w:szCs w:val="28"/>
        </w:rPr>
      </w:pPr>
      <w:r w:rsidRPr="00120DDD">
        <w:rPr>
          <w:rFonts w:ascii="Fira Sans" w:hAnsi="Fira Sans"/>
          <w:sz w:val="28"/>
          <w:szCs w:val="28"/>
        </w:rPr>
        <w:t>Aktywność edukacyjna i kulturalna</w:t>
      </w:r>
    </w:p>
    <w:p w:rsidR="00223A6E" w:rsidRPr="00120DDD" w:rsidRDefault="00223A6E" w:rsidP="00223A6E">
      <w:pPr>
        <w:pStyle w:val="Nagwek2"/>
        <w:rPr>
          <w:rFonts w:ascii="Fira Sans" w:hAnsi="Fira Sans"/>
          <w:b/>
          <w:sz w:val="24"/>
          <w:szCs w:val="24"/>
        </w:rPr>
      </w:pPr>
      <w:r w:rsidRPr="00120DDD">
        <w:rPr>
          <w:rFonts w:ascii="Fira Sans" w:hAnsi="Fira Sans"/>
          <w:sz w:val="24"/>
          <w:szCs w:val="24"/>
        </w:rPr>
        <w:t>Aktywność edukacyjna</w:t>
      </w:r>
    </w:p>
    <w:p w:rsidR="00223A6E" w:rsidRPr="00120DDD" w:rsidRDefault="00223A6E" w:rsidP="00223A6E">
      <w:pPr>
        <w:spacing w:before="240" w:after="120" w:line="360" w:lineRule="auto"/>
        <w:ind w:firstLine="709"/>
        <w:jc w:val="both"/>
        <w:rPr>
          <w:rFonts w:ascii="Fira Sans" w:hAnsi="Fira Sans" w:cs="Times New Roman"/>
          <w:sz w:val="19"/>
          <w:szCs w:val="19"/>
        </w:rPr>
      </w:pPr>
      <w:r w:rsidRPr="00120DDD">
        <w:rPr>
          <w:rFonts w:ascii="Fira Sans" w:hAnsi="Fira Sans" w:cs="Times New Roman"/>
          <w:sz w:val="19"/>
          <w:szCs w:val="19"/>
        </w:rPr>
        <w:t xml:space="preserve">Jak wskazują wyniki badania „Kształcenie dorosłych” w 2016 r. osoby starsze charakteryzowały się stosunkowo niską aktywnością edukacyjną, mierzoną udziałem w kształceniu formalnym i pozaformalnym oraz uczeniu się nieformalnym. Mimo wzrostu udziału tej grupy osób w szeroko pojętej </w:t>
      </w:r>
      <w:r w:rsidR="00120DDD">
        <w:rPr>
          <w:rFonts w:ascii="Fira Sans" w:hAnsi="Fira Sans" w:cs="Times New Roman"/>
          <w:sz w:val="19"/>
          <w:szCs w:val="19"/>
        </w:rPr>
        <w:t>edukacji (o 6,1 p. </w:t>
      </w:r>
      <w:r w:rsidRPr="00120DDD">
        <w:rPr>
          <w:rFonts w:ascii="Fira Sans" w:hAnsi="Fira Sans" w:cs="Times New Roman"/>
          <w:sz w:val="19"/>
          <w:szCs w:val="19"/>
        </w:rPr>
        <w:t>proc</w:t>
      </w:r>
      <w:r w:rsidR="0058575A" w:rsidRPr="00120DDD">
        <w:rPr>
          <w:rFonts w:ascii="Fira Sans" w:hAnsi="Fira Sans" w:cs="Times New Roman"/>
          <w:sz w:val="19"/>
          <w:szCs w:val="19"/>
        </w:rPr>
        <w:t>.</w:t>
      </w:r>
      <w:r w:rsidRPr="00120DDD">
        <w:rPr>
          <w:rFonts w:ascii="Fira Sans" w:hAnsi="Fira Sans" w:cs="Times New Roman"/>
          <w:sz w:val="19"/>
          <w:szCs w:val="19"/>
        </w:rPr>
        <w:t xml:space="preserve"> w porównaniu do 2011 r.), uczestnictwo w jakiejkolwiek z form uczenia się w ciągu 12 miesięcy poprzedzających badanie</w:t>
      </w:r>
      <w:r w:rsidRPr="00120DDD">
        <w:rPr>
          <w:rStyle w:val="Odwoanieprzypisudolnego"/>
          <w:rFonts w:ascii="Fira Sans" w:hAnsi="Fira Sans" w:cs="Times New Roman"/>
          <w:sz w:val="19"/>
          <w:szCs w:val="19"/>
        </w:rPr>
        <w:footnoteReference w:id="10"/>
      </w:r>
      <w:r w:rsidRPr="00120DDD">
        <w:rPr>
          <w:rFonts w:ascii="Fira Sans" w:hAnsi="Fira Sans" w:cs="Times New Roman"/>
          <w:sz w:val="19"/>
          <w:szCs w:val="19"/>
        </w:rPr>
        <w:t xml:space="preserve"> zadeklarowało jedynie 25,6% respondentów w wieku 60-69 lat, podczas gdy dla ogółu badanych odsetek uczestników kształtował się na poziomie 45,9% (</w:t>
      </w:r>
      <w:r w:rsidRPr="00120DDD">
        <w:rPr>
          <w:rFonts w:ascii="Fira Sans" w:hAnsi="Fira Sans" w:cs="Times New Roman"/>
          <w:i/>
          <w:sz w:val="19"/>
          <w:szCs w:val="19"/>
        </w:rPr>
        <w:t>tabl. 9.1</w:t>
      </w:r>
      <w:r w:rsidR="00120DDD">
        <w:rPr>
          <w:rFonts w:ascii="Fira Sans" w:hAnsi="Fira Sans" w:cs="Times New Roman"/>
          <w:sz w:val="19"/>
          <w:szCs w:val="19"/>
        </w:rPr>
        <w:t>). Postępujący wraz z </w:t>
      </w:r>
      <w:r w:rsidRPr="00120DDD">
        <w:rPr>
          <w:rFonts w:ascii="Fira Sans" w:hAnsi="Fira Sans" w:cs="Times New Roman"/>
          <w:sz w:val="19"/>
          <w:szCs w:val="19"/>
        </w:rPr>
        <w:t>wiekiem badanych spadek uczestnictwa w działaniach edukacyjnych miał miejsce we wszystkich analizowanych kategoriach działań edukacyjnych – obok zrozumiałego zmniejszenia udziału osób podejmujących naukę w systemie formalnym (systemie szkolnym oraz studiów wyższych), niska aktywność została odnotowana w przypadku działań z zakresu edukacji pozaforma</w:t>
      </w:r>
      <w:r w:rsidR="00DD3EFC" w:rsidRPr="00120DDD">
        <w:rPr>
          <w:rFonts w:ascii="Fira Sans" w:hAnsi="Fira Sans" w:cs="Times New Roman"/>
          <w:sz w:val="19"/>
          <w:szCs w:val="19"/>
        </w:rPr>
        <w:t>l</w:t>
      </w:r>
      <w:r w:rsidRPr="00120DDD">
        <w:rPr>
          <w:rFonts w:ascii="Fira Sans" w:hAnsi="Fira Sans" w:cs="Times New Roman"/>
          <w:sz w:val="19"/>
          <w:szCs w:val="19"/>
        </w:rPr>
        <w:t>nej (zorganizowanych pozaszkolnych działań edukacyjnych, m.in. kursów, szkoleń, seminariów) oraz uczenia się nieformalnego, rozumianego jako samodzielne zdobywanie kompetencji, w celu poszerzania wiedzy i umiejętności.</w:t>
      </w:r>
    </w:p>
    <w:p w:rsidR="00223A6E" w:rsidRPr="00120DDD" w:rsidRDefault="00223A6E" w:rsidP="00223A6E">
      <w:pPr>
        <w:spacing w:after="120" w:line="360" w:lineRule="auto"/>
        <w:ind w:firstLine="708"/>
        <w:jc w:val="both"/>
        <w:rPr>
          <w:rFonts w:ascii="Fira Sans" w:hAnsi="Fira Sans" w:cs="Times New Roman"/>
          <w:sz w:val="19"/>
          <w:szCs w:val="19"/>
        </w:rPr>
      </w:pPr>
      <w:r w:rsidRPr="00120DDD">
        <w:rPr>
          <w:rFonts w:ascii="Fira Sans" w:hAnsi="Fira Sans" w:cs="Times New Roman"/>
          <w:sz w:val="19"/>
          <w:szCs w:val="19"/>
        </w:rPr>
        <w:t>Badaniu, oprócz uczestnictwa w działaniach edukacyjnych, poddana została również znajomość języków obcych, zdefiniowana jako deklarowana przez respondenta zdolność co najmniej do zrozumienia najczęściej stosowanych codziennych wyrażeń, oraz umiejętność używania</w:t>
      </w:r>
      <w:r w:rsidR="00120DDD">
        <w:rPr>
          <w:rFonts w:ascii="Fira Sans" w:hAnsi="Fira Sans" w:cs="Times New Roman"/>
          <w:sz w:val="19"/>
          <w:szCs w:val="19"/>
        </w:rPr>
        <w:t xml:space="preserve"> tego języka w odniesieniu do </w:t>
      </w:r>
      <w:r w:rsidRPr="00120DDD">
        <w:rPr>
          <w:rFonts w:ascii="Fira Sans" w:hAnsi="Fira Sans" w:cs="Times New Roman"/>
          <w:sz w:val="19"/>
          <w:szCs w:val="19"/>
        </w:rPr>
        <w:t>znanych rzeczy i sytuacji. W 2016 r. respondenci w wieku 60-69 lat posługujący się przynajmniej jednym językiem obcym stanowili 50,7% osób w tej grupie wieku (tabl. 9.2), co oznaczało wzrost poziomu upowszechnienia języków obcych wśród osób starszych (o 6,7 p. proc</w:t>
      </w:r>
      <w:r w:rsidR="0058575A" w:rsidRPr="00120DDD">
        <w:rPr>
          <w:rFonts w:ascii="Fira Sans" w:hAnsi="Fira Sans" w:cs="Times New Roman"/>
          <w:sz w:val="19"/>
          <w:szCs w:val="19"/>
        </w:rPr>
        <w:t>.</w:t>
      </w:r>
      <w:r w:rsidRPr="00120DDD">
        <w:rPr>
          <w:rFonts w:ascii="Fira Sans" w:hAnsi="Fira Sans" w:cs="Times New Roman"/>
          <w:sz w:val="19"/>
          <w:szCs w:val="19"/>
        </w:rPr>
        <w:t xml:space="preserve"> w porównaniu do 2011 r.). </w:t>
      </w:r>
    </w:p>
    <w:p w:rsidR="00223A6E" w:rsidRPr="00120DDD" w:rsidRDefault="00223A6E" w:rsidP="00223A6E">
      <w:pPr>
        <w:spacing w:after="120" w:line="360" w:lineRule="auto"/>
        <w:ind w:firstLine="708"/>
        <w:jc w:val="both"/>
        <w:rPr>
          <w:rFonts w:ascii="Fira Sans" w:hAnsi="Fira Sans" w:cs="Times New Roman"/>
          <w:sz w:val="19"/>
          <w:szCs w:val="19"/>
        </w:rPr>
      </w:pPr>
      <w:r w:rsidRPr="00120DDD">
        <w:rPr>
          <w:rFonts w:ascii="Fira Sans" w:hAnsi="Fira Sans" w:cs="Times New Roman"/>
          <w:sz w:val="19"/>
          <w:szCs w:val="19"/>
        </w:rPr>
        <w:t>Jedną z form działań edukacyjnych, prowadzonych z myślą o aktywizowaniu osób starszych stanowią Uniwersytety Trzeciego Wieku (UTW), których funkcjonowanie zostało objęte ogólnopolskim badaniem, przeprowadzonym przez Główny Urząd Statystyczny w listopadzie 2015 roku</w:t>
      </w:r>
      <w:r w:rsidRPr="00120DDD">
        <w:rPr>
          <w:rStyle w:val="Odwoanieprzypisudolnego"/>
          <w:rFonts w:ascii="Fira Sans" w:hAnsi="Fira Sans" w:cs="Times New Roman"/>
          <w:sz w:val="19"/>
          <w:szCs w:val="19"/>
        </w:rPr>
        <w:footnoteReference w:id="11"/>
      </w:r>
      <w:r w:rsidRPr="00120DDD">
        <w:rPr>
          <w:rFonts w:ascii="Fira Sans" w:hAnsi="Fira Sans" w:cs="Times New Roman"/>
          <w:sz w:val="19"/>
          <w:szCs w:val="19"/>
        </w:rPr>
        <w:t>. Najliczniejszą grupę wśród słuchaczy UTW powyżej 59 roku życia stanowiły osoby w wieku 60-</w:t>
      </w:r>
      <w:r w:rsidR="00DD3EFC" w:rsidRPr="00120DDD">
        <w:rPr>
          <w:rFonts w:ascii="Fira Sans" w:hAnsi="Fira Sans" w:cs="Times New Roman"/>
          <w:sz w:val="19"/>
          <w:szCs w:val="19"/>
        </w:rPr>
        <w:t>65</w:t>
      </w:r>
      <w:r w:rsidRPr="00120DDD">
        <w:rPr>
          <w:rFonts w:ascii="Fira Sans" w:hAnsi="Fira Sans" w:cs="Times New Roman"/>
          <w:sz w:val="19"/>
          <w:szCs w:val="19"/>
        </w:rPr>
        <w:t xml:space="preserve"> lat – 37,4%, podczas gdy najstarsi uczestnicy - powyżej 75 roku życia -  stanowili 12,3% słuchaczy (</w:t>
      </w:r>
      <w:r w:rsidRPr="00120DDD">
        <w:rPr>
          <w:rFonts w:ascii="Fira Sans" w:hAnsi="Fira Sans" w:cs="Times New Roman"/>
          <w:i/>
          <w:sz w:val="19"/>
          <w:szCs w:val="19"/>
        </w:rPr>
        <w:t>tabl. 9.3</w:t>
      </w:r>
      <w:r w:rsidRPr="00120DDD">
        <w:rPr>
          <w:rFonts w:ascii="Fira Sans" w:hAnsi="Fira Sans" w:cs="Times New Roman"/>
          <w:sz w:val="19"/>
          <w:szCs w:val="19"/>
        </w:rPr>
        <w:t>). Oferta UTW, obejmująca m.in. lektoraty językowe, zajęcia komputerowe oraz zajęcia z zakresu korzystania z nowoczesnych technologii informacyjnych stanowi istotny wkład w zwiększanie uczestnictwa osób starszych w działaniach edukacyjnych, wpisujących się ideę uczenia się przez całe ży</w:t>
      </w:r>
      <w:r w:rsidR="00120DDD">
        <w:rPr>
          <w:rFonts w:ascii="Fira Sans" w:hAnsi="Fira Sans" w:cs="Times New Roman"/>
          <w:sz w:val="19"/>
          <w:szCs w:val="19"/>
        </w:rPr>
        <w:t>cie</w:t>
      </w:r>
      <w:r w:rsidR="006071DA">
        <w:rPr>
          <w:rFonts w:ascii="Fira Sans" w:hAnsi="Fira Sans" w:cs="Times New Roman"/>
          <w:sz w:val="19"/>
          <w:szCs w:val="19"/>
        </w:rPr>
        <w:t>. W</w:t>
      </w:r>
      <w:r w:rsidR="00120DDD">
        <w:rPr>
          <w:rFonts w:ascii="Fira Sans" w:hAnsi="Fira Sans" w:cs="Times New Roman"/>
          <w:sz w:val="19"/>
          <w:szCs w:val="19"/>
        </w:rPr>
        <w:t xml:space="preserve">ciąż </w:t>
      </w:r>
      <w:r w:rsidR="006071DA">
        <w:rPr>
          <w:rFonts w:ascii="Fira Sans" w:hAnsi="Fira Sans" w:cs="Times New Roman"/>
          <w:sz w:val="19"/>
          <w:szCs w:val="19"/>
        </w:rPr>
        <w:t xml:space="preserve">jednak </w:t>
      </w:r>
      <w:r w:rsidR="00120DDD">
        <w:rPr>
          <w:rFonts w:ascii="Fira Sans" w:hAnsi="Fira Sans" w:cs="Times New Roman"/>
          <w:sz w:val="19"/>
          <w:szCs w:val="19"/>
        </w:rPr>
        <w:t>słuchacze 464 </w:t>
      </w:r>
      <w:r w:rsidRPr="00120DDD">
        <w:rPr>
          <w:rFonts w:ascii="Fira Sans" w:hAnsi="Fira Sans" w:cs="Times New Roman"/>
          <w:sz w:val="19"/>
          <w:szCs w:val="19"/>
        </w:rPr>
        <w:t>objętych badaniem UTW stanowią zaledwie 1% ludności w wieku 60 lat i więcej.</w:t>
      </w:r>
    </w:p>
    <w:p w:rsidR="00195A21" w:rsidRPr="00120DDD" w:rsidRDefault="00195A21" w:rsidP="00123C07">
      <w:pPr>
        <w:pStyle w:val="Nagwek2"/>
        <w:rPr>
          <w:rFonts w:ascii="Fira Sans" w:hAnsi="Fira Sans"/>
          <w:sz w:val="24"/>
          <w:szCs w:val="24"/>
        </w:rPr>
      </w:pPr>
      <w:bookmarkStart w:id="23" w:name="_Toc456009398"/>
      <w:r w:rsidRPr="00120DDD">
        <w:rPr>
          <w:rFonts w:ascii="Fira Sans" w:hAnsi="Fira Sans"/>
          <w:sz w:val="24"/>
          <w:szCs w:val="24"/>
        </w:rPr>
        <w:t>Uczestnictwo w kulturze osób w wieku 60 lat lub więcej</w:t>
      </w:r>
      <w:bookmarkEnd w:id="23"/>
    </w:p>
    <w:p w:rsidR="00C25B03" w:rsidRPr="00120DDD" w:rsidRDefault="00C25B03" w:rsidP="00C25B03">
      <w:pPr>
        <w:spacing w:before="240" w:after="120" w:line="360" w:lineRule="auto"/>
        <w:ind w:firstLine="709"/>
        <w:jc w:val="both"/>
        <w:rPr>
          <w:rFonts w:ascii="Fira Sans" w:hAnsi="Fira Sans" w:cs="Times New Roman"/>
          <w:sz w:val="19"/>
          <w:szCs w:val="19"/>
        </w:rPr>
      </w:pPr>
      <w:bookmarkStart w:id="24" w:name="_Toc456009399"/>
      <w:r w:rsidRPr="00120DDD">
        <w:rPr>
          <w:rFonts w:ascii="Fira Sans" w:hAnsi="Fira Sans" w:cs="Times New Roman"/>
          <w:sz w:val="19"/>
          <w:szCs w:val="19"/>
        </w:rPr>
        <w:t>W 2017 r. osoby w wieku 60 lat lub więcej stanowiły 13,3% ogółu czytelników zarejestrowanych w bibliotekach publicznych, tj. takich, którzy dokonali co najmniej 1 wypożyczenia w roku sprawozdawczym (</w:t>
      </w:r>
      <w:r w:rsidRPr="00120DDD">
        <w:rPr>
          <w:rFonts w:ascii="Fira Sans" w:hAnsi="Fira Sans" w:cs="Times New Roman"/>
          <w:i/>
          <w:sz w:val="19"/>
          <w:szCs w:val="19"/>
        </w:rPr>
        <w:t>tabl. 9.4</w:t>
      </w:r>
      <w:r w:rsidRPr="00120DDD">
        <w:rPr>
          <w:rFonts w:ascii="Fira Sans" w:hAnsi="Fira Sans" w:cs="Times New Roman"/>
          <w:sz w:val="19"/>
          <w:szCs w:val="19"/>
        </w:rPr>
        <w:t>).</w:t>
      </w:r>
    </w:p>
    <w:p w:rsidR="00C25B03" w:rsidRPr="00120DDD" w:rsidRDefault="00C25B03" w:rsidP="00120DDD">
      <w:pPr>
        <w:spacing w:after="120" w:line="360" w:lineRule="auto"/>
        <w:ind w:firstLine="709"/>
        <w:jc w:val="both"/>
        <w:rPr>
          <w:rFonts w:ascii="Fira Sans" w:hAnsi="Fira Sans" w:cs="Times New Roman"/>
          <w:sz w:val="19"/>
          <w:szCs w:val="19"/>
        </w:rPr>
      </w:pPr>
      <w:r w:rsidRPr="00120DDD">
        <w:rPr>
          <w:rFonts w:ascii="Fira Sans" w:hAnsi="Fira Sans" w:cs="Times New Roman"/>
          <w:sz w:val="19"/>
          <w:szCs w:val="19"/>
        </w:rPr>
        <w:lastRenderedPageBreak/>
        <w:t>Osoby starsze biorą aktywny udział w formach działalności kulturalnej organizowanych przez centra kultury, domy i ośrodki kultury oraz kluby i świetlice (</w:t>
      </w:r>
      <w:r w:rsidRPr="00120DDD">
        <w:rPr>
          <w:rFonts w:ascii="Fira Sans" w:hAnsi="Fira Sans" w:cs="Times New Roman"/>
          <w:i/>
          <w:sz w:val="19"/>
          <w:szCs w:val="19"/>
        </w:rPr>
        <w:t>tabl. 9.5</w:t>
      </w:r>
      <w:r w:rsidRPr="00120DDD">
        <w:rPr>
          <w:rFonts w:ascii="Fira Sans" w:hAnsi="Fira Sans" w:cs="Times New Roman"/>
          <w:sz w:val="19"/>
          <w:szCs w:val="19"/>
        </w:rPr>
        <w:t>). W 2017 r. osoby w wieku 60 lat lub więcej stanowiły 18,0% ogólnej liczby członków grup i zespołów artystycznych działających w tych instytucjach (w miastach – 17,1%, a na wsi – 19,3%). W gronie osób wchodzących w skład zespołów wokalnych i chórów 38,3% to osoby w wieku 60 lat lub więcej (w miastach – 39,8%, a na wsi – 35,7%), a</w:t>
      </w:r>
      <w:r w:rsidR="00120DDD">
        <w:rPr>
          <w:rFonts w:ascii="Fira Sans" w:hAnsi="Fira Sans" w:cs="Times New Roman"/>
          <w:sz w:val="19"/>
          <w:szCs w:val="19"/>
        </w:rPr>
        <w:t> </w:t>
      </w:r>
      <w:r w:rsidRPr="00120DDD">
        <w:rPr>
          <w:rFonts w:ascii="Fira Sans" w:hAnsi="Fira Sans" w:cs="Times New Roman"/>
          <w:sz w:val="19"/>
          <w:szCs w:val="19"/>
        </w:rPr>
        <w:t>członkowie zespołów folklorystycznych w tym wieku stanowili 32,6% ogólnej liczby członków takich zespołów (w miastach – 29,3%, a na wsi – 35,2%).</w:t>
      </w:r>
    </w:p>
    <w:p w:rsidR="00C25B03" w:rsidRPr="00120DDD" w:rsidRDefault="00C25B03" w:rsidP="00C25B03">
      <w:pPr>
        <w:spacing w:after="120" w:line="360" w:lineRule="auto"/>
        <w:ind w:firstLine="708"/>
        <w:jc w:val="both"/>
        <w:rPr>
          <w:rFonts w:ascii="Fira Sans" w:hAnsi="Fira Sans" w:cs="Times New Roman"/>
          <w:sz w:val="19"/>
          <w:szCs w:val="19"/>
        </w:rPr>
      </w:pPr>
      <w:r w:rsidRPr="00120DDD">
        <w:rPr>
          <w:rFonts w:ascii="Fira Sans" w:hAnsi="Fira Sans" w:cs="Times New Roman"/>
          <w:sz w:val="19"/>
          <w:szCs w:val="19"/>
        </w:rPr>
        <w:t xml:space="preserve">Aktywny udział osób w wieku 60 lat lub więcej odnotowano w ramach działalności różnorodnych kół zainteresowań, klubów i sekcji we wspomnianych instytucjach kultury. Osoby starsze liczyły blisko 1/3 uczestników tych stałych form działalności (31,8%), choć ich udział był mocno zróżnicowany w zależności od tematyki i formy organizowanych zajęć. Osoby w wieku 60 lat lub więcej stanowiły 54,5% uczestników zajęć kół gospodyń, 31,7% osób biorących udział w spotkaniach dyskusyjnych klubów filmowych, 35,7% - uczestników zajęć informatycznych, a 31,9% - członków kół literackich. </w:t>
      </w:r>
    </w:p>
    <w:p w:rsidR="00C25B03" w:rsidRPr="00120DDD" w:rsidRDefault="00C25B03" w:rsidP="00C25B03">
      <w:pPr>
        <w:spacing w:after="120" w:line="360" w:lineRule="auto"/>
        <w:ind w:firstLine="708"/>
        <w:jc w:val="both"/>
        <w:rPr>
          <w:rFonts w:ascii="Fira Sans" w:hAnsi="Fira Sans" w:cs="Times New Roman"/>
          <w:sz w:val="19"/>
          <w:szCs w:val="19"/>
        </w:rPr>
      </w:pPr>
      <w:r w:rsidRPr="00120DDD">
        <w:rPr>
          <w:rFonts w:ascii="Fira Sans" w:hAnsi="Fira Sans" w:cs="Times New Roman"/>
          <w:sz w:val="19"/>
          <w:szCs w:val="19"/>
        </w:rPr>
        <w:t>Osoby starsze korzystały także z kursów oferowanych przez instytucje kultury, a w gronie absolwentów kursów było 18,2% osób w wieku 60 lat lub więcej. Warto zwrócić uwagę na istotny odsetek osób w wieku 60 lat lub więcej wśród absolwentów kursów komputerowych – 65,8% (w miastach – 70,1%, a na wsi – 59,0%), a także kursów języków obcych – 24,9% i wiedzy praktycznej – 23,</w:t>
      </w:r>
      <w:r w:rsidR="001F6BBC" w:rsidRPr="00120DDD">
        <w:rPr>
          <w:rFonts w:ascii="Fira Sans" w:hAnsi="Fira Sans" w:cs="Times New Roman"/>
          <w:sz w:val="19"/>
          <w:szCs w:val="19"/>
        </w:rPr>
        <w:t>0</w:t>
      </w:r>
      <w:r w:rsidRPr="00120DDD">
        <w:rPr>
          <w:rFonts w:ascii="Fira Sans" w:hAnsi="Fira Sans" w:cs="Times New Roman"/>
          <w:sz w:val="19"/>
          <w:szCs w:val="19"/>
        </w:rPr>
        <w:t>%.</w:t>
      </w:r>
    </w:p>
    <w:p w:rsidR="00C25B03" w:rsidRPr="00120DDD" w:rsidRDefault="00C25B03" w:rsidP="00C25B03">
      <w:pPr>
        <w:spacing w:after="120" w:line="360" w:lineRule="auto"/>
        <w:ind w:firstLine="708"/>
        <w:jc w:val="both"/>
        <w:rPr>
          <w:rFonts w:ascii="Fira Sans" w:hAnsi="Fira Sans" w:cs="Times New Roman"/>
          <w:sz w:val="19"/>
          <w:szCs w:val="19"/>
        </w:rPr>
      </w:pPr>
      <w:r w:rsidRPr="00120DDD">
        <w:rPr>
          <w:rFonts w:ascii="Fira Sans" w:hAnsi="Fira Sans" w:cs="Times New Roman"/>
          <w:sz w:val="19"/>
          <w:szCs w:val="19"/>
        </w:rPr>
        <w:t>Z badania uczestnictwa ludności w kulturze w 2014 r. (</w:t>
      </w:r>
      <w:r w:rsidRPr="00120DDD">
        <w:rPr>
          <w:rFonts w:ascii="Fira Sans" w:hAnsi="Fira Sans" w:cs="Times New Roman"/>
          <w:i/>
          <w:sz w:val="19"/>
          <w:szCs w:val="19"/>
        </w:rPr>
        <w:t>tabl. 9.6</w:t>
      </w:r>
      <w:r w:rsidRPr="00120DDD">
        <w:rPr>
          <w:rFonts w:ascii="Fira Sans" w:hAnsi="Fira Sans" w:cs="Times New Roman"/>
          <w:sz w:val="19"/>
          <w:szCs w:val="19"/>
        </w:rPr>
        <w:t xml:space="preserve">) wynika, że aktywność kulturalna osób w wieku 60 lat lub więcej była znacznie niższa w większości form uczestnictwa niż całej badanej zbiorowości (w wieku 15 lat lub więcej). Jedynie w przypadku czytelnictwa prasy odnotowano wyższe odsetki osób starszych niż całej populacji (czytanie gazet 73,7% wobec 71,0% i czasopism – 76,0% wobec 74,8%), a także w grupie osób deklarujących oglądanie telewizji (98,3% </w:t>
      </w:r>
      <w:r w:rsidR="00120DDD">
        <w:rPr>
          <w:rFonts w:ascii="Fira Sans" w:hAnsi="Fira Sans" w:cs="Times New Roman"/>
          <w:sz w:val="19"/>
          <w:szCs w:val="19"/>
        </w:rPr>
        <w:t>wobec 97,6%) oraz chodzących na </w:t>
      </w:r>
      <w:r w:rsidRPr="00120DDD">
        <w:rPr>
          <w:rFonts w:ascii="Fira Sans" w:hAnsi="Fira Sans" w:cs="Times New Roman"/>
          <w:sz w:val="19"/>
          <w:szCs w:val="19"/>
        </w:rPr>
        <w:t>przedstawienia operowe i do operetki (6,7% wobec 5,3%) i na koncerty filharmoniczne (6,2% wobec 6,0%). Istotne różnice wskazujące na niższą aktywność osób starszych odnotowano w przypadku słuchania muzyki – 80,9% badanej populacji w wieku 15 lat lub więcej deklarowało słuchanie muzyki, a 68,8% osób w wieku 60 lat lub więcej, uczęszczania do kina - 45,0% wobec 21,8%, a także korzystania z komputera (62,5% wobec 25,6%) i Internetu (62,2% wobec 25,1%).</w:t>
      </w:r>
    </w:p>
    <w:p w:rsidR="00C25B03" w:rsidRPr="00120DDD" w:rsidRDefault="00C25B03" w:rsidP="00C25B03">
      <w:pPr>
        <w:spacing w:after="120" w:line="360" w:lineRule="auto"/>
        <w:ind w:firstLine="708"/>
        <w:jc w:val="both"/>
        <w:rPr>
          <w:rFonts w:ascii="Fira Sans" w:hAnsi="Fira Sans" w:cs="Times New Roman"/>
          <w:sz w:val="19"/>
          <w:szCs w:val="19"/>
        </w:rPr>
      </w:pPr>
      <w:r w:rsidRPr="00120DDD">
        <w:rPr>
          <w:rFonts w:ascii="Fira Sans" w:hAnsi="Fira Sans" w:cs="Times New Roman"/>
          <w:sz w:val="19"/>
          <w:szCs w:val="19"/>
        </w:rPr>
        <w:t>Udział osób starszych mieszkających w miastach był wyżs</w:t>
      </w:r>
      <w:r w:rsidR="00120DDD">
        <w:rPr>
          <w:rFonts w:ascii="Fira Sans" w:hAnsi="Fira Sans" w:cs="Times New Roman"/>
          <w:sz w:val="19"/>
          <w:szCs w:val="19"/>
        </w:rPr>
        <w:t>zy niż wśród mieszkańców wsi we </w:t>
      </w:r>
      <w:r w:rsidRPr="00120DDD">
        <w:rPr>
          <w:rFonts w:ascii="Fira Sans" w:hAnsi="Fira Sans" w:cs="Times New Roman"/>
          <w:sz w:val="19"/>
          <w:szCs w:val="19"/>
        </w:rPr>
        <w:t>wszystkich formach aktywności kulturalnej, co wynika przede wszys</w:t>
      </w:r>
      <w:r w:rsidR="00120DDD">
        <w:rPr>
          <w:rFonts w:ascii="Fira Sans" w:hAnsi="Fira Sans" w:cs="Times New Roman"/>
          <w:sz w:val="19"/>
          <w:szCs w:val="19"/>
        </w:rPr>
        <w:t>tkim z trudniejszego dostępu do </w:t>
      </w:r>
      <w:r w:rsidRPr="00120DDD">
        <w:rPr>
          <w:rFonts w:ascii="Fira Sans" w:hAnsi="Fira Sans" w:cs="Times New Roman"/>
          <w:sz w:val="19"/>
          <w:szCs w:val="19"/>
        </w:rPr>
        <w:t>kultury ludności wiejskiej, w szczególności do instytucji artystycznych.</w:t>
      </w:r>
    </w:p>
    <w:p w:rsidR="00C25B03" w:rsidRPr="00120DDD" w:rsidRDefault="00C25B03" w:rsidP="00C25B03">
      <w:pPr>
        <w:spacing w:after="120" w:line="360" w:lineRule="auto"/>
        <w:ind w:firstLine="708"/>
        <w:jc w:val="both"/>
        <w:rPr>
          <w:rFonts w:ascii="Fira Sans" w:hAnsi="Fira Sans" w:cs="Times New Roman"/>
          <w:sz w:val="19"/>
          <w:szCs w:val="19"/>
        </w:rPr>
      </w:pPr>
      <w:r w:rsidRPr="00120DDD">
        <w:rPr>
          <w:rFonts w:ascii="Fira Sans" w:hAnsi="Fira Sans" w:cs="Times New Roman"/>
          <w:sz w:val="19"/>
          <w:szCs w:val="19"/>
        </w:rPr>
        <w:t>Wśród osób w wieku 60 lat lub więcej, podobnie jak w całej badanej populacji,  w większości form aktywności kulturalnej bardziej aktywne były kobiety niż mężczyźni. Więcej kobiet niż mężczyzn czytało książki (54,9% wobec 40,7%) i czasopisma (78,5% wobec 71,6%) oraz uczęs</w:t>
      </w:r>
      <w:r w:rsidR="00120DDD">
        <w:rPr>
          <w:rFonts w:ascii="Fira Sans" w:hAnsi="Fira Sans" w:cs="Times New Roman"/>
          <w:sz w:val="19"/>
          <w:szCs w:val="19"/>
        </w:rPr>
        <w:t>zczało do instytucji kultury. Z </w:t>
      </w:r>
      <w:r w:rsidRPr="00120DDD">
        <w:rPr>
          <w:rFonts w:ascii="Fira Sans" w:hAnsi="Fira Sans" w:cs="Times New Roman"/>
          <w:sz w:val="19"/>
          <w:szCs w:val="19"/>
        </w:rPr>
        <w:t xml:space="preserve">kolei więcej mężczyzn niż kobiet czytało gazety (77,7% wobec 71,4%) oraz korzystało z komputera (29,9% wobec 23,2%) i Internetu (29,6% wobec 22,6%). </w:t>
      </w:r>
    </w:p>
    <w:p w:rsidR="0069761C" w:rsidRPr="00120DDD" w:rsidRDefault="0069761C" w:rsidP="0069761C">
      <w:pPr>
        <w:pStyle w:val="Nagwek2"/>
        <w:rPr>
          <w:rFonts w:ascii="Fira Sans" w:hAnsi="Fira Sans"/>
          <w:sz w:val="24"/>
          <w:szCs w:val="24"/>
        </w:rPr>
      </w:pPr>
      <w:r w:rsidRPr="00120DDD">
        <w:rPr>
          <w:rFonts w:ascii="Fira Sans" w:hAnsi="Fira Sans"/>
          <w:sz w:val="24"/>
          <w:szCs w:val="24"/>
        </w:rPr>
        <w:t>Uczestnictwo osób starszych w podróżach</w:t>
      </w:r>
    </w:p>
    <w:p w:rsidR="0069761C" w:rsidRPr="00120DDD" w:rsidRDefault="0069761C" w:rsidP="0069761C">
      <w:pPr>
        <w:spacing w:before="240" w:after="120" w:line="360" w:lineRule="auto"/>
        <w:ind w:firstLine="709"/>
        <w:jc w:val="both"/>
        <w:rPr>
          <w:rFonts w:ascii="Fira Sans" w:hAnsi="Fira Sans" w:cs="Times New Roman"/>
          <w:sz w:val="19"/>
          <w:szCs w:val="19"/>
        </w:rPr>
      </w:pPr>
      <w:r w:rsidRPr="00120DDD">
        <w:rPr>
          <w:rFonts w:ascii="Fira Sans" w:hAnsi="Fira Sans" w:cs="Times New Roman"/>
          <w:sz w:val="19"/>
          <w:szCs w:val="19"/>
        </w:rPr>
        <w:t xml:space="preserve">W 2017 r. odsetek kobiet w wieku 60 lat lub więcej, które uczestniczyły w podróżach (krajowych i/lub zagranicznych) z co najmniej 1 noclegiem w celu prywatnym (wypoczynek, rekreacja i wakacje, </w:t>
      </w:r>
      <w:r w:rsidRPr="00120DDD">
        <w:rPr>
          <w:rFonts w:ascii="Fira Sans" w:hAnsi="Fira Sans" w:cs="Times New Roman"/>
          <w:sz w:val="19"/>
          <w:szCs w:val="19"/>
        </w:rPr>
        <w:lastRenderedPageBreak/>
        <w:t>odwiedziny u krewnych lub znajomych, zdrowotny, religijny, pielgrzymka, edukacyjny, zakupy) – stanowił 6,9% populacji mieszkańców Polski w wieku 15 lat lub więcej. W przypadku mężczyzn odsetek ten wyniósł 5,4%. Osoby w wieku 60 lat lub więcej uczestniczące w podróżach (krajowych i/lub zagranicznych) z co najmniej 1 noclegiem w celu prywatnym stanowiły w 2017 r. 8,9% mieszkańców miast w wieku</w:t>
      </w:r>
      <w:r w:rsidR="006071DA">
        <w:rPr>
          <w:rFonts w:ascii="Fira Sans" w:hAnsi="Fira Sans" w:cs="Times New Roman"/>
          <w:sz w:val="19"/>
          <w:szCs w:val="19"/>
        </w:rPr>
        <w:t xml:space="preserve"> </w:t>
      </w:r>
      <w:r w:rsidRPr="00120DDD">
        <w:rPr>
          <w:rFonts w:ascii="Fira Sans" w:hAnsi="Fira Sans" w:cs="Times New Roman"/>
          <w:sz w:val="19"/>
          <w:szCs w:val="19"/>
        </w:rPr>
        <w:t xml:space="preserve">15 lat lub więcej oraz zaledwie 3,4% mieszkańców wsi </w:t>
      </w:r>
      <w:r w:rsidRPr="00120DDD">
        <w:rPr>
          <w:rFonts w:ascii="Fira Sans" w:hAnsi="Fira Sans" w:cs="Times New Roman"/>
          <w:i/>
          <w:sz w:val="19"/>
          <w:szCs w:val="19"/>
        </w:rPr>
        <w:t>(tabl.10.1)</w:t>
      </w:r>
      <w:r w:rsidRPr="00120DDD">
        <w:rPr>
          <w:rFonts w:ascii="Fira Sans" w:hAnsi="Fira Sans" w:cs="Times New Roman"/>
          <w:sz w:val="19"/>
          <w:szCs w:val="19"/>
        </w:rPr>
        <w:t>.</w:t>
      </w:r>
    </w:p>
    <w:p w:rsidR="001943E7" w:rsidRPr="00120DDD" w:rsidRDefault="00043B6C" w:rsidP="00123C07">
      <w:pPr>
        <w:pStyle w:val="Nagwek2"/>
        <w:rPr>
          <w:rFonts w:ascii="Fira Sans" w:hAnsi="Fira Sans"/>
          <w:sz w:val="24"/>
          <w:szCs w:val="24"/>
        </w:rPr>
      </w:pPr>
      <w:bookmarkStart w:id="25" w:name="_Toc456009400"/>
      <w:bookmarkEnd w:id="24"/>
      <w:r w:rsidRPr="00120DDD">
        <w:rPr>
          <w:rFonts w:ascii="Fira Sans" w:hAnsi="Fira Sans"/>
          <w:sz w:val="24"/>
          <w:szCs w:val="24"/>
        </w:rPr>
        <w:t>Aktywność sportowa</w:t>
      </w:r>
      <w:bookmarkEnd w:id="25"/>
      <w:r w:rsidRPr="00120DDD">
        <w:rPr>
          <w:rFonts w:ascii="Fira Sans" w:hAnsi="Fira Sans"/>
          <w:sz w:val="24"/>
          <w:szCs w:val="24"/>
        </w:rPr>
        <w:t xml:space="preserve"> </w:t>
      </w:r>
    </w:p>
    <w:p w:rsidR="00481F67" w:rsidRPr="00120DDD" w:rsidRDefault="00410C03" w:rsidP="00481F67">
      <w:pPr>
        <w:spacing w:before="240" w:after="120" w:line="360" w:lineRule="auto"/>
        <w:ind w:firstLine="709"/>
        <w:jc w:val="both"/>
        <w:rPr>
          <w:rFonts w:ascii="Fira Sans" w:hAnsi="Fira Sans" w:cs="Times New Roman"/>
          <w:sz w:val="19"/>
          <w:szCs w:val="19"/>
        </w:rPr>
      </w:pPr>
      <w:r w:rsidRPr="00120DDD">
        <w:rPr>
          <w:rFonts w:ascii="Fira Sans" w:hAnsi="Fira Sans" w:cs="Times New Roman"/>
          <w:sz w:val="19"/>
          <w:szCs w:val="19"/>
        </w:rPr>
        <w:t>W 2016 r. o</w:t>
      </w:r>
      <w:r w:rsidR="00481F67" w:rsidRPr="00120DDD">
        <w:rPr>
          <w:rFonts w:ascii="Fira Sans" w:hAnsi="Fira Sans" w:cs="Times New Roman"/>
          <w:sz w:val="19"/>
          <w:szCs w:val="19"/>
        </w:rPr>
        <w:t>soby w wieku 60 lub więcej lat stosunkowo rzadko uczestniczyły w zajęciach sportowych lub rekreacji ruchowej – jedynie co czwarta osoba (25,1%) wśród ogółu tej grupy wiekowej podjęła takie uczestnictwo (</w:t>
      </w:r>
      <w:r w:rsidR="00481F67" w:rsidRPr="00120DDD">
        <w:rPr>
          <w:rFonts w:ascii="Fira Sans" w:hAnsi="Fira Sans" w:cs="Times New Roman"/>
          <w:i/>
          <w:sz w:val="19"/>
          <w:szCs w:val="19"/>
        </w:rPr>
        <w:t>tabl.10.2</w:t>
      </w:r>
      <w:r w:rsidR="00481F67" w:rsidRPr="00120DDD">
        <w:rPr>
          <w:rFonts w:ascii="Fira Sans" w:hAnsi="Fira Sans" w:cs="Times New Roman"/>
          <w:sz w:val="19"/>
          <w:szCs w:val="19"/>
        </w:rPr>
        <w:t>). Deklaracja o uczestnictwie regularnym</w:t>
      </w:r>
      <w:r w:rsidR="006071DA">
        <w:rPr>
          <w:rFonts w:ascii="Fira Sans" w:hAnsi="Fira Sans" w:cs="Times New Roman"/>
          <w:sz w:val="19"/>
          <w:szCs w:val="19"/>
        </w:rPr>
        <w:t>/</w:t>
      </w:r>
      <w:r w:rsidR="00481F67" w:rsidRPr="00120DDD">
        <w:rPr>
          <w:rFonts w:ascii="Fira Sans" w:hAnsi="Fira Sans" w:cs="Times New Roman"/>
          <w:sz w:val="19"/>
          <w:szCs w:val="19"/>
        </w:rPr>
        <w:t>częstym dotyczyła 10,6% osób starszych, natomiast 14,5% stanowiły deklaracje o sporadycznym udziale w sporcie lub rekreacji ruchowej. Mężczyźni w tej grupie wiekowej byli nieco bardziej aktywni sportowo-rekreacyjnie niż kobiety (o 4,5 p.</w:t>
      </w:r>
      <w:r w:rsidR="003059B0" w:rsidRPr="00120DDD">
        <w:rPr>
          <w:rFonts w:ascii="Fira Sans" w:hAnsi="Fira Sans" w:cs="Times New Roman"/>
          <w:sz w:val="19"/>
          <w:szCs w:val="19"/>
        </w:rPr>
        <w:t xml:space="preserve"> </w:t>
      </w:r>
      <w:r w:rsidR="00481F67" w:rsidRPr="00120DDD">
        <w:rPr>
          <w:rFonts w:ascii="Fira Sans" w:hAnsi="Fira Sans" w:cs="Times New Roman"/>
          <w:sz w:val="19"/>
          <w:szCs w:val="19"/>
        </w:rPr>
        <w:t>proc.).</w:t>
      </w:r>
    </w:p>
    <w:p w:rsidR="001943E7" w:rsidRPr="000A019D" w:rsidRDefault="001943E7" w:rsidP="000A019D">
      <w:pPr>
        <w:rPr>
          <w:rFonts w:ascii="Times New Roman" w:hAnsi="Times New Roman" w:cs="Times New Roman"/>
          <w:sz w:val="24"/>
          <w:szCs w:val="24"/>
        </w:rPr>
      </w:pPr>
    </w:p>
    <w:sectPr w:rsidR="001943E7" w:rsidRPr="000A019D" w:rsidSect="00A81427">
      <w:footerReference w:type="default" r:id="rId12"/>
      <w:pgSz w:w="11906" w:h="16838"/>
      <w:pgMar w:top="1417" w:right="1416"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D39" w:rsidRDefault="00D50D39" w:rsidP="00DE6CBA">
      <w:pPr>
        <w:spacing w:after="0" w:line="240" w:lineRule="auto"/>
      </w:pPr>
      <w:r>
        <w:separator/>
      </w:r>
    </w:p>
  </w:endnote>
  <w:endnote w:type="continuationSeparator" w:id="0">
    <w:p w:rsidR="00D50D39" w:rsidRDefault="00D50D39" w:rsidP="00DE6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Fira Sans">
    <w:panose1 w:val="020B0503050000020004"/>
    <w:charset w:val="EE"/>
    <w:family w:val="swiss"/>
    <w:pitch w:val="variable"/>
    <w:sig w:usb0="600002FF"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216332"/>
      <w:docPartObj>
        <w:docPartGallery w:val="Page Numbers (Bottom of Page)"/>
        <w:docPartUnique/>
      </w:docPartObj>
    </w:sdtPr>
    <w:sdtEndPr/>
    <w:sdtContent>
      <w:p w:rsidR="00536CBA" w:rsidRDefault="00E53CE6">
        <w:pPr>
          <w:pStyle w:val="Stopka"/>
          <w:jc w:val="center"/>
        </w:pPr>
        <w:r>
          <w:fldChar w:fldCharType="begin"/>
        </w:r>
        <w:r w:rsidR="00536CBA">
          <w:instrText>PAGE   \* MERGEFORMAT</w:instrText>
        </w:r>
        <w:r>
          <w:fldChar w:fldCharType="separate"/>
        </w:r>
        <w:r w:rsidR="00D7367D">
          <w:rPr>
            <w:noProof/>
          </w:rPr>
          <w:t>3</w:t>
        </w:r>
        <w:r>
          <w:fldChar w:fldCharType="end"/>
        </w:r>
      </w:p>
    </w:sdtContent>
  </w:sdt>
  <w:p w:rsidR="00536CBA" w:rsidRDefault="00536C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D39" w:rsidRDefault="00D50D39" w:rsidP="00DE6CBA">
      <w:pPr>
        <w:spacing w:after="0" w:line="240" w:lineRule="auto"/>
      </w:pPr>
      <w:r>
        <w:separator/>
      </w:r>
    </w:p>
  </w:footnote>
  <w:footnote w:type="continuationSeparator" w:id="0">
    <w:p w:rsidR="00D50D39" w:rsidRDefault="00D50D39" w:rsidP="00DE6CBA">
      <w:pPr>
        <w:spacing w:after="0" w:line="240" w:lineRule="auto"/>
      </w:pPr>
      <w:r>
        <w:continuationSeparator/>
      </w:r>
    </w:p>
  </w:footnote>
  <w:footnote w:id="1">
    <w:p w:rsidR="006E300C" w:rsidRPr="001E7D7C" w:rsidRDefault="006E300C" w:rsidP="006E300C">
      <w:pPr>
        <w:pStyle w:val="Tekstprzypisudolnego"/>
        <w:rPr>
          <w:rFonts w:ascii="Fira Sans" w:hAnsi="Fira Sans"/>
          <w:sz w:val="18"/>
          <w:szCs w:val="18"/>
        </w:rPr>
      </w:pPr>
      <w:r w:rsidRPr="001E7D7C">
        <w:rPr>
          <w:rStyle w:val="Odwoanieprzypisudolnego"/>
          <w:rFonts w:ascii="Fira Sans" w:hAnsi="Fira Sans"/>
          <w:sz w:val="18"/>
          <w:szCs w:val="18"/>
        </w:rPr>
        <w:footnoteRef/>
      </w:r>
      <w:r w:rsidRPr="001E7D7C">
        <w:rPr>
          <w:rFonts w:ascii="Fira Sans" w:hAnsi="Fira Sans"/>
          <w:sz w:val="18"/>
          <w:szCs w:val="18"/>
        </w:rPr>
        <w:t xml:space="preserve"> Wyniki badań bieżących</w:t>
      </w:r>
    </w:p>
  </w:footnote>
  <w:footnote w:id="2">
    <w:p w:rsidR="006E300C" w:rsidRPr="001E7D7C" w:rsidRDefault="006E300C" w:rsidP="006E300C">
      <w:pPr>
        <w:pStyle w:val="Tekstprzypisudolnego"/>
        <w:rPr>
          <w:rFonts w:ascii="Fira Sans" w:hAnsi="Fira Sans"/>
          <w:sz w:val="18"/>
          <w:szCs w:val="18"/>
        </w:rPr>
      </w:pPr>
      <w:r w:rsidRPr="001E7D7C">
        <w:rPr>
          <w:rStyle w:val="Odwoanieprzypisudolnego"/>
          <w:rFonts w:ascii="Fira Sans" w:hAnsi="Fira Sans"/>
          <w:sz w:val="18"/>
          <w:szCs w:val="18"/>
        </w:rPr>
        <w:footnoteRef/>
      </w:r>
      <w:r w:rsidRPr="001E7D7C">
        <w:rPr>
          <w:rFonts w:ascii="Fira Sans" w:hAnsi="Fira Sans"/>
          <w:sz w:val="18"/>
          <w:szCs w:val="18"/>
        </w:rPr>
        <w:t xml:space="preserve"> Liczba zgonów osób o danej płci i wieku na 1000 ludności tej płci i grupy wieku.</w:t>
      </w:r>
    </w:p>
  </w:footnote>
  <w:footnote w:id="3">
    <w:p w:rsidR="00536CBA" w:rsidRPr="0032059A" w:rsidRDefault="00536CBA">
      <w:pPr>
        <w:pStyle w:val="Tekstprzypisudolnego"/>
        <w:rPr>
          <w:rFonts w:ascii="Fira Sans" w:hAnsi="Fira Sans"/>
          <w:sz w:val="18"/>
          <w:szCs w:val="18"/>
        </w:rPr>
      </w:pPr>
      <w:r w:rsidRPr="0032059A">
        <w:rPr>
          <w:rStyle w:val="Odwoanieprzypisudolnego"/>
          <w:rFonts w:ascii="Fira Sans" w:hAnsi="Fira Sans"/>
          <w:sz w:val="18"/>
          <w:szCs w:val="18"/>
        </w:rPr>
        <w:footnoteRef/>
      </w:r>
      <w:r w:rsidRPr="0032059A">
        <w:rPr>
          <w:rFonts w:ascii="Fira Sans" w:hAnsi="Fira Sans"/>
          <w:sz w:val="18"/>
          <w:szCs w:val="18"/>
        </w:rPr>
        <w:t xml:space="preserve"> Wyniki NSP 2011</w:t>
      </w:r>
    </w:p>
  </w:footnote>
  <w:footnote w:id="4">
    <w:p w:rsidR="00536CBA" w:rsidRPr="0032059A" w:rsidRDefault="00536CBA">
      <w:pPr>
        <w:pStyle w:val="Tekstprzypisudolnego"/>
        <w:rPr>
          <w:rFonts w:ascii="Fira Sans" w:hAnsi="Fira Sans"/>
          <w:sz w:val="18"/>
          <w:szCs w:val="18"/>
        </w:rPr>
      </w:pPr>
      <w:r w:rsidRPr="0032059A">
        <w:rPr>
          <w:rStyle w:val="Odwoanieprzypisudolnego"/>
          <w:rFonts w:ascii="Fira Sans" w:hAnsi="Fira Sans"/>
          <w:sz w:val="18"/>
          <w:szCs w:val="18"/>
        </w:rPr>
        <w:footnoteRef/>
      </w:r>
      <w:r w:rsidRPr="0032059A">
        <w:rPr>
          <w:rFonts w:ascii="Fira Sans" w:hAnsi="Fira Sans"/>
          <w:sz w:val="18"/>
          <w:szCs w:val="18"/>
        </w:rPr>
        <w:t xml:space="preserve"> Wyniki NSP 2011</w:t>
      </w:r>
    </w:p>
  </w:footnote>
  <w:footnote w:id="5">
    <w:p w:rsidR="00536CBA" w:rsidRPr="00EF3586" w:rsidRDefault="00536CBA">
      <w:pPr>
        <w:pStyle w:val="Tekstprzypisudolnego"/>
        <w:rPr>
          <w:rFonts w:ascii="Fira Sans" w:hAnsi="Fira Sans"/>
          <w:sz w:val="18"/>
          <w:szCs w:val="18"/>
        </w:rPr>
      </w:pPr>
      <w:r w:rsidRPr="00EF3586">
        <w:rPr>
          <w:rStyle w:val="Odwoanieprzypisudolnego"/>
          <w:rFonts w:ascii="Fira Sans" w:hAnsi="Fira Sans"/>
          <w:sz w:val="18"/>
          <w:szCs w:val="18"/>
        </w:rPr>
        <w:footnoteRef/>
      </w:r>
      <w:r w:rsidRPr="00EF3586">
        <w:rPr>
          <w:rFonts w:ascii="Fira Sans" w:hAnsi="Fira Sans"/>
          <w:sz w:val="18"/>
          <w:szCs w:val="18"/>
        </w:rPr>
        <w:t xml:space="preserve"> Wyniki NSP 2011</w:t>
      </w:r>
    </w:p>
  </w:footnote>
  <w:footnote w:id="6">
    <w:p w:rsidR="007D713C" w:rsidRPr="000C37C7" w:rsidRDefault="007D713C" w:rsidP="007D713C">
      <w:pPr>
        <w:pStyle w:val="Tekstprzypisudolnego"/>
        <w:rPr>
          <w:rFonts w:ascii="Fira Sans" w:hAnsi="Fira Sans"/>
          <w:color w:val="auto"/>
          <w:sz w:val="18"/>
          <w:szCs w:val="18"/>
        </w:rPr>
      </w:pPr>
      <w:r w:rsidRPr="000C37C7">
        <w:rPr>
          <w:rStyle w:val="Odwoanieprzypisudolnego"/>
          <w:rFonts w:ascii="Fira Sans" w:hAnsi="Fira Sans"/>
          <w:color w:val="auto"/>
          <w:sz w:val="18"/>
          <w:szCs w:val="18"/>
        </w:rPr>
        <w:footnoteRef/>
      </w:r>
      <w:r w:rsidRPr="000C37C7">
        <w:rPr>
          <w:rFonts w:ascii="Fira Sans" w:hAnsi="Fira Sans"/>
          <w:color w:val="auto"/>
          <w:sz w:val="18"/>
          <w:szCs w:val="18"/>
        </w:rPr>
        <w:t xml:space="preserve"> W 2017 r. badanie EU-SILC odbyło się w okresie 3 kwietnia – 31 maja.</w:t>
      </w:r>
    </w:p>
  </w:footnote>
  <w:footnote w:id="7">
    <w:p w:rsidR="007D713C" w:rsidRPr="000C37C7" w:rsidRDefault="007D713C" w:rsidP="007D713C">
      <w:pPr>
        <w:pStyle w:val="Tekstprzypisudolnego"/>
        <w:rPr>
          <w:rFonts w:ascii="Fira Sans" w:hAnsi="Fira Sans"/>
          <w:color w:val="auto"/>
          <w:sz w:val="18"/>
          <w:szCs w:val="18"/>
        </w:rPr>
      </w:pPr>
      <w:r w:rsidRPr="000C37C7">
        <w:rPr>
          <w:rStyle w:val="Odwoanieprzypisudolnego"/>
          <w:rFonts w:ascii="Fira Sans" w:hAnsi="Fira Sans"/>
          <w:color w:val="auto"/>
          <w:sz w:val="18"/>
          <w:szCs w:val="18"/>
        </w:rPr>
        <w:footnoteRef/>
      </w:r>
      <w:r w:rsidRPr="000C37C7">
        <w:rPr>
          <w:rFonts w:ascii="Fira Sans" w:hAnsi="Fira Sans"/>
          <w:color w:val="auto"/>
          <w:sz w:val="18"/>
          <w:szCs w:val="18"/>
        </w:rPr>
        <w:t xml:space="preserve"> Dotyczy wizyt lekarskich, badań w laboratorium lub pracowni technicznej, leczenia szpitalnego lub rehabilitacji, </w:t>
      </w:r>
    </w:p>
    <w:p w:rsidR="007D713C" w:rsidRPr="000C37C7" w:rsidRDefault="007D713C" w:rsidP="007D713C">
      <w:pPr>
        <w:pStyle w:val="Tekstprzypisudolnego"/>
        <w:rPr>
          <w:rFonts w:ascii="Fira Sans" w:hAnsi="Fira Sans"/>
          <w:color w:val="auto"/>
          <w:sz w:val="18"/>
          <w:szCs w:val="18"/>
        </w:rPr>
      </w:pPr>
      <w:r w:rsidRPr="000C37C7">
        <w:rPr>
          <w:rFonts w:ascii="Fira Sans" w:hAnsi="Fira Sans"/>
          <w:color w:val="auto"/>
          <w:sz w:val="18"/>
          <w:szCs w:val="18"/>
        </w:rPr>
        <w:t>z wyłączeniem usług dentystycznych i ortodontycznych.</w:t>
      </w:r>
    </w:p>
  </w:footnote>
  <w:footnote w:id="8">
    <w:p w:rsidR="007D713C" w:rsidRPr="000C37C7" w:rsidRDefault="007D713C" w:rsidP="007D713C">
      <w:pPr>
        <w:pStyle w:val="Tekstprzypisudolnego"/>
        <w:rPr>
          <w:rFonts w:ascii="Fira Sans" w:hAnsi="Fira Sans"/>
          <w:color w:val="auto"/>
          <w:sz w:val="18"/>
          <w:szCs w:val="18"/>
        </w:rPr>
      </w:pPr>
      <w:r w:rsidRPr="000C37C7">
        <w:rPr>
          <w:rStyle w:val="Odwoanieprzypisudolnego"/>
          <w:rFonts w:ascii="Fira Sans" w:hAnsi="Fira Sans"/>
          <w:color w:val="auto"/>
          <w:sz w:val="18"/>
          <w:szCs w:val="18"/>
        </w:rPr>
        <w:footnoteRef/>
      </w:r>
      <w:r w:rsidRPr="000C37C7">
        <w:rPr>
          <w:rFonts w:ascii="Fira Sans" w:hAnsi="Fira Sans"/>
          <w:color w:val="auto"/>
          <w:sz w:val="18"/>
          <w:szCs w:val="18"/>
        </w:rPr>
        <w:t xml:space="preserve"> Ze względu na modyfikację pytania o rezygnację z wizyt, porównania z poprzednimi latami zarówno względem udziału samych niezaspokojonych potrzeb opieki zdrowotnej, jak również ich przyczyn nie są możliwe.</w:t>
      </w:r>
    </w:p>
    <w:p w:rsidR="007D713C" w:rsidRPr="007A79C2" w:rsidRDefault="007D713C" w:rsidP="007D713C">
      <w:pPr>
        <w:pStyle w:val="Tekstprzypisudolnego"/>
        <w:rPr>
          <w:color w:val="auto"/>
        </w:rPr>
      </w:pPr>
    </w:p>
  </w:footnote>
  <w:footnote w:id="9">
    <w:p w:rsidR="00702B3A" w:rsidRPr="009879A0" w:rsidRDefault="00702B3A" w:rsidP="00702B3A">
      <w:pPr>
        <w:pStyle w:val="Tekstprzypisudolnego"/>
        <w:rPr>
          <w:rFonts w:ascii="Fira Sans" w:hAnsi="Fira Sans"/>
          <w:color w:val="auto"/>
          <w:sz w:val="18"/>
          <w:szCs w:val="18"/>
        </w:rPr>
      </w:pPr>
      <w:r w:rsidRPr="009879A0">
        <w:rPr>
          <w:rStyle w:val="Odwoanieprzypisudolnego"/>
          <w:rFonts w:ascii="Fira Sans" w:hAnsi="Fira Sans"/>
          <w:color w:val="auto"/>
          <w:sz w:val="18"/>
          <w:szCs w:val="18"/>
        </w:rPr>
        <w:footnoteRef/>
      </w:r>
      <w:r w:rsidRPr="009879A0">
        <w:rPr>
          <w:rFonts w:ascii="Fira Sans" w:hAnsi="Fira Sans"/>
          <w:color w:val="auto"/>
          <w:sz w:val="18"/>
          <w:szCs w:val="18"/>
        </w:rPr>
        <w:t xml:space="preserve"> W sprawozdaniach placówek opieki zdrowotnej wyróżniono zbiorowość pacjentów w wieku 65 lat i więcej.</w:t>
      </w:r>
    </w:p>
  </w:footnote>
  <w:footnote w:id="10">
    <w:p w:rsidR="00223A6E" w:rsidRPr="001E7D7C" w:rsidRDefault="00223A6E" w:rsidP="00223A6E">
      <w:pPr>
        <w:pStyle w:val="Tekstprzypisudolnego"/>
        <w:rPr>
          <w:rFonts w:ascii="Fira Sans" w:hAnsi="Fira Sans"/>
          <w:sz w:val="18"/>
          <w:szCs w:val="18"/>
        </w:rPr>
      </w:pPr>
      <w:r w:rsidRPr="001E7D7C">
        <w:rPr>
          <w:rStyle w:val="Odwoanieprzypisudolnego"/>
          <w:rFonts w:ascii="Fira Sans" w:hAnsi="Fira Sans"/>
          <w:sz w:val="18"/>
          <w:szCs w:val="18"/>
        </w:rPr>
        <w:footnoteRef/>
      </w:r>
      <w:r w:rsidRPr="001E7D7C">
        <w:rPr>
          <w:rFonts w:ascii="Fira Sans" w:hAnsi="Fira Sans"/>
          <w:sz w:val="18"/>
          <w:szCs w:val="18"/>
        </w:rPr>
        <w:t xml:space="preserve"> Badanie „Kształcenie dorosłych 2016” obejmowało osoby w wieku 18-69 lat.</w:t>
      </w:r>
    </w:p>
  </w:footnote>
  <w:footnote w:id="11">
    <w:p w:rsidR="00223A6E" w:rsidRPr="001E7D7C" w:rsidRDefault="00223A6E" w:rsidP="00223A6E">
      <w:pPr>
        <w:pStyle w:val="Tekstprzypisudolnego"/>
        <w:rPr>
          <w:rFonts w:ascii="Fira Sans" w:hAnsi="Fira Sans"/>
          <w:sz w:val="18"/>
          <w:szCs w:val="18"/>
        </w:rPr>
      </w:pPr>
      <w:r w:rsidRPr="001E7D7C">
        <w:rPr>
          <w:rStyle w:val="Odwoanieprzypisudolnego"/>
          <w:rFonts w:ascii="Fira Sans" w:hAnsi="Fira Sans"/>
          <w:sz w:val="18"/>
          <w:szCs w:val="18"/>
        </w:rPr>
        <w:footnoteRef/>
      </w:r>
      <w:r w:rsidRPr="001E7D7C">
        <w:rPr>
          <w:rFonts w:ascii="Fira Sans" w:hAnsi="Fira Sans"/>
          <w:sz w:val="18"/>
          <w:szCs w:val="18"/>
        </w:rPr>
        <w:t xml:space="preserve"> Sprawozdanie z działalności Uniwersytetów Trzeciego Wieku  (UTW-1), dane w odniesieniu do roku szkolnego 2014/2015.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D1F76"/>
    <w:multiLevelType w:val="hybridMultilevel"/>
    <w:tmpl w:val="96001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65D48AC"/>
    <w:multiLevelType w:val="hybridMultilevel"/>
    <w:tmpl w:val="C7E65EFC"/>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 w15:restartNumberingAfterBreak="0">
    <w:nsid w:val="61555002"/>
    <w:multiLevelType w:val="hybridMultilevel"/>
    <w:tmpl w:val="A5067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6FE48DC"/>
    <w:multiLevelType w:val="hybridMultilevel"/>
    <w:tmpl w:val="DBEC7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9"/>
    <w:rsid w:val="00005CA0"/>
    <w:rsid w:val="00010ED3"/>
    <w:rsid w:val="000125F6"/>
    <w:rsid w:val="00032841"/>
    <w:rsid w:val="00043B6C"/>
    <w:rsid w:val="00077C7F"/>
    <w:rsid w:val="000A019D"/>
    <w:rsid w:val="000A20D7"/>
    <w:rsid w:val="000A7E79"/>
    <w:rsid w:val="000B4DAF"/>
    <w:rsid w:val="000C37C7"/>
    <w:rsid w:val="000C6452"/>
    <w:rsid w:val="000D1535"/>
    <w:rsid w:val="000E300E"/>
    <w:rsid w:val="000E727A"/>
    <w:rsid w:val="000F366F"/>
    <w:rsid w:val="000F5644"/>
    <w:rsid w:val="000F63E7"/>
    <w:rsid w:val="00103474"/>
    <w:rsid w:val="00105ABD"/>
    <w:rsid w:val="00110B33"/>
    <w:rsid w:val="00110C72"/>
    <w:rsid w:val="0011143F"/>
    <w:rsid w:val="00120DDD"/>
    <w:rsid w:val="00122D61"/>
    <w:rsid w:val="00123C07"/>
    <w:rsid w:val="00132DF5"/>
    <w:rsid w:val="001338C8"/>
    <w:rsid w:val="001366ED"/>
    <w:rsid w:val="00150C13"/>
    <w:rsid w:val="001515CE"/>
    <w:rsid w:val="0015175C"/>
    <w:rsid w:val="00166F9C"/>
    <w:rsid w:val="00173600"/>
    <w:rsid w:val="00177D6F"/>
    <w:rsid w:val="00181337"/>
    <w:rsid w:val="001912DF"/>
    <w:rsid w:val="001943E7"/>
    <w:rsid w:val="0019588B"/>
    <w:rsid w:val="00195A21"/>
    <w:rsid w:val="001A3446"/>
    <w:rsid w:val="001E34D2"/>
    <w:rsid w:val="001E65C3"/>
    <w:rsid w:val="001E7D7C"/>
    <w:rsid w:val="001F6BBC"/>
    <w:rsid w:val="001F6DB7"/>
    <w:rsid w:val="00207342"/>
    <w:rsid w:val="002074C9"/>
    <w:rsid w:val="00212517"/>
    <w:rsid w:val="0021441D"/>
    <w:rsid w:val="00215D7B"/>
    <w:rsid w:val="002205A6"/>
    <w:rsid w:val="00223A6E"/>
    <w:rsid w:val="00251674"/>
    <w:rsid w:val="00272B83"/>
    <w:rsid w:val="00291C8B"/>
    <w:rsid w:val="00295A04"/>
    <w:rsid w:val="002A2C81"/>
    <w:rsid w:val="002A7F95"/>
    <w:rsid w:val="002B0626"/>
    <w:rsid w:val="002C2EE4"/>
    <w:rsid w:val="002C7366"/>
    <w:rsid w:val="002D2AE4"/>
    <w:rsid w:val="002D61B5"/>
    <w:rsid w:val="002E2B95"/>
    <w:rsid w:val="003059B0"/>
    <w:rsid w:val="00312FFF"/>
    <w:rsid w:val="0031333D"/>
    <w:rsid w:val="0032059A"/>
    <w:rsid w:val="003221C1"/>
    <w:rsid w:val="00322ACB"/>
    <w:rsid w:val="003416EC"/>
    <w:rsid w:val="0034339F"/>
    <w:rsid w:val="00346C11"/>
    <w:rsid w:val="003552E6"/>
    <w:rsid w:val="00355AAD"/>
    <w:rsid w:val="003635E9"/>
    <w:rsid w:val="00363FA1"/>
    <w:rsid w:val="00366295"/>
    <w:rsid w:val="003767F6"/>
    <w:rsid w:val="00377466"/>
    <w:rsid w:val="003853EF"/>
    <w:rsid w:val="003B37F3"/>
    <w:rsid w:val="003C3014"/>
    <w:rsid w:val="003D7CCD"/>
    <w:rsid w:val="003E6ECA"/>
    <w:rsid w:val="003E7DA7"/>
    <w:rsid w:val="003F0A7C"/>
    <w:rsid w:val="00405B4B"/>
    <w:rsid w:val="0041083C"/>
    <w:rsid w:val="00410C03"/>
    <w:rsid w:val="00410CA6"/>
    <w:rsid w:val="00437056"/>
    <w:rsid w:val="00455FD3"/>
    <w:rsid w:val="004703D1"/>
    <w:rsid w:val="00481F67"/>
    <w:rsid w:val="00483DE1"/>
    <w:rsid w:val="00496F97"/>
    <w:rsid w:val="004A2176"/>
    <w:rsid w:val="004B2F69"/>
    <w:rsid w:val="004B72BD"/>
    <w:rsid w:val="004C63F6"/>
    <w:rsid w:val="004D403F"/>
    <w:rsid w:val="004E78D8"/>
    <w:rsid w:val="005066A3"/>
    <w:rsid w:val="00536CBA"/>
    <w:rsid w:val="00544320"/>
    <w:rsid w:val="00560B1F"/>
    <w:rsid w:val="005627ED"/>
    <w:rsid w:val="00575A77"/>
    <w:rsid w:val="0058304E"/>
    <w:rsid w:val="0058575A"/>
    <w:rsid w:val="005917CF"/>
    <w:rsid w:val="0059272C"/>
    <w:rsid w:val="00597405"/>
    <w:rsid w:val="005B2DA9"/>
    <w:rsid w:val="005B79E0"/>
    <w:rsid w:val="005D2E89"/>
    <w:rsid w:val="005E14F0"/>
    <w:rsid w:val="005E34B7"/>
    <w:rsid w:val="005F3463"/>
    <w:rsid w:val="00602F5D"/>
    <w:rsid w:val="006071DA"/>
    <w:rsid w:val="006149B3"/>
    <w:rsid w:val="00621838"/>
    <w:rsid w:val="0062339A"/>
    <w:rsid w:val="006310E0"/>
    <w:rsid w:val="006437A6"/>
    <w:rsid w:val="006855F3"/>
    <w:rsid w:val="0069761C"/>
    <w:rsid w:val="00697F85"/>
    <w:rsid w:val="006C0A70"/>
    <w:rsid w:val="006D1854"/>
    <w:rsid w:val="006D3399"/>
    <w:rsid w:val="006E300C"/>
    <w:rsid w:val="006F0BBF"/>
    <w:rsid w:val="006F171F"/>
    <w:rsid w:val="006F1E8E"/>
    <w:rsid w:val="006F6437"/>
    <w:rsid w:val="00700A20"/>
    <w:rsid w:val="00702B3A"/>
    <w:rsid w:val="0070372E"/>
    <w:rsid w:val="007122F9"/>
    <w:rsid w:val="0071371A"/>
    <w:rsid w:val="00714C74"/>
    <w:rsid w:val="007240E5"/>
    <w:rsid w:val="007402E0"/>
    <w:rsid w:val="007420B0"/>
    <w:rsid w:val="00743051"/>
    <w:rsid w:val="007578AA"/>
    <w:rsid w:val="00765864"/>
    <w:rsid w:val="00772A8C"/>
    <w:rsid w:val="007760F7"/>
    <w:rsid w:val="00793D37"/>
    <w:rsid w:val="007957AA"/>
    <w:rsid w:val="00797D71"/>
    <w:rsid w:val="007A6D67"/>
    <w:rsid w:val="007A79C2"/>
    <w:rsid w:val="007B192B"/>
    <w:rsid w:val="007B724F"/>
    <w:rsid w:val="007D2694"/>
    <w:rsid w:val="007D26D0"/>
    <w:rsid w:val="007D47F6"/>
    <w:rsid w:val="007D713C"/>
    <w:rsid w:val="00830101"/>
    <w:rsid w:val="008325FE"/>
    <w:rsid w:val="0084290F"/>
    <w:rsid w:val="0085616E"/>
    <w:rsid w:val="00856754"/>
    <w:rsid w:val="008608D6"/>
    <w:rsid w:val="00863AE3"/>
    <w:rsid w:val="00884973"/>
    <w:rsid w:val="00886BF0"/>
    <w:rsid w:val="00891D6E"/>
    <w:rsid w:val="00894CED"/>
    <w:rsid w:val="008A1536"/>
    <w:rsid w:val="008A2D38"/>
    <w:rsid w:val="008B2A2E"/>
    <w:rsid w:val="008B3714"/>
    <w:rsid w:val="008C685B"/>
    <w:rsid w:val="008C7CCD"/>
    <w:rsid w:val="008E66CE"/>
    <w:rsid w:val="008F0265"/>
    <w:rsid w:val="008F2F4B"/>
    <w:rsid w:val="008F5D57"/>
    <w:rsid w:val="00910B2D"/>
    <w:rsid w:val="00913492"/>
    <w:rsid w:val="00914122"/>
    <w:rsid w:val="00915CDA"/>
    <w:rsid w:val="0091751F"/>
    <w:rsid w:val="009252AF"/>
    <w:rsid w:val="009458AF"/>
    <w:rsid w:val="00945EC2"/>
    <w:rsid w:val="00951550"/>
    <w:rsid w:val="009537D7"/>
    <w:rsid w:val="0098021B"/>
    <w:rsid w:val="0098503E"/>
    <w:rsid w:val="009879A0"/>
    <w:rsid w:val="00997AD6"/>
    <w:rsid w:val="009A3F2C"/>
    <w:rsid w:val="009B0F9E"/>
    <w:rsid w:val="009D7EAA"/>
    <w:rsid w:val="009E403E"/>
    <w:rsid w:val="009F084C"/>
    <w:rsid w:val="00A00595"/>
    <w:rsid w:val="00A013D3"/>
    <w:rsid w:val="00A02BB5"/>
    <w:rsid w:val="00A13661"/>
    <w:rsid w:val="00A142A9"/>
    <w:rsid w:val="00A23312"/>
    <w:rsid w:val="00A44238"/>
    <w:rsid w:val="00A4513E"/>
    <w:rsid w:val="00A7304B"/>
    <w:rsid w:val="00A74ECF"/>
    <w:rsid w:val="00A81427"/>
    <w:rsid w:val="00AC2270"/>
    <w:rsid w:val="00AC3E29"/>
    <w:rsid w:val="00AD0993"/>
    <w:rsid w:val="00AD1A07"/>
    <w:rsid w:val="00AE3677"/>
    <w:rsid w:val="00AE73EF"/>
    <w:rsid w:val="00B05DB5"/>
    <w:rsid w:val="00B13C8B"/>
    <w:rsid w:val="00B20151"/>
    <w:rsid w:val="00B210F7"/>
    <w:rsid w:val="00B322C7"/>
    <w:rsid w:val="00B32FC4"/>
    <w:rsid w:val="00B3464C"/>
    <w:rsid w:val="00B548DA"/>
    <w:rsid w:val="00B565B1"/>
    <w:rsid w:val="00B61B0C"/>
    <w:rsid w:val="00B644C2"/>
    <w:rsid w:val="00B76882"/>
    <w:rsid w:val="00B77888"/>
    <w:rsid w:val="00B80129"/>
    <w:rsid w:val="00B857AC"/>
    <w:rsid w:val="00B96A0A"/>
    <w:rsid w:val="00B96E7B"/>
    <w:rsid w:val="00BA33D9"/>
    <w:rsid w:val="00BA7D3D"/>
    <w:rsid w:val="00BB2C17"/>
    <w:rsid w:val="00BB4D3E"/>
    <w:rsid w:val="00BB6750"/>
    <w:rsid w:val="00BE472E"/>
    <w:rsid w:val="00C00D8E"/>
    <w:rsid w:val="00C10026"/>
    <w:rsid w:val="00C25B03"/>
    <w:rsid w:val="00C26354"/>
    <w:rsid w:val="00C34277"/>
    <w:rsid w:val="00C5222F"/>
    <w:rsid w:val="00C60A2E"/>
    <w:rsid w:val="00C63EA8"/>
    <w:rsid w:val="00C67D93"/>
    <w:rsid w:val="00C9176A"/>
    <w:rsid w:val="00C947BF"/>
    <w:rsid w:val="00CA7290"/>
    <w:rsid w:val="00CB0B6B"/>
    <w:rsid w:val="00CC2364"/>
    <w:rsid w:val="00CE5E06"/>
    <w:rsid w:val="00CE77CF"/>
    <w:rsid w:val="00D069D7"/>
    <w:rsid w:val="00D1167D"/>
    <w:rsid w:val="00D13BCC"/>
    <w:rsid w:val="00D24F4C"/>
    <w:rsid w:val="00D36F4C"/>
    <w:rsid w:val="00D37046"/>
    <w:rsid w:val="00D50D39"/>
    <w:rsid w:val="00D530F1"/>
    <w:rsid w:val="00D563A0"/>
    <w:rsid w:val="00D5665D"/>
    <w:rsid w:val="00D61B1E"/>
    <w:rsid w:val="00D649A8"/>
    <w:rsid w:val="00D7367D"/>
    <w:rsid w:val="00D82742"/>
    <w:rsid w:val="00DB2CA1"/>
    <w:rsid w:val="00DC169D"/>
    <w:rsid w:val="00DC54A1"/>
    <w:rsid w:val="00DD3EFC"/>
    <w:rsid w:val="00DE4E63"/>
    <w:rsid w:val="00DE6CBA"/>
    <w:rsid w:val="00DF057A"/>
    <w:rsid w:val="00DF7E71"/>
    <w:rsid w:val="00E034A4"/>
    <w:rsid w:val="00E12657"/>
    <w:rsid w:val="00E37176"/>
    <w:rsid w:val="00E53CE6"/>
    <w:rsid w:val="00E62DF5"/>
    <w:rsid w:val="00E72B79"/>
    <w:rsid w:val="00E74890"/>
    <w:rsid w:val="00E75182"/>
    <w:rsid w:val="00E802F7"/>
    <w:rsid w:val="00E97E2D"/>
    <w:rsid w:val="00EA07CA"/>
    <w:rsid w:val="00EB365F"/>
    <w:rsid w:val="00EC4310"/>
    <w:rsid w:val="00ED1A35"/>
    <w:rsid w:val="00ED2B5E"/>
    <w:rsid w:val="00ED719A"/>
    <w:rsid w:val="00EE74C5"/>
    <w:rsid w:val="00EF3586"/>
    <w:rsid w:val="00F00D93"/>
    <w:rsid w:val="00F15DB9"/>
    <w:rsid w:val="00F27410"/>
    <w:rsid w:val="00F33622"/>
    <w:rsid w:val="00F424C1"/>
    <w:rsid w:val="00F52AB5"/>
    <w:rsid w:val="00F55A55"/>
    <w:rsid w:val="00F60388"/>
    <w:rsid w:val="00F71FAE"/>
    <w:rsid w:val="00F81A63"/>
    <w:rsid w:val="00F947ED"/>
    <w:rsid w:val="00FD3841"/>
    <w:rsid w:val="00FD60A7"/>
    <w:rsid w:val="00FE053F"/>
    <w:rsid w:val="00FE3C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5EB7C-AADF-43DF-9FB7-77B83332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3CE6"/>
  </w:style>
  <w:style w:type="paragraph" w:styleId="Nagwek1">
    <w:name w:val="heading 1"/>
    <w:basedOn w:val="Normalny"/>
    <w:next w:val="Normalny"/>
    <w:link w:val="Nagwek1Znak"/>
    <w:uiPriority w:val="9"/>
    <w:qFormat/>
    <w:rsid w:val="006F64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6F64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6F64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DE6CBA"/>
    <w:pPr>
      <w:spacing w:after="0" w:line="240" w:lineRule="auto"/>
      <w:jc w:val="both"/>
    </w:pPr>
    <w:rPr>
      <w:rFonts w:ascii="Times New Roman" w:eastAsia="Times New Roman" w:hAnsi="Times New Roman" w:cs="Times New Roman"/>
      <w:color w:val="000000" w:themeColor="text1"/>
      <w:sz w:val="20"/>
      <w:szCs w:val="20"/>
      <w:lang w:eastAsia="pl-PL"/>
    </w:rPr>
  </w:style>
  <w:style w:type="character" w:customStyle="1" w:styleId="TekstprzypisudolnegoZnak">
    <w:name w:val="Tekst przypisu dolnego Znak"/>
    <w:basedOn w:val="Domylnaczcionkaakapitu"/>
    <w:link w:val="Tekstprzypisudolnego"/>
    <w:uiPriority w:val="99"/>
    <w:rsid w:val="00DE6CBA"/>
    <w:rPr>
      <w:rFonts w:ascii="Times New Roman" w:eastAsia="Times New Roman" w:hAnsi="Times New Roman" w:cs="Times New Roman"/>
      <w:color w:val="000000" w:themeColor="text1"/>
      <w:sz w:val="20"/>
      <w:szCs w:val="20"/>
      <w:lang w:eastAsia="pl-PL"/>
    </w:rPr>
  </w:style>
  <w:style w:type="character" w:styleId="Odwoanieprzypisudolnego">
    <w:name w:val="footnote reference"/>
    <w:basedOn w:val="Domylnaczcionkaakapitu"/>
    <w:uiPriority w:val="99"/>
    <w:semiHidden/>
    <w:unhideWhenUsed/>
    <w:rsid w:val="00DE6CBA"/>
    <w:rPr>
      <w:vertAlign w:val="superscript"/>
    </w:rPr>
  </w:style>
  <w:style w:type="paragraph" w:styleId="Akapitzlist">
    <w:name w:val="List Paragraph"/>
    <w:basedOn w:val="Normalny"/>
    <w:uiPriority w:val="34"/>
    <w:qFormat/>
    <w:rsid w:val="0011143F"/>
    <w:pPr>
      <w:ind w:left="720"/>
      <w:contextualSpacing/>
    </w:pPr>
  </w:style>
  <w:style w:type="paragraph" w:styleId="Nagwek">
    <w:name w:val="header"/>
    <w:basedOn w:val="Normalny"/>
    <w:link w:val="NagwekZnak"/>
    <w:uiPriority w:val="99"/>
    <w:unhideWhenUsed/>
    <w:rsid w:val="002C2E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2EE4"/>
  </w:style>
  <w:style w:type="paragraph" w:styleId="Stopka">
    <w:name w:val="footer"/>
    <w:basedOn w:val="Normalny"/>
    <w:link w:val="StopkaZnak"/>
    <w:uiPriority w:val="99"/>
    <w:unhideWhenUsed/>
    <w:rsid w:val="002C2E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2EE4"/>
  </w:style>
  <w:style w:type="character" w:customStyle="1" w:styleId="Nagwek1Znak">
    <w:name w:val="Nagłówek 1 Znak"/>
    <w:basedOn w:val="Domylnaczcionkaakapitu"/>
    <w:link w:val="Nagwek1"/>
    <w:uiPriority w:val="9"/>
    <w:rsid w:val="006F6437"/>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6F6437"/>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6F6437"/>
    <w:rPr>
      <w:rFonts w:asciiTheme="majorHAnsi" w:eastAsiaTheme="majorEastAsia" w:hAnsiTheme="majorHAnsi" w:cstheme="majorBidi"/>
      <w:color w:val="1F4D78" w:themeColor="accent1" w:themeShade="7F"/>
      <w:sz w:val="24"/>
      <w:szCs w:val="24"/>
    </w:rPr>
  </w:style>
  <w:style w:type="paragraph" w:styleId="Nagwekspisutreci">
    <w:name w:val="TOC Heading"/>
    <w:basedOn w:val="Nagwek1"/>
    <w:next w:val="Normalny"/>
    <w:uiPriority w:val="39"/>
    <w:unhideWhenUsed/>
    <w:qFormat/>
    <w:rsid w:val="00FD3841"/>
    <w:pPr>
      <w:outlineLvl w:val="9"/>
    </w:pPr>
    <w:rPr>
      <w:lang w:eastAsia="pl-PL"/>
    </w:rPr>
  </w:style>
  <w:style w:type="paragraph" w:styleId="Spistreci1">
    <w:name w:val="toc 1"/>
    <w:basedOn w:val="Normalny"/>
    <w:next w:val="Normalny"/>
    <w:autoRedefine/>
    <w:uiPriority w:val="39"/>
    <w:unhideWhenUsed/>
    <w:rsid w:val="00AE3677"/>
    <w:pPr>
      <w:tabs>
        <w:tab w:val="right" w:leader="dot" w:pos="8222"/>
        <w:tab w:val="right" w:leader="dot" w:pos="8789"/>
        <w:tab w:val="right" w:leader="dot" w:pos="9072"/>
      </w:tabs>
      <w:spacing w:after="100"/>
      <w:ind w:right="567"/>
      <w:jc w:val="both"/>
    </w:pPr>
  </w:style>
  <w:style w:type="paragraph" w:styleId="Spistreci2">
    <w:name w:val="toc 2"/>
    <w:basedOn w:val="Normalny"/>
    <w:next w:val="Normalny"/>
    <w:autoRedefine/>
    <w:uiPriority w:val="39"/>
    <w:unhideWhenUsed/>
    <w:rsid w:val="00AE3677"/>
    <w:pPr>
      <w:tabs>
        <w:tab w:val="right" w:leader="dot" w:pos="9063"/>
      </w:tabs>
      <w:spacing w:after="100"/>
    </w:pPr>
  </w:style>
  <w:style w:type="paragraph" w:styleId="Spistreci3">
    <w:name w:val="toc 3"/>
    <w:basedOn w:val="Normalny"/>
    <w:next w:val="Normalny"/>
    <w:autoRedefine/>
    <w:uiPriority w:val="39"/>
    <w:unhideWhenUsed/>
    <w:rsid w:val="00AE3677"/>
    <w:pPr>
      <w:tabs>
        <w:tab w:val="right" w:leader="dot" w:pos="8789"/>
        <w:tab w:val="right" w:leader="dot" w:pos="9072"/>
      </w:tabs>
      <w:spacing w:after="100"/>
      <w:ind w:right="567"/>
    </w:pPr>
  </w:style>
  <w:style w:type="character" w:styleId="Hipercze">
    <w:name w:val="Hyperlink"/>
    <w:basedOn w:val="Domylnaczcionkaakapitu"/>
    <w:uiPriority w:val="99"/>
    <w:unhideWhenUsed/>
    <w:rsid w:val="00FD3841"/>
    <w:rPr>
      <w:color w:val="0563C1" w:themeColor="hyperlink"/>
      <w:u w:val="single"/>
    </w:rPr>
  </w:style>
  <w:style w:type="paragraph" w:styleId="Tekstdymka">
    <w:name w:val="Balloon Text"/>
    <w:basedOn w:val="Normalny"/>
    <w:link w:val="TekstdymkaZnak"/>
    <w:uiPriority w:val="99"/>
    <w:semiHidden/>
    <w:unhideWhenUsed/>
    <w:rsid w:val="00322A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2ACB"/>
    <w:rPr>
      <w:rFonts w:ascii="Segoe UI" w:hAnsi="Segoe UI" w:cs="Segoe UI"/>
      <w:sz w:val="18"/>
      <w:szCs w:val="18"/>
    </w:rPr>
  </w:style>
  <w:style w:type="paragraph" w:customStyle="1" w:styleId="Default">
    <w:name w:val="Default"/>
    <w:rsid w:val="00575A77"/>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765864"/>
    <w:rPr>
      <w:sz w:val="16"/>
      <w:szCs w:val="16"/>
    </w:rPr>
  </w:style>
  <w:style w:type="paragraph" w:styleId="Tekstkomentarza">
    <w:name w:val="annotation text"/>
    <w:basedOn w:val="Normalny"/>
    <w:link w:val="TekstkomentarzaZnak"/>
    <w:uiPriority w:val="99"/>
    <w:semiHidden/>
    <w:unhideWhenUsed/>
    <w:rsid w:val="0076586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5864"/>
    <w:rPr>
      <w:sz w:val="20"/>
      <w:szCs w:val="20"/>
    </w:rPr>
  </w:style>
  <w:style w:type="paragraph" w:styleId="Tematkomentarza">
    <w:name w:val="annotation subject"/>
    <w:basedOn w:val="Tekstkomentarza"/>
    <w:next w:val="Tekstkomentarza"/>
    <w:link w:val="TematkomentarzaZnak"/>
    <w:uiPriority w:val="99"/>
    <w:semiHidden/>
    <w:unhideWhenUsed/>
    <w:rsid w:val="00765864"/>
    <w:rPr>
      <w:b/>
      <w:bCs/>
    </w:rPr>
  </w:style>
  <w:style w:type="character" w:customStyle="1" w:styleId="TematkomentarzaZnak">
    <w:name w:val="Temat komentarza Znak"/>
    <w:basedOn w:val="TekstkomentarzaZnak"/>
    <w:link w:val="Tematkomentarza"/>
    <w:uiPriority w:val="99"/>
    <w:semiHidden/>
    <w:rsid w:val="007658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12941">
      <w:bodyDiv w:val="1"/>
      <w:marLeft w:val="0"/>
      <w:marRight w:val="0"/>
      <w:marTop w:val="0"/>
      <w:marBottom w:val="0"/>
      <w:divBdr>
        <w:top w:val="none" w:sz="0" w:space="0" w:color="auto"/>
        <w:left w:val="none" w:sz="0" w:space="0" w:color="auto"/>
        <w:bottom w:val="none" w:sz="0" w:space="0" w:color="auto"/>
        <w:right w:val="none" w:sz="0" w:space="0" w:color="auto"/>
      </w:divBdr>
    </w:div>
    <w:div w:id="534343772">
      <w:bodyDiv w:val="1"/>
      <w:marLeft w:val="0"/>
      <w:marRight w:val="0"/>
      <w:marTop w:val="0"/>
      <w:marBottom w:val="0"/>
      <w:divBdr>
        <w:top w:val="none" w:sz="0" w:space="0" w:color="auto"/>
        <w:left w:val="none" w:sz="0" w:space="0" w:color="auto"/>
        <w:bottom w:val="none" w:sz="0" w:space="0" w:color="auto"/>
        <w:right w:val="none" w:sz="0" w:space="0" w:color="auto"/>
      </w:divBdr>
    </w:div>
    <w:div w:id="921379144">
      <w:bodyDiv w:val="1"/>
      <w:marLeft w:val="0"/>
      <w:marRight w:val="0"/>
      <w:marTop w:val="0"/>
      <w:marBottom w:val="0"/>
      <w:divBdr>
        <w:top w:val="none" w:sz="0" w:space="0" w:color="auto"/>
        <w:left w:val="none" w:sz="0" w:space="0" w:color="auto"/>
        <w:bottom w:val="none" w:sz="0" w:space="0" w:color="auto"/>
        <w:right w:val="none" w:sz="0" w:space="0" w:color="auto"/>
      </w:divBdr>
    </w:div>
    <w:div w:id="1344282046">
      <w:bodyDiv w:val="1"/>
      <w:marLeft w:val="0"/>
      <w:marRight w:val="0"/>
      <w:marTop w:val="0"/>
      <w:marBottom w:val="0"/>
      <w:divBdr>
        <w:top w:val="none" w:sz="0" w:space="0" w:color="auto"/>
        <w:left w:val="none" w:sz="0" w:space="0" w:color="auto"/>
        <w:bottom w:val="none" w:sz="0" w:space="0" w:color="auto"/>
        <w:right w:val="none" w:sz="0" w:space="0" w:color="auto"/>
      </w:divBdr>
    </w:div>
    <w:div w:id="161462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at.gov.pl"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FBEB7090D5ED8B4AADA9FC396769AC9B" ma:contentTypeVersion="" ma:contentTypeDescription="" ma:contentTypeScope="" ma:versionID="6bc347668491c2bd9b5b9ebe793d10d9">
  <xsd:schema xmlns:xsd="http://www.w3.org/2001/XMLSchema" xmlns:xs="http://www.w3.org/2001/XMLSchema" xmlns:p="http://schemas.microsoft.com/office/2006/metadata/properties" xmlns:ns1="http://schemas.microsoft.com/sharepoint/v3" xmlns:ns2="9070EBFB-EDD5-4A8B-ADA9-FC396769AC9B" targetNamespace="http://schemas.microsoft.com/office/2006/metadata/properties" ma:root="true" ma:fieldsID="14bc6af8e0d4c36dc6f6478fae101c15" ns1:_="" ns2:_="">
    <xsd:import namespace="http://schemas.microsoft.com/sharepoint/v3"/>
    <xsd:import namespace="9070EBFB-EDD5-4A8B-ADA9-FC396769AC9B"/>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70EBFB-EDD5-4A8B-ADA9-FC396769AC9B"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dbiorcy2 xmlns="9070EBFB-EDD5-4A8B-ADA9-FC396769AC9B" xsi:nil="true"/>
    <Osoba xmlns="9070EBFB-EDD5-4A8B-ADA9-FC396769AC9B">stat\RowinskaH</Osoba>
    <NazwaPliku xmlns="9070EBFB-EDD5-4A8B-ADA9-FC396769AC9B">Osoby starsze-notatka 2018.docx</NazwaPliku>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0x00FBEB7090D5ED8B4AADA9FC396769AC9B</ContentType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ED920-A7A5-46F1-B764-0BC2D5994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70EBFB-EDD5-4A8B-ADA9-FC396769A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9CCF7-DCC2-4497-BE52-38BD1504ACC8}">
  <ds:schemaRefs>
    <ds:schemaRef ds:uri="http://schemas.microsoft.com/office/2006/metadata/properties"/>
    <ds:schemaRef ds:uri="http://schemas.microsoft.com/office/infopath/2007/PartnerControls"/>
    <ds:schemaRef ds:uri="9070EBFB-EDD5-4A8B-ADA9-FC396769AC9B"/>
    <ds:schemaRef ds:uri="http://schemas.microsoft.com/sharepoint/v3"/>
  </ds:schemaRefs>
</ds:datastoreItem>
</file>

<file path=customXml/itemProps3.xml><?xml version="1.0" encoding="utf-8"?>
<ds:datastoreItem xmlns:ds="http://schemas.openxmlformats.org/officeDocument/2006/customXml" ds:itemID="{F6AE4F93-979B-4262-BD03-0C9E1B41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7272</Words>
  <Characters>43636</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50807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sytuacji osób starszych na podstawie badań Głównego Urzędu Statystycznego</dc:title>
  <cp:revision>5</cp:revision>
  <cp:lastPrinted>2018-07-05T12:46:00Z</cp:lastPrinted>
  <dcterms:created xsi:type="dcterms:W3CDTF">2018-09-28T07:28:00Z</dcterms:created>
  <dcterms:modified xsi:type="dcterms:W3CDTF">2018-09-28T07:52:00Z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0x0101005F253E89B8992844AAE9836E71E202A8</vt:lpwstr>
  </property>
</Properties>
</file>