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3A3169" w:rsidRDefault="00530074" w:rsidP="00074DD8">
      <w:pPr>
        <w:pStyle w:val="tytuinformacji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527458">
        <w:rPr>
          <w:shd w:val="clear" w:color="auto" w:fill="FFFFFF"/>
        </w:rPr>
        <w:t>lipiec</w:t>
      </w:r>
      <w:r w:rsidRPr="00530074">
        <w:rPr>
          <w:shd w:val="clear" w:color="auto" w:fill="FFFFFF"/>
        </w:rPr>
        <w:t xml:space="preserve"> 2018 r.</w:t>
      </w:r>
    </w:p>
    <w:p w:rsidR="00393761" w:rsidRPr="003A3169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245745</wp:posOffset>
                </wp:positionV>
                <wp:extent cx="1725295" cy="1209675"/>
                <wp:effectExtent l="0" t="0" r="0" b="0"/>
                <wp:wrapTight wrapText="bothSides">
                  <wp:wrapPolygon edited="0">
                    <wp:start x="715" y="0"/>
                    <wp:lineTo x="715" y="21090"/>
                    <wp:lineTo x="20749" y="2109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EF2" w:rsidRPr="00074DD8" w:rsidRDefault="00CE5EF2" w:rsidP="00074DD8">
                            <w:pPr>
                              <w:pStyle w:val="tekstzboku"/>
                            </w:pPr>
                            <w:r>
                              <w:t>W lipcu</w:t>
                            </w:r>
                            <w:r w:rsidRPr="00AE6789">
                              <w:t xml:space="preserve"> 2018</w:t>
                            </w:r>
                            <w:r>
                              <w:t xml:space="preserve"> r. odnotowano pogorszenie obecnych i przyszłych nastrojów konsumenckich w stosunku do poprzedniego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19.35pt;width:135.85pt;height:95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" filled="f" stroked="f">
                <v:textbox>
                  <w:txbxContent>
                    <w:p w:rsidR="00CE5EF2" w:rsidRPr="00074DD8" w:rsidRDefault="00CE5EF2" w:rsidP="00074DD8">
                      <w:pPr>
                        <w:pStyle w:val="tekstzboku"/>
                      </w:pPr>
                      <w:r>
                        <w:t>W lipcu</w:t>
                      </w:r>
                      <w:r w:rsidRPr="00AE6789">
                        <w:t xml:space="preserve"> 2018</w:t>
                      </w:r>
                      <w:r>
                        <w:t xml:space="preserve"> r. odnotowano pogorszenie obecnych i przyszłych nastrojów konsumenckich w stosunku do poprzedniego miesiąca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B3A86" w:rsidRPr="003A3169" w:rsidRDefault="005B3A86" w:rsidP="005B3A86">
      <w:pPr>
        <w:pStyle w:val="LID"/>
      </w:pPr>
      <w:r w:rsidRPr="003A3169"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F4ACDF2" wp14:editId="73CBBA6B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EF2" w:rsidRPr="00BC44E4" w:rsidRDefault="00CE5EF2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27A04EF4" wp14:editId="4C019FE3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5,2</w:t>
                            </w:r>
                          </w:p>
                          <w:p w:rsidR="00CE5EF2" w:rsidRPr="00DD7916" w:rsidRDefault="00CE5EF2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DD7916">
                              <w:t>Bieżący wskaźnik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ACDF2" id="_x0000_s1027" type="#_x0000_t202" style="position:absolute;margin-left:0;margin-top:6.55pt;width:2in;height:82.3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CE5EF2" w:rsidRPr="00BC44E4" w:rsidRDefault="00CE5EF2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27A04EF4" wp14:editId="4C019FE3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5,2</w:t>
                      </w:r>
                    </w:p>
                    <w:p w:rsidR="00CE5EF2" w:rsidRPr="00DD7916" w:rsidRDefault="00CE5EF2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DD7916">
                        <w:t>Bieżący wskaźnik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A3169">
        <w:t xml:space="preserve">Bieżący wskaźnik ufności konsumenckiej (BWUK), syntetycznie opisujący obecne tendencje konsumpcji indywidualnej ukształtował się na poziomie </w:t>
      </w:r>
      <w:r w:rsidR="00F729F3">
        <w:t>5,2</w:t>
      </w:r>
      <w:r>
        <w:rPr>
          <w:rStyle w:val="Odwoanieprzypisudolnego"/>
          <w:shd w:val="clear" w:color="auto" w:fill="FFFFFF"/>
        </w:rPr>
        <w:footnoteReference w:id="1"/>
      </w:r>
      <w:r>
        <w:t>.</w:t>
      </w:r>
    </w:p>
    <w:p w:rsidR="005B3A86" w:rsidRDefault="005B3A86" w:rsidP="005B3A86">
      <w:pPr>
        <w:pStyle w:val="Nagwek1"/>
        <w:rPr>
          <w:rFonts w:ascii="Fira Sans" w:hAnsi="Fira Sans"/>
          <w:b/>
          <w:color w:val="212492"/>
          <w:spacing w:val="-2"/>
          <w:szCs w:val="19"/>
        </w:rPr>
      </w:pPr>
    </w:p>
    <w:p w:rsidR="009A5A6D" w:rsidRDefault="009A5A6D" w:rsidP="00074DD8">
      <w:pPr>
        <w:pStyle w:val="Nagwek1"/>
      </w:pPr>
    </w:p>
    <w:p w:rsidR="00A217E6" w:rsidRDefault="00A217E6" w:rsidP="00074DD8">
      <w:pPr>
        <w:pStyle w:val="Nagwek1"/>
      </w:pPr>
    </w:p>
    <w:p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83C7874" wp14:editId="02E5C35A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EF2" w:rsidRPr="00380DFD" w:rsidRDefault="00CE5EF2" w:rsidP="00380DFD">
                            <w:pPr>
                              <w:pStyle w:val="tekstzboku"/>
                            </w:pPr>
                            <w:r>
                              <w:t>Bieżący wskaźnik ufności konsumenckiej (BWUK) był niższy o 0,9 p. proc. w stosunku do poprzedniego miesiąca</w:t>
                            </w:r>
                          </w:p>
                          <w:p w:rsidR="00CE5EF2" w:rsidRPr="00D616D2" w:rsidRDefault="00CE5EF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7874" id="_x0000_s1028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A4s&#10;Gxc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:rsidR="00CE5EF2" w:rsidRPr="00380DFD" w:rsidRDefault="00CE5EF2" w:rsidP="00380DFD">
                      <w:pPr>
                        <w:pStyle w:val="tekstzboku"/>
                      </w:pPr>
                      <w:r>
                        <w:t>Bieżący wskaźnik ufności konsumenckiej (BWUK) był niższy o 0,9 p. proc. w stosunku do poprzedniego miesiąca</w:t>
                      </w:r>
                    </w:p>
                    <w:p w:rsidR="00CE5EF2" w:rsidRPr="00D616D2" w:rsidRDefault="00CE5EF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 xml:space="preserve">nik ufności konsumenckiej </w:t>
      </w:r>
      <w:r w:rsidR="00A217E6">
        <w:t xml:space="preserve"> (BWUK) </w:t>
      </w:r>
      <w:r w:rsidR="009A5A6D" w:rsidRPr="009A5A6D">
        <w:t xml:space="preserve">w </w:t>
      </w:r>
      <w:r w:rsidR="00527458">
        <w:t>lipcu</w:t>
      </w:r>
      <w:r w:rsidR="009A5A6D" w:rsidRPr="009A5A6D">
        <w:t xml:space="preserve"> 2018 r.</w:t>
      </w:r>
    </w:p>
    <w:p w:rsidR="009A5A6D" w:rsidRPr="009A5A6D" w:rsidRDefault="009A5A6D" w:rsidP="002F5124">
      <w:pPr>
        <w:spacing w:after="0"/>
        <w:rPr>
          <w:shd w:val="clear" w:color="auto" w:fill="FFFFFF"/>
        </w:rPr>
      </w:pPr>
      <w:r w:rsidRPr="009A5A6D">
        <w:rPr>
          <w:shd w:val="clear" w:color="auto" w:fill="FFFFFF"/>
        </w:rPr>
        <w:t xml:space="preserve">Bieżący wskaźnik ufności konsumenckiej (BWUK), syntetycznie opisujący obecne tendencje konsumpcji indywidualnej, </w:t>
      </w:r>
      <w:r w:rsidR="007B7753">
        <w:rPr>
          <w:shd w:val="clear" w:color="auto" w:fill="FFFFFF"/>
        </w:rPr>
        <w:t xml:space="preserve">był </w:t>
      </w:r>
      <w:r w:rsidR="00F729F3">
        <w:rPr>
          <w:shd w:val="clear" w:color="auto" w:fill="FFFFFF"/>
        </w:rPr>
        <w:t>niższy</w:t>
      </w:r>
      <w:r w:rsidR="007B7753">
        <w:rPr>
          <w:shd w:val="clear" w:color="auto" w:fill="FFFFFF"/>
        </w:rPr>
        <w:t xml:space="preserve"> o </w:t>
      </w:r>
      <w:r w:rsidR="004E464A">
        <w:rPr>
          <w:shd w:val="clear" w:color="auto" w:fill="FFFFFF"/>
        </w:rPr>
        <w:t>0</w:t>
      </w:r>
      <w:r w:rsidR="0053753D">
        <w:rPr>
          <w:shd w:val="clear" w:color="auto" w:fill="FFFFFF"/>
        </w:rPr>
        <w:t>,</w:t>
      </w:r>
      <w:r w:rsidR="00F729F3">
        <w:rPr>
          <w:shd w:val="clear" w:color="auto" w:fill="FFFFFF"/>
        </w:rPr>
        <w:t>9</w:t>
      </w:r>
      <w:r w:rsidR="007B7753">
        <w:rPr>
          <w:shd w:val="clear" w:color="auto" w:fill="FFFFFF"/>
        </w:rPr>
        <w:t xml:space="preserve"> p. proc.</w:t>
      </w:r>
      <w:r w:rsidRPr="009A5A6D">
        <w:rPr>
          <w:shd w:val="clear" w:color="auto" w:fill="FFFFFF"/>
        </w:rPr>
        <w:t xml:space="preserve"> w stosunku do poprzedniego miesiąca i</w:t>
      </w:r>
      <w:r w:rsidR="00C074FD">
        <w:rPr>
          <w:shd w:val="clear" w:color="auto" w:fill="FFFFFF"/>
        </w:rPr>
        <w:t> </w:t>
      </w:r>
      <w:r w:rsidR="0053753D">
        <w:rPr>
          <w:shd w:val="clear" w:color="auto" w:fill="FFFFFF"/>
        </w:rPr>
        <w:t xml:space="preserve">ukształtował się na poziomie </w:t>
      </w:r>
      <w:r w:rsidR="00F729F3">
        <w:rPr>
          <w:shd w:val="clear" w:color="auto" w:fill="FFFFFF"/>
        </w:rPr>
        <w:t>5</w:t>
      </w:r>
      <w:r w:rsidR="0053753D">
        <w:rPr>
          <w:shd w:val="clear" w:color="auto" w:fill="FFFFFF"/>
        </w:rPr>
        <w:t>,</w:t>
      </w:r>
      <w:r w:rsidR="00F729F3">
        <w:rPr>
          <w:shd w:val="clear" w:color="auto" w:fill="FFFFFF"/>
        </w:rPr>
        <w:t>2</w:t>
      </w:r>
      <w:r w:rsidR="00210F89" w:rsidRPr="00210F89">
        <w:rPr>
          <w:shd w:val="clear" w:color="auto" w:fill="FFFFFF"/>
          <w:vertAlign w:val="superscript"/>
        </w:rPr>
        <w:t>*</w:t>
      </w:r>
      <w:r w:rsidRPr="009A5A6D">
        <w:rPr>
          <w:shd w:val="clear" w:color="auto" w:fill="FFFFFF"/>
        </w:rPr>
        <w:t xml:space="preserve">. </w:t>
      </w:r>
    </w:p>
    <w:p w:rsidR="0098156A" w:rsidRDefault="003F153D" w:rsidP="002F5124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>W</w:t>
      </w:r>
      <w:r w:rsidR="009F5774">
        <w:rPr>
          <w:shd w:val="clear" w:color="auto" w:fill="FFFFFF"/>
        </w:rPr>
        <w:t>śród</w:t>
      </w:r>
      <w:r w:rsidR="00E832ED">
        <w:rPr>
          <w:shd w:val="clear" w:color="auto" w:fill="FFFFFF"/>
        </w:rPr>
        <w:t xml:space="preserve"> </w:t>
      </w:r>
      <w:r w:rsidR="00891FF7">
        <w:rPr>
          <w:shd w:val="clear" w:color="auto" w:fill="FFFFFF"/>
        </w:rPr>
        <w:t>składowych</w:t>
      </w:r>
      <w:r w:rsidR="009A5A6D" w:rsidRPr="00655E7E">
        <w:rPr>
          <w:shd w:val="clear" w:color="auto" w:fill="FFFFFF"/>
        </w:rPr>
        <w:t xml:space="preserve"> wskaźnika</w:t>
      </w:r>
      <w:r>
        <w:rPr>
          <w:shd w:val="clear" w:color="auto" w:fill="FFFFFF"/>
        </w:rPr>
        <w:t>,</w:t>
      </w:r>
      <w:r w:rsidR="00617810">
        <w:rPr>
          <w:shd w:val="clear" w:color="auto" w:fill="FFFFFF"/>
        </w:rPr>
        <w:t xml:space="preserve"> </w:t>
      </w:r>
      <w:r w:rsidR="00CE5EF2">
        <w:rPr>
          <w:shd w:val="clear" w:color="auto" w:fill="FFFFFF"/>
        </w:rPr>
        <w:t>wartości</w:t>
      </w:r>
      <w:r w:rsidR="00A33D0D">
        <w:rPr>
          <w:shd w:val="clear" w:color="auto" w:fill="FFFFFF"/>
        </w:rPr>
        <w:t xml:space="preserve"> niższe niż przed miesiącem</w:t>
      </w:r>
      <w:r w:rsidR="00A47D09">
        <w:rPr>
          <w:shd w:val="clear" w:color="auto" w:fill="FFFFFF"/>
        </w:rPr>
        <w:t xml:space="preserve"> odnotowano</w:t>
      </w:r>
      <w:r w:rsidR="009F577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przede wszystkim dla </w:t>
      </w:r>
      <w:r w:rsidR="00891FF7">
        <w:rPr>
          <w:shd w:val="clear" w:color="auto" w:fill="FFFFFF"/>
        </w:rPr>
        <w:t xml:space="preserve">ocen </w:t>
      </w:r>
      <w:r w:rsidR="006C4C37">
        <w:rPr>
          <w:shd w:val="clear" w:color="auto" w:fill="FFFFFF"/>
        </w:rPr>
        <w:t xml:space="preserve">obecnej możliwości dokonywania ważnych zakupów oraz </w:t>
      </w:r>
      <w:r>
        <w:rPr>
          <w:shd w:val="clear" w:color="auto" w:fill="FFFFFF"/>
        </w:rPr>
        <w:t>przyszłej</w:t>
      </w:r>
      <w:r w:rsidR="00FF4C65">
        <w:rPr>
          <w:shd w:val="clear" w:color="auto" w:fill="FFFFFF"/>
        </w:rPr>
        <w:t xml:space="preserve"> sytuacji ekonomicznej </w:t>
      </w:r>
      <w:r w:rsidR="006D6C0E">
        <w:rPr>
          <w:shd w:val="clear" w:color="auto" w:fill="FFFFFF"/>
        </w:rPr>
        <w:t>kraju</w:t>
      </w:r>
      <w:r>
        <w:rPr>
          <w:shd w:val="clear" w:color="auto" w:fill="FFFFFF"/>
        </w:rPr>
        <w:t xml:space="preserve"> </w:t>
      </w:r>
      <w:r w:rsidR="00891FF7">
        <w:rPr>
          <w:shd w:val="clear" w:color="auto" w:fill="FFFFFF"/>
        </w:rPr>
        <w:t>(</w:t>
      </w:r>
      <w:r>
        <w:rPr>
          <w:shd w:val="clear" w:color="auto" w:fill="FFFFFF"/>
        </w:rPr>
        <w:t xml:space="preserve">spadki odpowiednio o 3,9 i </w:t>
      </w:r>
      <w:r w:rsidR="009F5774">
        <w:rPr>
          <w:shd w:val="clear" w:color="auto" w:fill="FFFFFF"/>
        </w:rPr>
        <w:t>2</w:t>
      </w:r>
      <w:r w:rsidR="00617810">
        <w:rPr>
          <w:shd w:val="clear" w:color="auto" w:fill="FFFFFF"/>
        </w:rPr>
        <w:t>,</w:t>
      </w:r>
      <w:r>
        <w:rPr>
          <w:shd w:val="clear" w:color="auto" w:fill="FFFFFF"/>
        </w:rPr>
        <w:t>6</w:t>
      </w:r>
      <w:r w:rsidR="00891FF7">
        <w:rPr>
          <w:shd w:val="clear" w:color="auto" w:fill="FFFFFF"/>
        </w:rPr>
        <w:t xml:space="preserve"> p. proc.)</w:t>
      </w:r>
      <w:r w:rsidR="00FF48BB">
        <w:rPr>
          <w:shd w:val="clear" w:color="auto" w:fill="FFFFFF"/>
        </w:rPr>
        <w:t>.</w:t>
      </w:r>
      <w:r w:rsidR="007D6F6F">
        <w:rPr>
          <w:shd w:val="clear" w:color="auto" w:fill="FFFFFF"/>
        </w:rPr>
        <w:t xml:space="preserve"> Poprawę </w:t>
      </w:r>
      <w:r w:rsidR="00A33D0D">
        <w:rPr>
          <w:shd w:val="clear" w:color="auto" w:fill="FFFFFF"/>
        </w:rPr>
        <w:t>ocen odnotowano</w:t>
      </w:r>
      <w:r>
        <w:rPr>
          <w:shd w:val="clear" w:color="auto" w:fill="FFFFFF"/>
        </w:rPr>
        <w:t xml:space="preserve"> w</w:t>
      </w:r>
      <w:r w:rsidR="00924F4C">
        <w:rPr>
          <w:shd w:val="clear" w:color="auto" w:fill="FFFFFF"/>
        </w:rPr>
        <w:t> </w:t>
      </w:r>
      <w:r>
        <w:rPr>
          <w:shd w:val="clear" w:color="auto" w:fill="FFFFFF"/>
        </w:rPr>
        <w:t>przypadku</w:t>
      </w:r>
      <w:r w:rsidR="00A33D0D">
        <w:rPr>
          <w:shd w:val="clear" w:color="auto" w:fill="FFFFFF"/>
        </w:rPr>
        <w:t xml:space="preserve"> dwóch składowych</w:t>
      </w:r>
      <w:r w:rsidR="000F55BC">
        <w:rPr>
          <w:shd w:val="clear" w:color="auto" w:fill="FFFFFF"/>
        </w:rPr>
        <w:t>,</w:t>
      </w:r>
      <w:r w:rsidR="00A33D0D">
        <w:rPr>
          <w:shd w:val="clear" w:color="auto" w:fill="FFFFFF"/>
        </w:rPr>
        <w:t xml:space="preserve"> przy czym </w:t>
      </w:r>
      <w:r w:rsidR="007D6F6F">
        <w:rPr>
          <w:shd w:val="clear" w:color="auto" w:fill="FFFFFF"/>
        </w:rPr>
        <w:t>większy</w:t>
      </w:r>
      <w:r w:rsidR="00A33D0D">
        <w:rPr>
          <w:shd w:val="clear" w:color="auto" w:fill="FFFFFF"/>
        </w:rPr>
        <w:t xml:space="preserve"> wzrost </w:t>
      </w:r>
      <w:r w:rsidR="007D6F6F">
        <w:rPr>
          <w:shd w:val="clear" w:color="auto" w:fill="FFFFFF"/>
        </w:rPr>
        <w:t>(</w:t>
      </w:r>
      <w:r w:rsidR="00A33D0D">
        <w:rPr>
          <w:shd w:val="clear" w:color="auto" w:fill="FFFFFF"/>
        </w:rPr>
        <w:t>o 1,6 p. proc.</w:t>
      </w:r>
      <w:r w:rsidR="007D6F6F">
        <w:rPr>
          <w:shd w:val="clear" w:color="auto" w:fill="FFFFFF"/>
        </w:rPr>
        <w:t xml:space="preserve">) </w:t>
      </w:r>
      <w:r w:rsidR="00A33D0D">
        <w:rPr>
          <w:shd w:val="clear" w:color="auto" w:fill="FFFFFF"/>
        </w:rPr>
        <w:t xml:space="preserve">wystąpił w przypadku </w:t>
      </w:r>
      <w:r w:rsidR="009F5774">
        <w:rPr>
          <w:shd w:val="clear" w:color="auto" w:fill="FFFFFF"/>
        </w:rPr>
        <w:t>oceny obecnej sytuacji finansowej gospodarstwa domowego</w:t>
      </w:r>
      <w:r w:rsidR="00A06A63">
        <w:rPr>
          <w:shd w:val="clear" w:color="auto" w:fill="FFFFFF"/>
        </w:rPr>
        <w:t>.</w:t>
      </w:r>
      <w:r w:rsidR="006D6C0E">
        <w:rPr>
          <w:shd w:val="clear" w:color="auto" w:fill="FFFFFF"/>
        </w:rPr>
        <w:t xml:space="preserve"> </w:t>
      </w:r>
    </w:p>
    <w:p w:rsidR="00A06A63" w:rsidRPr="00396FC5" w:rsidRDefault="00A06A63" w:rsidP="00A06A63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porównaniu do </w:t>
      </w:r>
      <w:r w:rsidR="0052745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lipca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2017 r. obecna war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tość BWUK jest wyższa o 1,2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:rsidR="00A06A63" w:rsidRDefault="00A06A63" w:rsidP="002F5124">
      <w:pPr>
        <w:spacing w:before="0"/>
        <w:rPr>
          <w:shd w:val="clear" w:color="auto" w:fill="FFFFFF"/>
        </w:rPr>
      </w:pPr>
    </w:p>
    <w:p w:rsidR="00A06A63" w:rsidRPr="009A5A6D" w:rsidRDefault="00A06A63" w:rsidP="002F5124">
      <w:pPr>
        <w:spacing w:before="0"/>
      </w:pPr>
    </w:p>
    <w:p w:rsidR="00C074FD" w:rsidRDefault="00C074FD" w:rsidP="00C074FD">
      <w:pPr>
        <w:pStyle w:val="Nagwek1"/>
      </w:pPr>
    </w:p>
    <w:p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1904E8F7" wp14:editId="6C6A03ED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EF2" w:rsidRPr="00380DFD" w:rsidRDefault="00CE5EF2" w:rsidP="00A217E6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spadł o 1,6 p. proc. w stosunku do poprzedniego miesiąca</w:t>
                            </w:r>
                          </w:p>
                          <w:p w:rsidR="00CE5EF2" w:rsidRPr="00380DFD" w:rsidRDefault="00CE5EF2" w:rsidP="00C074FD">
                            <w:pPr>
                              <w:pStyle w:val="tekstzboku"/>
                            </w:pPr>
                          </w:p>
                          <w:p w:rsidR="00CE5EF2" w:rsidRPr="00D616D2" w:rsidRDefault="00CE5EF2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4E8F7" id="Pole tekstowe 16" o:spid="_x0000_s1029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Ino&#10;fbM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:rsidR="00CE5EF2" w:rsidRPr="00380DFD" w:rsidRDefault="00CE5EF2" w:rsidP="00A217E6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spadł o 1,6 p. proc. w stosunku do poprzedniego miesiąca</w:t>
                      </w:r>
                    </w:p>
                    <w:p w:rsidR="00CE5EF2" w:rsidRPr="00380DFD" w:rsidRDefault="00CE5EF2" w:rsidP="00C074FD">
                      <w:pPr>
                        <w:pStyle w:val="tekstzboku"/>
                      </w:pPr>
                    </w:p>
                    <w:p w:rsidR="00CE5EF2" w:rsidRPr="00D616D2" w:rsidRDefault="00CE5EF2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 </w:t>
      </w:r>
      <w:r w:rsidR="00527458">
        <w:t>lipcu</w:t>
      </w:r>
      <w:r w:rsidRPr="009A5A6D">
        <w:t xml:space="preserve"> 2018 r.</w:t>
      </w:r>
    </w:p>
    <w:p w:rsidR="00C074FD" w:rsidRPr="00396FC5" w:rsidRDefault="00C074FD" w:rsidP="002F512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 xml:space="preserve">Wyprzedzający wskaźnik ufności konsumenckiej (WWUK), syntetycznie opisujący oczekiwane w najbliższych miesiącach tendencje konsumpcji indywidualnej, </w:t>
      </w:r>
      <w:r w:rsidR="00F729F3">
        <w:rPr>
          <w:shd w:val="clear" w:color="auto" w:fill="FFFFFF"/>
        </w:rPr>
        <w:t>spadł o 1,6</w:t>
      </w:r>
      <w:r w:rsidRPr="00396FC5">
        <w:rPr>
          <w:shd w:val="clear" w:color="auto" w:fill="FFFFFF"/>
        </w:rPr>
        <w:t xml:space="preserve"> p. proc.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F729F3">
        <w:rPr>
          <w:shd w:val="clear" w:color="auto" w:fill="FFFFFF"/>
        </w:rPr>
        <w:t>2</w:t>
      </w:r>
      <w:r w:rsidRPr="00396FC5">
        <w:rPr>
          <w:shd w:val="clear" w:color="auto" w:fill="FFFFFF"/>
        </w:rPr>
        <w:t>,</w:t>
      </w:r>
      <w:r w:rsidR="00F729F3">
        <w:rPr>
          <w:shd w:val="clear" w:color="auto" w:fill="FFFFFF"/>
        </w:rPr>
        <w:t>4</w:t>
      </w:r>
      <w:r w:rsidR="00210F89" w:rsidRPr="00210F89">
        <w:rPr>
          <w:shd w:val="clear" w:color="auto" w:fill="FFFFFF"/>
          <w:vertAlign w:val="superscript"/>
        </w:rPr>
        <w:t>*</w:t>
      </w:r>
      <w:r w:rsidRPr="00396FC5">
        <w:rPr>
          <w:shd w:val="clear" w:color="auto" w:fill="FFFFFF"/>
        </w:rPr>
        <w:t xml:space="preserve">. </w:t>
      </w:r>
    </w:p>
    <w:p w:rsidR="004E61ED" w:rsidRDefault="00B27B18" w:rsidP="002F5124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 xml:space="preserve">Na </w:t>
      </w:r>
      <w:r w:rsidR="003F153D">
        <w:rPr>
          <w:shd w:val="clear" w:color="auto" w:fill="FFFFFF"/>
        </w:rPr>
        <w:t>spadek</w:t>
      </w:r>
      <w:r w:rsidR="00562F4D">
        <w:rPr>
          <w:shd w:val="clear" w:color="auto" w:fill="FFFFFF"/>
        </w:rPr>
        <w:t xml:space="preserve"> </w:t>
      </w:r>
      <w:r w:rsidR="003F153D">
        <w:rPr>
          <w:shd w:val="clear" w:color="auto" w:fill="FFFFFF"/>
        </w:rPr>
        <w:t>wartości wskaźnika wpłynę</w:t>
      </w:r>
      <w:r w:rsidR="00562F4D">
        <w:rPr>
          <w:shd w:val="clear" w:color="auto" w:fill="FFFFFF"/>
        </w:rPr>
        <w:t>ł</w:t>
      </w:r>
      <w:r w:rsidR="003F153D">
        <w:rPr>
          <w:shd w:val="clear" w:color="auto" w:fill="FFFFFF"/>
        </w:rPr>
        <w:t>y głównie</w:t>
      </w:r>
      <w:r w:rsidR="00475BA8">
        <w:rPr>
          <w:shd w:val="clear" w:color="auto" w:fill="FFFFFF"/>
        </w:rPr>
        <w:t xml:space="preserve"> </w:t>
      </w:r>
      <w:r w:rsidR="003F153D">
        <w:rPr>
          <w:shd w:val="clear" w:color="auto" w:fill="FFFFFF"/>
        </w:rPr>
        <w:t>pogarszające się</w:t>
      </w:r>
      <w:r w:rsidR="00542EAD">
        <w:rPr>
          <w:shd w:val="clear" w:color="auto" w:fill="FFFFFF"/>
        </w:rPr>
        <w:t xml:space="preserve"> </w:t>
      </w:r>
      <w:r w:rsidR="00562F4D">
        <w:rPr>
          <w:shd w:val="clear" w:color="auto" w:fill="FFFFFF"/>
        </w:rPr>
        <w:t>ocen</w:t>
      </w:r>
      <w:r w:rsidR="0082543E">
        <w:rPr>
          <w:shd w:val="clear" w:color="auto" w:fill="FFFFFF"/>
        </w:rPr>
        <w:t>y</w:t>
      </w:r>
      <w:r w:rsidR="00562F4D">
        <w:rPr>
          <w:shd w:val="clear" w:color="auto" w:fill="FFFFFF"/>
        </w:rPr>
        <w:t xml:space="preserve"> możliwości</w:t>
      </w:r>
      <w:r w:rsidR="00475BA8">
        <w:rPr>
          <w:shd w:val="clear" w:color="auto" w:fill="FFFFFF"/>
        </w:rPr>
        <w:t xml:space="preserve"> przyszłego oszczędzania p</w:t>
      </w:r>
      <w:r w:rsidR="00562F4D">
        <w:rPr>
          <w:shd w:val="clear" w:color="auto" w:fill="FFFFFF"/>
        </w:rPr>
        <w:t>ieniędzy</w:t>
      </w:r>
      <w:r w:rsidR="003F153D">
        <w:rPr>
          <w:shd w:val="clear" w:color="auto" w:fill="FFFFFF"/>
        </w:rPr>
        <w:t xml:space="preserve"> oraz </w:t>
      </w:r>
      <w:r w:rsidR="006C4C37">
        <w:rPr>
          <w:shd w:val="clear" w:color="auto" w:fill="FFFFFF"/>
        </w:rPr>
        <w:t>przyszłej sytuacji ekonomicznej kraju</w:t>
      </w:r>
      <w:r w:rsidR="00E64BE7">
        <w:rPr>
          <w:shd w:val="clear" w:color="auto" w:fill="FFFFFF"/>
        </w:rPr>
        <w:t xml:space="preserve"> (</w:t>
      </w:r>
      <w:r w:rsidR="006C4C37">
        <w:rPr>
          <w:shd w:val="clear" w:color="auto" w:fill="FFFFFF"/>
        </w:rPr>
        <w:t>spadki odpowiednio o 4,2 i 2,6</w:t>
      </w:r>
      <w:r w:rsidR="00E64BE7">
        <w:rPr>
          <w:shd w:val="clear" w:color="auto" w:fill="FFFFFF"/>
        </w:rPr>
        <w:t xml:space="preserve"> p. proc.)</w:t>
      </w:r>
      <w:r w:rsidR="006962BC">
        <w:rPr>
          <w:shd w:val="clear" w:color="auto" w:fill="FFFFFF"/>
        </w:rPr>
        <w:t xml:space="preserve">. </w:t>
      </w:r>
      <w:r w:rsidR="00A33D0D">
        <w:rPr>
          <w:shd w:val="clear" w:color="auto" w:fill="FFFFFF"/>
        </w:rPr>
        <w:t>Nieznaczną poprawę odnotowano jedynie dla oceny przyszłego poziomu bezrobocia.</w:t>
      </w:r>
    </w:p>
    <w:p w:rsidR="00A06A63" w:rsidRPr="00655E7E" w:rsidRDefault="00A06A63" w:rsidP="00A06A63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655E7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 w:rsidR="0052745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lipcu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br. WWUK osiągnął wartość o 1,1</w:t>
      </w:r>
      <w:r w:rsidRPr="00655E7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wyższą niż w analogicznym miesiącu 2017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</w:t>
      </w:r>
      <w:r w:rsidRPr="00655E7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r. </w:t>
      </w:r>
    </w:p>
    <w:p w:rsidR="00A06A63" w:rsidRDefault="00A06A63" w:rsidP="002F5124">
      <w:pPr>
        <w:spacing w:before="0"/>
        <w:rPr>
          <w:shd w:val="clear" w:color="auto" w:fill="FFFFFF"/>
        </w:rPr>
      </w:pPr>
    </w:p>
    <w:p w:rsidR="00FB451B" w:rsidRDefault="00FB451B" w:rsidP="00FD69E9">
      <w:pPr>
        <w:jc w:val="both"/>
        <w:rPr>
          <w:rFonts w:cs="Arial"/>
          <w:i/>
          <w:spacing w:val="-2"/>
          <w:sz w:val="18"/>
          <w:szCs w:val="18"/>
        </w:rPr>
      </w:pPr>
    </w:p>
    <w:p w:rsidR="00FB451B" w:rsidRDefault="00FB451B" w:rsidP="00FD69E9">
      <w:pPr>
        <w:jc w:val="both"/>
        <w:rPr>
          <w:rFonts w:cs="Arial"/>
          <w:i/>
          <w:spacing w:val="-2"/>
          <w:sz w:val="18"/>
          <w:szCs w:val="18"/>
        </w:rPr>
      </w:pPr>
      <w:bookmarkStart w:id="0" w:name="_GoBack"/>
      <w:bookmarkEnd w:id="0"/>
    </w:p>
    <w:p w:rsidR="00FD69E9" w:rsidRDefault="00FD69E9" w:rsidP="00FD69E9">
      <w:pPr>
        <w:jc w:val="both"/>
        <w:rPr>
          <w:rFonts w:cs="Arial"/>
          <w:i/>
          <w:spacing w:val="-2"/>
          <w:sz w:val="18"/>
          <w:szCs w:val="18"/>
        </w:rPr>
      </w:pPr>
    </w:p>
    <w:p w:rsidR="00A217E6" w:rsidRPr="004E61ED" w:rsidRDefault="00A217E6" w:rsidP="00B27B18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:rsidTr="005F0D73">
        <w:trPr>
          <w:trHeight w:val="36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-27,0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-12,0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-22,1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5357E1" w:rsidRPr="00FA5128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5357E1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2017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-1,7</w:t>
            </w:r>
          </w:p>
        </w:tc>
      </w:tr>
      <w:tr w:rsidR="005357E1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10,2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5357E1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5,7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12,2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4,9</w:t>
            </w:r>
          </w:p>
        </w:tc>
      </w:tr>
      <w:tr w:rsidR="005357E1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-0,9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6,5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4,0</w:t>
            </w:r>
          </w:p>
        </w:tc>
      </w:tr>
      <w:tr w:rsidR="00B81262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81262" w:rsidRPr="007443DC" w:rsidRDefault="00B81262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B81262" w:rsidRDefault="00B81262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81262" w:rsidRPr="005357E1" w:rsidRDefault="001174F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</w:tr>
      <w:tr w:rsidR="004C5E33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C5E33" w:rsidRDefault="004C5E3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4C5E33" w:rsidRDefault="004C5E3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C5E33" w:rsidRDefault="00C81487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6,6</w:t>
            </w:r>
          </w:p>
        </w:tc>
      </w:tr>
      <w:tr w:rsidR="005357E1" w:rsidRPr="00FA5128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4E61ED">
              <w:rPr>
                <w:rFonts w:cs="Arial"/>
                <w:sz w:val="14"/>
              </w:rPr>
              <w:t>2017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-1,2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-4,2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6,6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-1,2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-0,9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-4,8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-9,2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-1,9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-6,4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-8,3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3,3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-2,0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-3,8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-7,2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4,7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-0,8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12,9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3,1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13,2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4,8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-0,3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4,6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10,3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4,0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2,7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13,0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5,7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6,2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13,2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5,0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-0,3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10,0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4,6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5,0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11,0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5,4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-2,4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2,1</w:t>
            </w:r>
          </w:p>
        </w:tc>
      </w:tr>
      <w:tr w:rsidR="004E61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E61ED" w:rsidRPr="004E61ED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4E61ED">
              <w:rPr>
                <w:rFonts w:cs="Arial"/>
                <w:sz w:val="14"/>
              </w:rPr>
              <w:t>2018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5,2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8,9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11,4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E61ED" w:rsidRPr="004E61ED" w:rsidRDefault="004E61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6,2</w:t>
            </w:r>
          </w:p>
        </w:tc>
      </w:tr>
      <w:tr w:rsidR="00781AED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81AED" w:rsidRPr="004E61ED" w:rsidRDefault="00781A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81AED" w:rsidRPr="004E61ED" w:rsidRDefault="00781AED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6,2</w:t>
            </w:r>
          </w:p>
        </w:tc>
      </w:tr>
      <w:tr w:rsidR="00B81262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81262" w:rsidRPr="004E61ED" w:rsidRDefault="00B81262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1262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81262" w:rsidRDefault="001174F6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5,4</w:t>
            </w:r>
          </w:p>
        </w:tc>
      </w:tr>
      <w:tr w:rsidR="006508EE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508EE" w:rsidRPr="004E61ED" w:rsidRDefault="006508EE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6508EE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6508EE" w:rsidRDefault="0035420B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7,8</w:t>
            </w:r>
          </w:p>
        </w:tc>
      </w:tr>
      <w:tr w:rsidR="008D61B1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8D61B1" w:rsidRPr="004E61ED" w:rsidRDefault="008D61B1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8D61B1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8D61B1" w:rsidRDefault="003C78F1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</w:tr>
      <w:tr w:rsidR="004C5E33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C5E33" w:rsidRPr="004E61ED" w:rsidRDefault="004C5E33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4C5E33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C5E33" w:rsidRDefault="00A77879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6,1</w:t>
            </w:r>
          </w:p>
        </w:tc>
      </w:tr>
      <w:tr w:rsidR="00454AB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54AB8" w:rsidRPr="004E61ED" w:rsidRDefault="00454AB8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54AB8" w:rsidP="004E61E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54AB8" w:rsidRDefault="004B587A" w:rsidP="00FD4F5A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5,2</w:t>
            </w:r>
          </w:p>
        </w:tc>
      </w:tr>
      <w:tr w:rsidR="004E61ED" w:rsidRPr="00FA5128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:rsidR="004E61ED" w:rsidRPr="007443DC" w:rsidRDefault="004E61ED" w:rsidP="004E61E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:rsidR="004E61ED" w:rsidRPr="007443DC" w:rsidRDefault="004E61ED" w:rsidP="004E61ED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5663F93B" wp14:editId="545D424B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EF2" w:rsidRPr="0093660E" w:rsidRDefault="00CE5EF2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3F93B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:rsidR="00CE5EF2" w:rsidRPr="0093660E" w:rsidRDefault="00CE5EF2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266F90A3" wp14:editId="210C8B98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C15772" w:rsidRPr="00C15772">
        <w:rPr>
          <w:shd w:val="clear" w:color="auto" w:fill="FFFFFF"/>
        </w:rPr>
        <w:t xml:space="preserve"> 2015–2018</w:t>
      </w:r>
    </w:p>
    <w:p w:rsidR="00FD7BD2" w:rsidRPr="00FD7BD2" w:rsidRDefault="00FD7BD2" w:rsidP="00FD7BD2"/>
    <w:p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176742D5" wp14:editId="6F7B90FC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:rsidTr="00C63004">
        <w:trPr>
          <w:trHeight w:val="36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-24,8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-27,2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C63004" w:rsidRPr="00FA5128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2017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3,1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-12,3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-4,1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9,5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10,4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1,6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11,2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1,6</w:t>
            </w:r>
          </w:p>
        </w:tc>
      </w:tr>
      <w:tr w:rsidR="00B81262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81262" w:rsidRPr="007443DC" w:rsidRDefault="00B81262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B81262" w:rsidRDefault="00B81262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81262" w:rsidRPr="002A3665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</w:tr>
      <w:tr w:rsidR="004C5E33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C5E33" w:rsidRDefault="004C5E3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4C5E33" w:rsidRDefault="004C5E3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2D77B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2D77B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2D77B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C5E33" w:rsidRDefault="002D77B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C5E33" w:rsidRDefault="002D77B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</w:tr>
      <w:tr w:rsidR="00AF2F1E" w:rsidRPr="00FA5128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4E61ED">
              <w:rPr>
                <w:rFonts w:cs="Arial"/>
                <w:sz w:val="14"/>
              </w:rPr>
              <w:t>2017</w:t>
            </w: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-4,4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-3,6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-4,2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-12,9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-3,1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11,0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0,6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11,7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1,8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10,1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1,3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11,0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2,7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10,2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0,8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1,6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13,5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3,4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10,8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-0,2</w:t>
            </w:r>
          </w:p>
        </w:tc>
      </w:tr>
      <w:tr w:rsidR="002A366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A3665" w:rsidRPr="004E61ED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4E61ED">
              <w:rPr>
                <w:rFonts w:cs="Arial"/>
                <w:sz w:val="14"/>
              </w:rPr>
              <w:t>2018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4E61ED" w:rsidRDefault="002A366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4E61ED"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13,6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4,3</w:t>
            </w:r>
          </w:p>
        </w:tc>
      </w:tr>
      <w:tr w:rsidR="00BF0508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F0508" w:rsidRPr="004E61ED" w:rsidRDefault="00BF050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4E61ED" w:rsidRDefault="00BF050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2A3665" w:rsidRDefault="00BF050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2A3665" w:rsidRDefault="00BF050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2A3665" w:rsidRDefault="00BF050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F0508" w:rsidRPr="002A3665" w:rsidRDefault="00BF050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F0508" w:rsidRPr="002A3665" w:rsidRDefault="006C154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</w:tr>
      <w:tr w:rsidR="00B81262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81262" w:rsidRPr="004E61ED" w:rsidRDefault="00B81262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1262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81262" w:rsidRDefault="00B86BC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6508EE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508EE" w:rsidRPr="004E61ED" w:rsidRDefault="006508E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6508EE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4D407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4D407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4D407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508EE" w:rsidRDefault="004D407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6508EE" w:rsidRDefault="004D407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8D61B1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8D61B1" w:rsidRPr="004E61ED" w:rsidRDefault="008D61B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8D61B1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2F22D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2F22D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2F22D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8D61B1" w:rsidRDefault="002F22D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8D61B1" w:rsidRDefault="002F22D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</w:tr>
      <w:tr w:rsidR="00E53C71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53C71" w:rsidRPr="004E61ED" w:rsidRDefault="00E53C7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53C71" w:rsidRDefault="00E53C71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53C71" w:rsidRDefault="009F5AA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53C71" w:rsidRDefault="009F5AA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53C71" w:rsidRDefault="009F5AA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53C71" w:rsidRDefault="009F5AA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E53C71" w:rsidRDefault="009F5AA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454AB8">
              <w:rPr>
                <w:rFonts w:cs="Arial"/>
                <w:sz w:val="14"/>
                <w:szCs w:val="20"/>
              </w:rPr>
              <w:t>,0</w:t>
            </w:r>
          </w:p>
        </w:tc>
      </w:tr>
      <w:tr w:rsidR="00454AB8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454AB8" w:rsidRPr="004E61ED" w:rsidRDefault="00454AB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54AB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F7BB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F7BB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F7BB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454AB8" w:rsidRDefault="004F7BB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454AB8" w:rsidRDefault="004F7BB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</w:tr>
      <w:tr w:rsidR="002A3665" w:rsidRPr="00FA5128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BD52DDD" wp14:editId="6C4D5CD0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EF2" w:rsidRPr="0093660E" w:rsidRDefault="00CE5EF2" w:rsidP="0093660E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:rsidR="00CE5EF2" w:rsidRPr="0093660E" w:rsidRDefault="00CE5EF2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52DDD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:rsidR="00CE5EF2" w:rsidRPr="0093660E" w:rsidRDefault="00CE5EF2" w:rsidP="0093660E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:rsidR="00CE5EF2" w:rsidRPr="0093660E" w:rsidRDefault="00CE5EF2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:rsidR="00E41497" w:rsidRPr="00BA3562" w:rsidRDefault="00E41497" w:rsidP="00A866F2">
      <w:pPr>
        <w:ind w:left="851" w:hanging="851"/>
        <w:rPr>
          <w:b/>
          <w:spacing w:val="-2"/>
          <w:sz w:val="18"/>
          <w:shd w:val="clear" w:color="auto" w:fill="FFFFFF"/>
        </w:rPr>
      </w:pPr>
    </w:p>
    <w:p w:rsidR="00CF6348" w:rsidRDefault="00CF6348" w:rsidP="00C562B2">
      <w:pPr>
        <w:pStyle w:val="tytuwykresu"/>
        <w:ind w:left="851" w:hanging="851"/>
      </w:pPr>
    </w:p>
    <w:p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A217E6" w:rsidRPr="00C15772">
        <w:rPr>
          <w:shd w:val="clear" w:color="auto" w:fill="FFFFFF"/>
        </w:rPr>
        <w:t xml:space="preserve"> 2015–2018</w:t>
      </w:r>
    </w:p>
    <w:p w:rsidR="00C562B2" w:rsidRPr="00FD7BD2" w:rsidRDefault="00C562B2" w:rsidP="00C562B2"/>
    <w:p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>
                <wp:simplePos x="0" y="0"/>
                <wp:positionH relativeFrom="column">
                  <wp:posOffset>337047</wp:posOffset>
                </wp:positionH>
                <wp:positionV relativeFrom="paragraph">
                  <wp:posOffset>3452495</wp:posOffset>
                </wp:positionV>
                <wp:extent cx="1502410" cy="269875"/>
                <wp:effectExtent l="0" t="0" r="254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EF2" w:rsidRPr="003B3271" w:rsidRDefault="00CE5EF2" w:rsidP="003B3271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>** kwiecień, lipiec, październik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6.55pt;margin-top:271.85pt;width:118.3pt;height:2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" stroked="f">
                <v:textbox>
                  <w:txbxContent>
                    <w:p w:rsidR="00CE5EF2" w:rsidRPr="003B3271" w:rsidRDefault="00CE5EF2" w:rsidP="003B3271">
                      <w:pPr>
                        <w:spacing w:before="0" w:after="0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>** kwiecień, lipiec, październik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6A496C9D" wp14:editId="1DD8A87E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:rsidR="00CF6348" w:rsidRPr="00CF6348" w:rsidRDefault="00CF6348" w:rsidP="00CF6348">
      <w:pPr>
        <w:rPr>
          <w:lang w:eastAsia="pl-PL"/>
        </w:rPr>
      </w:pPr>
    </w:p>
    <w:p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17"/>
          <w:footerReference w:type="default" r:id="rId18"/>
          <w:headerReference w:type="first" r:id="rId19"/>
          <w:footerReference w:type="first" r:id="rId20"/>
          <w:footnotePr>
            <w:numFmt w:val="chicago"/>
          </w:foot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2F027A" w:rsidTr="00F87A89">
        <w:trPr>
          <w:trHeight w:val="1912"/>
        </w:trPr>
        <w:tc>
          <w:tcPr>
            <w:tcW w:w="4239" w:type="dxa"/>
          </w:tcPr>
          <w:p w:rsidR="000470AA" w:rsidRPr="008F3638" w:rsidRDefault="000470AA" w:rsidP="004266E2">
            <w:pPr>
              <w:spacing w:before="0" w:after="0" w:line="276" w:lineRule="auto"/>
              <w:ind w:right="587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470AA" w:rsidRDefault="0052620B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:rsidR="0052620B" w:rsidRPr="008F3638" w:rsidRDefault="0052620B" w:rsidP="004266E2">
            <w:pPr>
              <w:spacing w:before="0" w:after="0" w:line="240" w:lineRule="auto"/>
              <w:ind w:right="729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Ośrodek Warunków Życia i Badań Ankietowych</w:t>
            </w:r>
          </w:p>
          <w:p w:rsidR="000470AA" w:rsidRPr="00BB4F09" w:rsidRDefault="0052620B" w:rsidP="00051E07">
            <w:pPr>
              <w:pStyle w:val="Nagwek3"/>
              <w:spacing w:before="0" w:line="240" w:lineRule="auto"/>
              <w:ind w:right="303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Iwona Ulanowska</w:t>
            </w:r>
          </w:p>
          <w:p w:rsidR="000470AA" w:rsidRPr="008F3638" w:rsidRDefault="0052620B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="000470AA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683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91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73</w:t>
            </w:r>
          </w:p>
          <w:p w:rsidR="000470AA" w:rsidRPr="008F3638" w:rsidRDefault="000470AA" w:rsidP="0052620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655E7E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1" w:history="1">
              <w:r w:rsidR="0052620B" w:rsidRPr="00655E7E">
                <w:rPr>
                  <w:rStyle w:val="Hipercze"/>
                  <w:rFonts w:ascii="Fira Sans" w:hAnsi="Fira Sans" w:cs="Arial"/>
                  <w:b/>
                  <w:sz w:val="20"/>
                  <w:szCs w:val="20"/>
                </w:rPr>
                <w:t>i.ulanowska@stat.gov.pl</w:t>
              </w:r>
            </w:hyperlink>
          </w:p>
        </w:tc>
        <w:tc>
          <w:tcPr>
            <w:tcW w:w="3828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530074" w:rsidRDefault="000470AA" w:rsidP="000470AA">
      <w:pPr>
        <w:rPr>
          <w:sz w:val="20"/>
          <w:lang w:val="en-US"/>
        </w:rPr>
      </w:pPr>
    </w:p>
    <w:p w:rsidR="000470AA" w:rsidRPr="0053007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="00097840"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0470AA" w:rsidRPr="00530074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530074">
              <w:rPr>
                <w:b/>
                <w:sz w:val="20"/>
                <w:lang w:val="en-US"/>
              </w:rPr>
              <w:t>faks</w:t>
            </w:r>
            <w:proofErr w:type="spellEnd"/>
            <w:r w:rsidRPr="00530074">
              <w:rPr>
                <w:b/>
                <w:sz w:val="20"/>
                <w:lang w:val="en-US"/>
              </w:rPr>
              <w:t>:</w:t>
            </w:r>
            <w:r w:rsidR="00097840" w:rsidRPr="00530074">
              <w:rPr>
                <w:sz w:val="20"/>
                <w:lang w:val="en-US"/>
              </w:rPr>
              <w:t xml:space="preserve"> 22</w:t>
            </w:r>
            <w:r w:rsidRPr="00530074">
              <w:rPr>
                <w:sz w:val="20"/>
                <w:lang w:val="en-US"/>
              </w:rPr>
              <w:t xml:space="preserve"> 608 38 86 </w:t>
            </w:r>
          </w:p>
          <w:p w:rsidR="000470AA" w:rsidRPr="00530074" w:rsidRDefault="000470AA" w:rsidP="000470AA">
            <w:pPr>
              <w:rPr>
                <w:sz w:val="18"/>
                <w:lang w:val="en-US"/>
              </w:rPr>
            </w:pPr>
            <w:r w:rsidRPr="00530074">
              <w:rPr>
                <w:b/>
                <w:sz w:val="20"/>
                <w:lang w:val="en-US"/>
              </w:rPr>
              <w:t>e-mail:</w:t>
            </w:r>
            <w:r w:rsidRPr="00530074">
              <w:rPr>
                <w:sz w:val="20"/>
                <w:lang w:val="en-US"/>
              </w:rPr>
              <w:t xml:space="preserve"> </w:t>
            </w:r>
            <w:hyperlink r:id="rId23" w:history="1">
              <w:r w:rsidRPr="00530074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530074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029F7C" wp14:editId="30AD5002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EF2" w:rsidRDefault="00CE5EF2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CE5EF2" w:rsidRPr="00C51D06" w:rsidRDefault="00CE5EF2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CE5EF2" w:rsidRPr="00F65B91" w:rsidRDefault="00EE5223" w:rsidP="009942D1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CE5EF2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przemyśle, budownictwie, handlu i usługach w czerwcu 2018 roku</w:t>
                              </w:r>
                            </w:hyperlink>
                          </w:p>
                          <w:p w:rsidR="00CE5EF2" w:rsidRPr="00C51D06" w:rsidRDefault="00EE5223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CE5EF2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5/2018</w:t>
                              </w:r>
                            </w:hyperlink>
                          </w:p>
                          <w:p w:rsidR="00CE5EF2" w:rsidRPr="00C51D06" w:rsidRDefault="00CE5EF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CE5EF2" w:rsidRPr="00655E7E" w:rsidRDefault="00CE5EF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CE5EF2" w:rsidRPr="00E827EF" w:rsidRDefault="00EE5223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CE5EF2" w:rsidRPr="00E827EF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 Ludności</w:t>
                              </w:r>
                            </w:hyperlink>
                          </w:p>
                          <w:p w:rsidR="00CE5EF2" w:rsidRPr="00C267CA" w:rsidRDefault="00CE5EF2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9F7C" id="_x0000_s1033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kZifX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CE5EF2" w:rsidRDefault="00CE5EF2" w:rsidP="00AB6D25">
                      <w:pPr>
                        <w:rPr>
                          <w:b/>
                        </w:rPr>
                      </w:pPr>
                    </w:p>
                    <w:p w:rsidR="00CE5EF2" w:rsidRPr="00C51D06" w:rsidRDefault="00CE5EF2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:rsidR="00CE5EF2" w:rsidRPr="00F65B91" w:rsidRDefault="00CE5EF2" w:rsidP="009942D1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Koniunktura w przemyśle, budownictwie, handlu i usługach w czerwcu 2018 roku</w:t>
                        </w:r>
                      </w:hyperlink>
                    </w:p>
                    <w:p w:rsidR="00CE5EF2" w:rsidRPr="00C51D06" w:rsidRDefault="00CE5EF2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Nr 5/2018</w:t>
                        </w:r>
                      </w:hyperlink>
                    </w:p>
                    <w:p w:rsidR="00CE5EF2" w:rsidRPr="00C51D06" w:rsidRDefault="00CE5EF2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CE5EF2" w:rsidRPr="00655E7E" w:rsidRDefault="00CE5EF2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CE5EF2" w:rsidRPr="00E827EF" w:rsidRDefault="00CE5EF2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Pr="00E827EF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 Ludności</w:t>
                        </w:r>
                      </w:hyperlink>
                    </w:p>
                    <w:p w:rsidR="00CE5EF2" w:rsidRPr="00C267CA" w:rsidRDefault="00CE5EF2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223" w:rsidRDefault="00EE5223" w:rsidP="000662E2">
      <w:pPr>
        <w:spacing w:after="0" w:line="240" w:lineRule="auto"/>
      </w:pPr>
      <w:r>
        <w:separator/>
      </w:r>
    </w:p>
  </w:endnote>
  <w:endnote w:type="continuationSeparator" w:id="0">
    <w:p w:rsidR="00EE5223" w:rsidRDefault="00EE522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3B81CB3-E01D-428D-B42E-9BA45A48B112}"/>
    <w:embedBold r:id="rId2" w:fontKey="{680FAA8C-766C-4329-BD23-E84255288D65}"/>
    <w:embedItalic r:id="rId3" w:fontKey="{DE16AE2A-037D-4DEB-AC8A-7A0A65FD6C8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3674E07E-870E-4E19-AF9B-CB53DE20E7D0}"/>
    <w:embedBold r:id="rId5" w:fontKey="{B3126710-47DB-478E-A7C0-245CA1078DD2}"/>
    <w:embedItalic r:id="rId6" w:fontKey="{6B32C02D-B7D9-4254-A94D-05EE7A3E5DA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06DA73B-5DC1-4C32-BC33-965210BC5356}"/>
    <w:embedBold r:id="rId8" w:fontKey="{6EA57FD5-55CD-4AA4-9194-E4D07EEC0FC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2415EA2-3FF7-4079-BF1B-BBDBB3D0DCB4}"/>
    <w:embedItalic r:id="rId10" w:fontKey="{75665BB8-F87A-458D-87DC-7DBDE35B8BA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724CC41-54C5-49ED-AA21-32A5CC4319A5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2" w:fontKey="{DF008168-E8D8-4E3A-BB54-CE463D83061E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CE5EF2" w:rsidRDefault="00CE5E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027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CE5EF2" w:rsidRDefault="00CE5E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027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CE5EF2" w:rsidRDefault="00CE5E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027A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223" w:rsidRDefault="00EE5223" w:rsidP="000662E2">
      <w:pPr>
        <w:spacing w:after="0" w:line="240" w:lineRule="auto"/>
      </w:pPr>
      <w:r>
        <w:separator/>
      </w:r>
    </w:p>
  </w:footnote>
  <w:footnote w:type="continuationSeparator" w:id="0">
    <w:p w:rsidR="00EE5223" w:rsidRDefault="00EE5223" w:rsidP="000662E2">
      <w:pPr>
        <w:spacing w:after="0" w:line="240" w:lineRule="auto"/>
      </w:pPr>
      <w:r>
        <w:continuationSeparator/>
      </w:r>
    </w:p>
  </w:footnote>
  <w:footnote w:id="1">
    <w:p w:rsidR="00CE5EF2" w:rsidRPr="00EC6435" w:rsidRDefault="00CE5EF2" w:rsidP="005B3A86">
      <w:pPr>
        <w:pStyle w:val="Default"/>
        <w:rPr>
          <w:rFonts w:ascii="Fira Sans" w:hAnsi="Fira Sans" w:cs="Fira Sans"/>
        </w:rPr>
      </w:pPr>
      <w:r>
        <w:rPr>
          <w:rStyle w:val="Odwoanieprzypisudolnego"/>
        </w:rPr>
        <w:footnoteRef/>
      </w:r>
      <w:r>
        <w:t xml:space="preserve"> </w:t>
      </w:r>
      <w:r w:rsidRPr="00210F89">
        <w:rPr>
          <w:rFonts w:ascii="Fira Sans" w:hAnsi="Fira Sans" w:cs="Fira Sans"/>
          <w:sz w:val="16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210F89">
        <w:rPr>
          <w:rFonts w:ascii="Fira Sans" w:hAnsi="Fira Sans"/>
          <w:noProof/>
          <w:sz w:val="16"/>
        </w:rPr>
        <w:t xml:space="preserve">W </w:t>
      </w:r>
      <w:r>
        <w:rPr>
          <w:rFonts w:ascii="Fira Sans" w:hAnsi="Fira Sans"/>
          <w:noProof/>
          <w:sz w:val="16"/>
        </w:rPr>
        <w:t>lipcu 2018 r. przeprowadzono 1262 wywiady</w:t>
      </w:r>
      <w:r w:rsidRPr="00210F89">
        <w:rPr>
          <w:rFonts w:ascii="Fira Sans" w:hAnsi="Fira Sans"/>
          <w:noProof/>
          <w:sz w:val="16"/>
        </w:rPr>
        <w:t xml:space="preserve"> w</w:t>
      </w:r>
      <w:r>
        <w:rPr>
          <w:rFonts w:ascii="Fira Sans" w:hAnsi="Fira Sans"/>
          <w:noProof/>
          <w:sz w:val="16"/>
        </w:rPr>
        <w:t> </w:t>
      </w:r>
      <w:r w:rsidRPr="00210F89">
        <w:rPr>
          <w:rFonts w:ascii="Fira Sans" w:hAnsi="Fira Sans"/>
          <w:noProof/>
          <w:sz w:val="16"/>
        </w:rPr>
        <w:t>ok</w:t>
      </w:r>
      <w:r>
        <w:rPr>
          <w:rFonts w:ascii="Fira Sans" w:hAnsi="Fira Sans"/>
          <w:noProof/>
          <w:sz w:val="16"/>
        </w:rPr>
        <w:t>resie 02-11.07.2018 r. (w tym 85</w:t>
      </w:r>
      <w:r w:rsidRPr="00210F89">
        <w:rPr>
          <w:rFonts w:ascii="Fira Sans" w:hAnsi="Fira Sans"/>
          <w:noProof/>
          <w:sz w:val="16"/>
        </w:rPr>
        <w:t xml:space="preserve"> metodą CATI – wywiadu telefonicznego wspomaganego komputerowo).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EF2" w:rsidRDefault="00CE5EF2">
    <w:pPr>
      <w:pStyle w:val="Nagwek"/>
    </w:pPr>
  </w:p>
  <w:p w:rsidR="00CE5EF2" w:rsidRDefault="00CE5E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EF2" w:rsidRDefault="00CE5EF2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2286000" cy="742950"/>
          <wp:effectExtent l="0" t="0" r="0" b="0"/>
          <wp:docPr id="4" name="Obraz 4" descr="as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6F80E9" wp14:editId="72B1336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5EF2" w:rsidRPr="003C6C8D" w:rsidRDefault="00CE5E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6F80E9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5EF2" w:rsidRPr="003C6C8D" w:rsidRDefault="00CE5E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2D3DA2" wp14:editId="3CA234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CE5EF2" w:rsidRDefault="00CE5EF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0608F51" wp14:editId="6366C38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E5EF2" w:rsidRPr="00C97596" w:rsidRDefault="00CE5EF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18.07.2018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08F51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CE5EF2" w:rsidRPr="00C97596" w:rsidRDefault="00CE5EF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18.07.2018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EF2" w:rsidRDefault="00CE5EF2">
    <w:pPr>
      <w:pStyle w:val="Nagwek"/>
    </w:pPr>
  </w:p>
  <w:p w:rsidR="00CE5EF2" w:rsidRDefault="00CE5E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47B35"/>
    <w:rsid w:val="00051E07"/>
    <w:rsid w:val="00053B77"/>
    <w:rsid w:val="00057CA1"/>
    <w:rsid w:val="000662E2"/>
    <w:rsid w:val="00066883"/>
    <w:rsid w:val="00072F74"/>
    <w:rsid w:val="00074DD8"/>
    <w:rsid w:val="000806E2"/>
    <w:rsid w:val="000806F7"/>
    <w:rsid w:val="00086288"/>
    <w:rsid w:val="00092223"/>
    <w:rsid w:val="00097840"/>
    <w:rsid w:val="000B0727"/>
    <w:rsid w:val="000B0D27"/>
    <w:rsid w:val="000B5253"/>
    <w:rsid w:val="000C135D"/>
    <w:rsid w:val="000C5F1F"/>
    <w:rsid w:val="000D0352"/>
    <w:rsid w:val="000D1D43"/>
    <w:rsid w:val="000D225C"/>
    <w:rsid w:val="000D29F7"/>
    <w:rsid w:val="000D2A5C"/>
    <w:rsid w:val="000E0918"/>
    <w:rsid w:val="000E60B4"/>
    <w:rsid w:val="000E615F"/>
    <w:rsid w:val="000F55BC"/>
    <w:rsid w:val="001011C3"/>
    <w:rsid w:val="00107A73"/>
    <w:rsid w:val="00110D87"/>
    <w:rsid w:val="00113C04"/>
    <w:rsid w:val="00114DB9"/>
    <w:rsid w:val="0011502A"/>
    <w:rsid w:val="00116087"/>
    <w:rsid w:val="001174F6"/>
    <w:rsid w:val="0012106E"/>
    <w:rsid w:val="001258BC"/>
    <w:rsid w:val="00130296"/>
    <w:rsid w:val="00131F96"/>
    <w:rsid w:val="00133BFC"/>
    <w:rsid w:val="001423B6"/>
    <w:rsid w:val="001448A7"/>
    <w:rsid w:val="00146621"/>
    <w:rsid w:val="00162325"/>
    <w:rsid w:val="00162C4B"/>
    <w:rsid w:val="00181035"/>
    <w:rsid w:val="00192832"/>
    <w:rsid w:val="001951DA"/>
    <w:rsid w:val="00197987"/>
    <w:rsid w:val="00197B94"/>
    <w:rsid w:val="001C3269"/>
    <w:rsid w:val="001C42EB"/>
    <w:rsid w:val="001D1DB4"/>
    <w:rsid w:val="001D2AA0"/>
    <w:rsid w:val="001D7E17"/>
    <w:rsid w:val="001F2A20"/>
    <w:rsid w:val="00210F89"/>
    <w:rsid w:val="00227C24"/>
    <w:rsid w:val="00255158"/>
    <w:rsid w:val="002574F9"/>
    <w:rsid w:val="00262B61"/>
    <w:rsid w:val="00262E7F"/>
    <w:rsid w:val="00276811"/>
    <w:rsid w:val="00282699"/>
    <w:rsid w:val="00285ED8"/>
    <w:rsid w:val="002926DF"/>
    <w:rsid w:val="0029516C"/>
    <w:rsid w:val="00296697"/>
    <w:rsid w:val="002971E7"/>
    <w:rsid w:val="002A3665"/>
    <w:rsid w:val="002B0472"/>
    <w:rsid w:val="002B2112"/>
    <w:rsid w:val="002B6B12"/>
    <w:rsid w:val="002C458A"/>
    <w:rsid w:val="002D5918"/>
    <w:rsid w:val="002D77BE"/>
    <w:rsid w:val="002E0940"/>
    <w:rsid w:val="002E6140"/>
    <w:rsid w:val="002E6985"/>
    <w:rsid w:val="002E71B6"/>
    <w:rsid w:val="002F027A"/>
    <w:rsid w:val="002F22D2"/>
    <w:rsid w:val="002F5124"/>
    <w:rsid w:val="002F77C8"/>
    <w:rsid w:val="0030476F"/>
    <w:rsid w:val="00304F22"/>
    <w:rsid w:val="00306C7C"/>
    <w:rsid w:val="00320B84"/>
    <w:rsid w:val="00322EDD"/>
    <w:rsid w:val="00332320"/>
    <w:rsid w:val="003346B1"/>
    <w:rsid w:val="00341AC1"/>
    <w:rsid w:val="00345AB6"/>
    <w:rsid w:val="00347D72"/>
    <w:rsid w:val="00351316"/>
    <w:rsid w:val="0035420B"/>
    <w:rsid w:val="00357611"/>
    <w:rsid w:val="00367237"/>
    <w:rsid w:val="003701DE"/>
    <w:rsid w:val="0037077F"/>
    <w:rsid w:val="00372411"/>
    <w:rsid w:val="00373882"/>
    <w:rsid w:val="00377B67"/>
    <w:rsid w:val="00380DFD"/>
    <w:rsid w:val="003843DB"/>
    <w:rsid w:val="00393761"/>
    <w:rsid w:val="00394115"/>
    <w:rsid w:val="00396FC5"/>
    <w:rsid w:val="00397D18"/>
    <w:rsid w:val="003A0714"/>
    <w:rsid w:val="003A1B36"/>
    <w:rsid w:val="003A3169"/>
    <w:rsid w:val="003B1454"/>
    <w:rsid w:val="003B18B6"/>
    <w:rsid w:val="003B3271"/>
    <w:rsid w:val="003C019D"/>
    <w:rsid w:val="003C59E0"/>
    <w:rsid w:val="003C6C8D"/>
    <w:rsid w:val="003C78F1"/>
    <w:rsid w:val="003D01F8"/>
    <w:rsid w:val="003D4F95"/>
    <w:rsid w:val="003D57EF"/>
    <w:rsid w:val="003D5F42"/>
    <w:rsid w:val="003D60A9"/>
    <w:rsid w:val="003E5F73"/>
    <w:rsid w:val="003F153D"/>
    <w:rsid w:val="003F450F"/>
    <w:rsid w:val="003F4C97"/>
    <w:rsid w:val="003F514B"/>
    <w:rsid w:val="003F7FE6"/>
    <w:rsid w:val="00400193"/>
    <w:rsid w:val="004013C9"/>
    <w:rsid w:val="00401F1A"/>
    <w:rsid w:val="00406761"/>
    <w:rsid w:val="004212E7"/>
    <w:rsid w:val="0042446D"/>
    <w:rsid w:val="004266E2"/>
    <w:rsid w:val="00427BF8"/>
    <w:rsid w:val="00431318"/>
    <w:rsid w:val="00431C02"/>
    <w:rsid w:val="00437395"/>
    <w:rsid w:val="0044211B"/>
    <w:rsid w:val="00445047"/>
    <w:rsid w:val="00454AB8"/>
    <w:rsid w:val="00463E39"/>
    <w:rsid w:val="004657FC"/>
    <w:rsid w:val="00465D66"/>
    <w:rsid w:val="00466732"/>
    <w:rsid w:val="004733F6"/>
    <w:rsid w:val="00474E69"/>
    <w:rsid w:val="00475BA8"/>
    <w:rsid w:val="00483BB4"/>
    <w:rsid w:val="00486E1D"/>
    <w:rsid w:val="0049621B"/>
    <w:rsid w:val="00496F49"/>
    <w:rsid w:val="0049754B"/>
    <w:rsid w:val="004B2FF7"/>
    <w:rsid w:val="004B587A"/>
    <w:rsid w:val="004B7496"/>
    <w:rsid w:val="004C1895"/>
    <w:rsid w:val="004C5E33"/>
    <w:rsid w:val="004C6D40"/>
    <w:rsid w:val="004D268C"/>
    <w:rsid w:val="004D4078"/>
    <w:rsid w:val="004E312A"/>
    <w:rsid w:val="004E464A"/>
    <w:rsid w:val="004E61ED"/>
    <w:rsid w:val="004E6889"/>
    <w:rsid w:val="004F0C3C"/>
    <w:rsid w:val="004F63FC"/>
    <w:rsid w:val="004F7BB4"/>
    <w:rsid w:val="00500D94"/>
    <w:rsid w:val="00505A92"/>
    <w:rsid w:val="00505EA2"/>
    <w:rsid w:val="00510D9A"/>
    <w:rsid w:val="005203F1"/>
    <w:rsid w:val="00521BC3"/>
    <w:rsid w:val="0052620B"/>
    <w:rsid w:val="00526FE9"/>
    <w:rsid w:val="00527458"/>
    <w:rsid w:val="00530074"/>
    <w:rsid w:val="00533632"/>
    <w:rsid w:val="005336B5"/>
    <w:rsid w:val="00534B5E"/>
    <w:rsid w:val="005357E1"/>
    <w:rsid w:val="0053753D"/>
    <w:rsid w:val="00541E6E"/>
    <w:rsid w:val="0054251F"/>
    <w:rsid w:val="00542EAD"/>
    <w:rsid w:val="005479B1"/>
    <w:rsid w:val="005520D8"/>
    <w:rsid w:val="00555E43"/>
    <w:rsid w:val="00556CF1"/>
    <w:rsid w:val="00561BB7"/>
    <w:rsid w:val="00562F4D"/>
    <w:rsid w:val="0057036A"/>
    <w:rsid w:val="005762A7"/>
    <w:rsid w:val="00581651"/>
    <w:rsid w:val="005916D7"/>
    <w:rsid w:val="005930D9"/>
    <w:rsid w:val="005A36AA"/>
    <w:rsid w:val="005A653B"/>
    <w:rsid w:val="005A698C"/>
    <w:rsid w:val="005A730E"/>
    <w:rsid w:val="005B3A86"/>
    <w:rsid w:val="005C433F"/>
    <w:rsid w:val="005E0799"/>
    <w:rsid w:val="005E0B91"/>
    <w:rsid w:val="005F0D73"/>
    <w:rsid w:val="005F4EA6"/>
    <w:rsid w:val="005F5A80"/>
    <w:rsid w:val="00600F7B"/>
    <w:rsid w:val="006044FF"/>
    <w:rsid w:val="00607CC5"/>
    <w:rsid w:val="00617810"/>
    <w:rsid w:val="00633014"/>
    <w:rsid w:val="0063437B"/>
    <w:rsid w:val="006404CD"/>
    <w:rsid w:val="0064135C"/>
    <w:rsid w:val="006508EE"/>
    <w:rsid w:val="00655E7E"/>
    <w:rsid w:val="00656AE2"/>
    <w:rsid w:val="00661ECB"/>
    <w:rsid w:val="00663D48"/>
    <w:rsid w:val="00665EB3"/>
    <w:rsid w:val="006673CA"/>
    <w:rsid w:val="00672418"/>
    <w:rsid w:val="00673C26"/>
    <w:rsid w:val="00676474"/>
    <w:rsid w:val="006765B6"/>
    <w:rsid w:val="006812AF"/>
    <w:rsid w:val="0068327D"/>
    <w:rsid w:val="00694AF0"/>
    <w:rsid w:val="00695B50"/>
    <w:rsid w:val="006962BC"/>
    <w:rsid w:val="006A4686"/>
    <w:rsid w:val="006A745A"/>
    <w:rsid w:val="006B0E9E"/>
    <w:rsid w:val="006B5AE4"/>
    <w:rsid w:val="006C154F"/>
    <w:rsid w:val="006C4C37"/>
    <w:rsid w:val="006D1507"/>
    <w:rsid w:val="006D4054"/>
    <w:rsid w:val="006D6C0E"/>
    <w:rsid w:val="006E02EC"/>
    <w:rsid w:val="006F05D5"/>
    <w:rsid w:val="007004AD"/>
    <w:rsid w:val="00707207"/>
    <w:rsid w:val="0071553E"/>
    <w:rsid w:val="00715683"/>
    <w:rsid w:val="007211B1"/>
    <w:rsid w:val="007443DC"/>
    <w:rsid w:val="00744F8A"/>
    <w:rsid w:val="00745D81"/>
    <w:rsid w:val="00746187"/>
    <w:rsid w:val="0076254F"/>
    <w:rsid w:val="00775052"/>
    <w:rsid w:val="00776AD6"/>
    <w:rsid w:val="007801F5"/>
    <w:rsid w:val="00780EB6"/>
    <w:rsid w:val="00781AED"/>
    <w:rsid w:val="00783CA4"/>
    <w:rsid w:val="007842FB"/>
    <w:rsid w:val="00786124"/>
    <w:rsid w:val="0079514B"/>
    <w:rsid w:val="0079706E"/>
    <w:rsid w:val="007A2DC1"/>
    <w:rsid w:val="007A7B28"/>
    <w:rsid w:val="007B7753"/>
    <w:rsid w:val="007D3319"/>
    <w:rsid w:val="007D335D"/>
    <w:rsid w:val="007D6F6F"/>
    <w:rsid w:val="007E3314"/>
    <w:rsid w:val="007E4B03"/>
    <w:rsid w:val="007F324B"/>
    <w:rsid w:val="007F4E3D"/>
    <w:rsid w:val="0080553C"/>
    <w:rsid w:val="00805B46"/>
    <w:rsid w:val="00812A08"/>
    <w:rsid w:val="0082137A"/>
    <w:rsid w:val="0082262A"/>
    <w:rsid w:val="0082543E"/>
    <w:rsid w:val="00825DC2"/>
    <w:rsid w:val="00834AD3"/>
    <w:rsid w:val="00843795"/>
    <w:rsid w:val="00847F0F"/>
    <w:rsid w:val="0085237B"/>
    <w:rsid w:val="00852448"/>
    <w:rsid w:val="00866947"/>
    <w:rsid w:val="0088258A"/>
    <w:rsid w:val="00886332"/>
    <w:rsid w:val="00886CAB"/>
    <w:rsid w:val="00887A82"/>
    <w:rsid w:val="008908A3"/>
    <w:rsid w:val="00891FF7"/>
    <w:rsid w:val="00897772"/>
    <w:rsid w:val="008979AA"/>
    <w:rsid w:val="008A26D9"/>
    <w:rsid w:val="008A2F86"/>
    <w:rsid w:val="008C0C29"/>
    <w:rsid w:val="008C2B4B"/>
    <w:rsid w:val="008D61B1"/>
    <w:rsid w:val="008E39CE"/>
    <w:rsid w:val="008F3638"/>
    <w:rsid w:val="008F4441"/>
    <w:rsid w:val="008F6F31"/>
    <w:rsid w:val="008F74DF"/>
    <w:rsid w:val="0090176A"/>
    <w:rsid w:val="00907522"/>
    <w:rsid w:val="009127BA"/>
    <w:rsid w:val="00914E6D"/>
    <w:rsid w:val="009227A6"/>
    <w:rsid w:val="00924F4C"/>
    <w:rsid w:val="00931755"/>
    <w:rsid w:val="00933EC1"/>
    <w:rsid w:val="0093660E"/>
    <w:rsid w:val="00942142"/>
    <w:rsid w:val="009508AE"/>
    <w:rsid w:val="009530DB"/>
    <w:rsid w:val="00953676"/>
    <w:rsid w:val="009601C9"/>
    <w:rsid w:val="00967DF8"/>
    <w:rsid w:val="009705EE"/>
    <w:rsid w:val="00977927"/>
    <w:rsid w:val="0098135C"/>
    <w:rsid w:val="0098156A"/>
    <w:rsid w:val="00991BAC"/>
    <w:rsid w:val="009942D1"/>
    <w:rsid w:val="00997879"/>
    <w:rsid w:val="009A5A6D"/>
    <w:rsid w:val="009A6EA0"/>
    <w:rsid w:val="009B171E"/>
    <w:rsid w:val="009C1335"/>
    <w:rsid w:val="009C1AB2"/>
    <w:rsid w:val="009C7251"/>
    <w:rsid w:val="009E2E91"/>
    <w:rsid w:val="009F096D"/>
    <w:rsid w:val="009F1339"/>
    <w:rsid w:val="009F5774"/>
    <w:rsid w:val="009F5AAF"/>
    <w:rsid w:val="009F7114"/>
    <w:rsid w:val="009F71F6"/>
    <w:rsid w:val="00A0582E"/>
    <w:rsid w:val="00A06A63"/>
    <w:rsid w:val="00A10177"/>
    <w:rsid w:val="00A139F5"/>
    <w:rsid w:val="00A201E6"/>
    <w:rsid w:val="00A217E6"/>
    <w:rsid w:val="00A2214D"/>
    <w:rsid w:val="00A33D0D"/>
    <w:rsid w:val="00A35C72"/>
    <w:rsid w:val="00A365F4"/>
    <w:rsid w:val="00A47D09"/>
    <w:rsid w:val="00A47D80"/>
    <w:rsid w:val="00A53132"/>
    <w:rsid w:val="00A563F2"/>
    <w:rsid w:val="00A566E8"/>
    <w:rsid w:val="00A6713B"/>
    <w:rsid w:val="00A77879"/>
    <w:rsid w:val="00A810F9"/>
    <w:rsid w:val="00A866F2"/>
    <w:rsid w:val="00A86ECC"/>
    <w:rsid w:val="00A86FCC"/>
    <w:rsid w:val="00AA5262"/>
    <w:rsid w:val="00AA710D"/>
    <w:rsid w:val="00AB2C3E"/>
    <w:rsid w:val="00AB6D25"/>
    <w:rsid w:val="00AC2AC4"/>
    <w:rsid w:val="00AC5371"/>
    <w:rsid w:val="00AC77DC"/>
    <w:rsid w:val="00AD7676"/>
    <w:rsid w:val="00AE06C8"/>
    <w:rsid w:val="00AE2D4B"/>
    <w:rsid w:val="00AE4F99"/>
    <w:rsid w:val="00AE6789"/>
    <w:rsid w:val="00AF2F1E"/>
    <w:rsid w:val="00B00C09"/>
    <w:rsid w:val="00B11B69"/>
    <w:rsid w:val="00B12FBA"/>
    <w:rsid w:val="00B14952"/>
    <w:rsid w:val="00B27B18"/>
    <w:rsid w:val="00B27B58"/>
    <w:rsid w:val="00B31E5A"/>
    <w:rsid w:val="00B35A63"/>
    <w:rsid w:val="00B403A1"/>
    <w:rsid w:val="00B4483E"/>
    <w:rsid w:val="00B46A9F"/>
    <w:rsid w:val="00B61924"/>
    <w:rsid w:val="00B653AB"/>
    <w:rsid w:val="00B65F9E"/>
    <w:rsid w:val="00B66B19"/>
    <w:rsid w:val="00B7120E"/>
    <w:rsid w:val="00B733EE"/>
    <w:rsid w:val="00B81262"/>
    <w:rsid w:val="00B81EBE"/>
    <w:rsid w:val="00B85DBF"/>
    <w:rsid w:val="00B86BCA"/>
    <w:rsid w:val="00B914E9"/>
    <w:rsid w:val="00B9163F"/>
    <w:rsid w:val="00B956EE"/>
    <w:rsid w:val="00BA2BA1"/>
    <w:rsid w:val="00BA3562"/>
    <w:rsid w:val="00BA76A2"/>
    <w:rsid w:val="00BB4F09"/>
    <w:rsid w:val="00BC2DDB"/>
    <w:rsid w:val="00BC44E4"/>
    <w:rsid w:val="00BD1E7E"/>
    <w:rsid w:val="00BD4E33"/>
    <w:rsid w:val="00BF0508"/>
    <w:rsid w:val="00BF61D5"/>
    <w:rsid w:val="00C030DE"/>
    <w:rsid w:val="00C074FD"/>
    <w:rsid w:val="00C15772"/>
    <w:rsid w:val="00C22105"/>
    <w:rsid w:val="00C244B6"/>
    <w:rsid w:val="00C25087"/>
    <w:rsid w:val="00C267CA"/>
    <w:rsid w:val="00C3702F"/>
    <w:rsid w:val="00C4500A"/>
    <w:rsid w:val="00C51D06"/>
    <w:rsid w:val="00C558C4"/>
    <w:rsid w:val="00C562B2"/>
    <w:rsid w:val="00C60D38"/>
    <w:rsid w:val="00C62895"/>
    <w:rsid w:val="00C63004"/>
    <w:rsid w:val="00C63B7B"/>
    <w:rsid w:val="00C64240"/>
    <w:rsid w:val="00C64A37"/>
    <w:rsid w:val="00C7158E"/>
    <w:rsid w:val="00C717C9"/>
    <w:rsid w:val="00C7250B"/>
    <w:rsid w:val="00C7346B"/>
    <w:rsid w:val="00C77050"/>
    <w:rsid w:val="00C77C0E"/>
    <w:rsid w:val="00C81487"/>
    <w:rsid w:val="00C91687"/>
    <w:rsid w:val="00C924A8"/>
    <w:rsid w:val="00C945FE"/>
    <w:rsid w:val="00C96FAA"/>
    <w:rsid w:val="00C97A04"/>
    <w:rsid w:val="00CA107B"/>
    <w:rsid w:val="00CA484D"/>
    <w:rsid w:val="00CA495C"/>
    <w:rsid w:val="00CA4FB6"/>
    <w:rsid w:val="00CB1737"/>
    <w:rsid w:val="00CB1BA1"/>
    <w:rsid w:val="00CC28D0"/>
    <w:rsid w:val="00CC72A6"/>
    <w:rsid w:val="00CC739E"/>
    <w:rsid w:val="00CD178A"/>
    <w:rsid w:val="00CD217B"/>
    <w:rsid w:val="00CD49BB"/>
    <w:rsid w:val="00CD58B7"/>
    <w:rsid w:val="00CE5EF2"/>
    <w:rsid w:val="00CF4099"/>
    <w:rsid w:val="00CF6348"/>
    <w:rsid w:val="00D00796"/>
    <w:rsid w:val="00D029DF"/>
    <w:rsid w:val="00D24390"/>
    <w:rsid w:val="00D24C05"/>
    <w:rsid w:val="00D261A2"/>
    <w:rsid w:val="00D54347"/>
    <w:rsid w:val="00D60211"/>
    <w:rsid w:val="00D616D2"/>
    <w:rsid w:val="00D62602"/>
    <w:rsid w:val="00D63B5F"/>
    <w:rsid w:val="00D70EF7"/>
    <w:rsid w:val="00D8397C"/>
    <w:rsid w:val="00D90CB4"/>
    <w:rsid w:val="00D94EED"/>
    <w:rsid w:val="00D96026"/>
    <w:rsid w:val="00DA0438"/>
    <w:rsid w:val="00DA7C1C"/>
    <w:rsid w:val="00DB147A"/>
    <w:rsid w:val="00DB1B7A"/>
    <w:rsid w:val="00DC0BD7"/>
    <w:rsid w:val="00DC6708"/>
    <w:rsid w:val="00DD01DA"/>
    <w:rsid w:val="00DD7916"/>
    <w:rsid w:val="00E01436"/>
    <w:rsid w:val="00E045BD"/>
    <w:rsid w:val="00E135B1"/>
    <w:rsid w:val="00E165BE"/>
    <w:rsid w:val="00E17B77"/>
    <w:rsid w:val="00E23337"/>
    <w:rsid w:val="00E2483C"/>
    <w:rsid w:val="00E259EA"/>
    <w:rsid w:val="00E32061"/>
    <w:rsid w:val="00E37334"/>
    <w:rsid w:val="00E41497"/>
    <w:rsid w:val="00E42FF9"/>
    <w:rsid w:val="00E4714C"/>
    <w:rsid w:val="00E51AEB"/>
    <w:rsid w:val="00E522A7"/>
    <w:rsid w:val="00E53C71"/>
    <w:rsid w:val="00E54452"/>
    <w:rsid w:val="00E64BE7"/>
    <w:rsid w:val="00E664C5"/>
    <w:rsid w:val="00E671A2"/>
    <w:rsid w:val="00E76D26"/>
    <w:rsid w:val="00E77E1D"/>
    <w:rsid w:val="00E827EF"/>
    <w:rsid w:val="00E832ED"/>
    <w:rsid w:val="00EB1390"/>
    <w:rsid w:val="00EB2C71"/>
    <w:rsid w:val="00EB4340"/>
    <w:rsid w:val="00EB556D"/>
    <w:rsid w:val="00EB5A7D"/>
    <w:rsid w:val="00EC6435"/>
    <w:rsid w:val="00EC76B9"/>
    <w:rsid w:val="00ED55C0"/>
    <w:rsid w:val="00ED682B"/>
    <w:rsid w:val="00EE41D5"/>
    <w:rsid w:val="00EE5223"/>
    <w:rsid w:val="00F0121F"/>
    <w:rsid w:val="00F037A4"/>
    <w:rsid w:val="00F154DB"/>
    <w:rsid w:val="00F15F6E"/>
    <w:rsid w:val="00F27C8F"/>
    <w:rsid w:val="00F32323"/>
    <w:rsid w:val="00F32749"/>
    <w:rsid w:val="00F327B3"/>
    <w:rsid w:val="00F359FA"/>
    <w:rsid w:val="00F37172"/>
    <w:rsid w:val="00F4477E"/>
    <w:rsid w:val="00F45AD8"/>
    <w:rsid w:val="00F46013"/>
    <w:rsid w:val="00F478EF"/>
    <w:rsid w:val="00F65B91"/>
    <w:rsid w:val="00F6684A"/>
    <w:rsid w:val="00F6773E"/>
    <w:rsid w:val="00F67D8F"/>
    <w:rsid w:val="00F726A7"/>
    <w:rsid w:val="00F729F3"/>
    <w:rsid w:val="00F802BE"/>
    <w:rsid w:val="00F80E93"/>
    <w:rsid w:val="00F86024"/>
    <w:rsid w:val="00F8611A"/>
    <w:rsid w:val="00F87A89"/>
    <w:rsid w:val="00FA0634"/>
    <w:rsid w:val="00FA5128"/>
    <w:rsid w:val="00FA5F62"/>
    <w:rsid w:val="00FB42D4"/>
    <w:rsid w:val="00FB451B"/>
    <w:rsid w:val="00FB5906"/>
    <w:rsid w:val="00FB762F"/>
    <w:rsid w:val="00FC0725"/>
    <w:rsid w:val="00FC2AED"/>
    <w:rsid w:val="00FC64E0"/>
    <w:rsid w:val="00FD4F5A"/>
    <w:rsid w:val="00FD5EA7"/>
    <w:rsid w:val="00FD69E9"/>
    <w:rsid w:val="00FD7BD2"/>
    <w:rsid w:val="00FE6DF6"/>
    <w:rsid w:val="00FF1B51"/>
    <w:rsid w:val="00FF28AA"/>
    <w:rsid w:val="00FF48BB"/>
    <w:rsid w:val="00FF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mailto:i.ulanowska@stat.gov.pl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image" Target="media/image6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29" Type="http://schemas.openxmlformats.org/officeDocument/2006/relationships/hyperlink" Target="http://swaid.stat.gov.pl/SitePagesDBW/WarunkiZyciaLudnosci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5.png"/><Relationship Id="rId32" Type="http://schemas.openxmlformats.org/officeDocument/2006/relationships/hyperlink" Target="http://swaid.stat.gov.pl/SitePagesDBW/WarunkiZyciaLudnosci.aspx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://stat.gov.pl/obszary-tematyczne/inne-opracowania/informacje-o-sytuacji-spoleczno-gospodarczej/biuletyn-statystyczny-nr-52018,4,76.html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tat.gov.pl/obszary-tematyczne/inne-opracowania/informacje-o-sytuacji-spoleczno-gospodarczej/biuletyn-statystyczny-nr-52018,4,76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rzecznik@stat.gov.pl" TargetMode="External"/><Relationship Id="rId27" Type="http://schemas.openxmlformats.org/officeDocument/2006/relationships/hyperlink" Target="http://stat.gov.pl/obszary-tematyczne/koniunktura/koniunktura/koniunktura-w-przemysle-budownictwie-handlu-i-uslugach-czerwiec-2018-roku,3,67.html" TargetMode="External"/><Relationship Id="rId30" Type="http://schemas.openxmlformats.org/officeDocument/2006/relationships/hyperlink" Target="http://stat.gov.pl/obszary-tematyczne/koniunktura/koniunktura/koniunktura-w-przemysle-budownictwie-handlu-i-uslugach-czerwiec-2018-roku,3,67.html" TargetMode="Externa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8542"/>
            </a:solidFill>
            <a:ln>
              <a:noFill/>
            </a:ln>
            <a:effectLst/>
          </c:spPr>
          <c:invertIfNegative val="0"/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Arkusz1!$C$2:$C$85</c:f>
              <c:numCache>
                <c:formatCode>0.0</c:formatCode>
                <c:ptCount val="43"/>
                <c:pt idx="0">
                  <c:v>-11.7</c:v>
                </c:pt>
                <c:pt idx="1">
                  <c:v>-16.600000000000001</c:v>
                </c:pt>
                <c:pt idx="2">
                  <c:v>-16.399999999999999</c:v>
                </c:pt>
                <c:pt idx="3">
                  <c:v>-10.9</c:v>
                </c:pt>
                <c:pt idx="4">
                  <c:v>-13.6</c:v>
                </c:pt>
                <c:pt idx="5">
                  <c:v>-10.4</c:v>
                </c:pt>
                <c:pt idx="6">
                  <c:v>-10.9</c:v>
                </c:pt>
                <c:pt idx="7">
                  <c:v>-7.9</c:v>
                </c:pt>
                <c:pt idx="8">
                  <c:v>-9.9</c:v>
                </c:pt>
                <c:pt idx="9">
                  <c:v>-9.4</c:v>
                </c:pt>
                <c:pt idx="10">
                  <c:v>-3.9</c:v>
                </c:pt>
                <c:pt idx="11">
                  <c:v>-9.3000000000000007</c:v>
                </c:pt>
                <c:pt idx="12">
                  <c:v>-7</c:v>
                </c:pt>
                <c:pt idx="13">
                  <c:v>-6.2</c:v>
                </c:pt>
                <c:pt idx="14">
                  <c:v>-9.3000000000000007</c:v>
                </c:pt>
                <c:pt idx="15">
                  <c:v>-4.7</c:v>
                </c:pt>
                <c:pt idx="16">
                  <c:v>-6.7</c:v>
                </c:pt>
                <c:pt idx="17">
                  <c:v>-6.5</c:v>
                </c:pt>
                <c:pt idx="18">
                  <c:v>-5.6</c:v>
                </c:pt>
                <c:pt idx="19">
                  <c:v>-3.8</c:v>
                </c:pt>
                <c:pt idx="20">
                  <c:v>-2.4</c:v>
                </c:pt>
                <c:pt idx="21">
                  <c:v>-3.7</c:v>
                </c:pt>
                <c:pt idx="22">
                  <c:v>-2.4</c:v>
                </c:pt>
                <c:pt idx="23">
                  <c:v>-3.7</c:v>
                </c:pt>
                <c:pt idx="24">
                  <c:v>-1.2</c:v>
                </c:pt>
                <c:pt idx="25">
                  <c:v>-1.9</c:v>
                </c:pt>
                <c:pt idx="26">
                  <c:v>-2</c:v>
                </c:pt>
                <c:pt idx="27">
                  <c:v>-0.8</c:v>
                </c:pt>
                <c:pt idx="28">
                  <c:v>3.1</c:v>
                </c:pt>
                <c:pt idx="29">
                  <c:v>4.8</c:v>
                </c:pt>
                <c:pt idx="30">
                  <c:v>4</c:v>
                </c:pt>
                <c:pt idx="31">
                  <c:v>5.7</c:v>
                </c:pt>
                <c:pt idx="32">
                  <c:v>5</c:v>
                </c:pt>
                <c:pt idx="33">
                  <c:v>4.5999999999999996</c:v>
                </c:pt>
                <c:pt idx="34">
                  <c:v>5.4</c:v>
                </c:pt>
                <c:pt idx="35">
                  <c:v>2.1</c:v>
                </c:pt>
                <c:pt idx="36">
                  <c:v>6.2</c:v>
                </c:pt>
                <c:pt idx="37">
                  <c:v>6.2</c:v>
                </c:pt>
                <c:pt idx="38" formatCode="0.0_)">
                  <c:v>5.4</c:v>
                </c:pt>
                <c:pt idx="39" formatCode="0.0_)">
                  <c:v>7.8</c:v>
                </c:pt>
                <c:pt idx="40">
                  <c:v>5.9</c:v>
                </c:pt>
                <c:pt idx="41">
                  <c:v>6.1</c:v>
                </c:pt>
                <c:pt idx="42">
                  <c:v>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3956864"/>
        <c:axId val="23395608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rgbClr val="009AA6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9AA6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Arkusz1!$D$2:$D$85</c:f>
              <c:numCache>
                <c:formatCode>0.0</c:formatCode>
                <c:ptCount val="43"/>
                <c:pt idx="0">
                  <c:v>-11.4</c:v>
                </c:pt>
                <c:pt idx="1">
                  <c:v>-14.3</c:v>
                </c:pt>
                <c:pt idx="2">
                  <c:v>-14.2</c:v>
                </c:pt>
                <c:pt idx="3">
                  <c:v>-9</c:v>
                </c:pt>
                <c:pt idx="4">
                  <c:v>-13</c:v>
                </c:pt>
                <c:pt idx="5">
                  <c:v>-11.6</c:v>
                </c:pt>
                <c:pt idx="6">
                  <c:v>-11.8</c:v>
                </c:pt>
                <c:pt idx="7">
                  <c:v>-8.1999999999999993</c:v>
                </c:pt>
                <c:pt idx="8">
                  <c:v>-10.6</c:v>
                </c:pt>
                <c:pt idx="9">
                  <c:v>-9.1999999999999993</c:v>
                </c:pt>
                <c:pt idx="10">
                  <c:v>-6.9</c:v>
                </c:pt>
                <c:pt idx="11">
                  <c:v>-8.1</c:v>
                </c:pt>
                <c:pt idx="12">
                  <c:v>-6.2</c:v>
                </c:pt>
                <c:pt idx="13">
                  <c:v>-5</c:v>
                </c:pt>
                <c:pt idx="14">
                  <c:v>-7.5</c:v>
                </c:pt>
                <c:pt idx="15">
                  <c:v>-5.6</c:v>
                </c:pt>
                <c:pt idx="16">
                  <c:v>-5</c:v>
                </c:pt>
                <c:pt idx="17">
                  <c:v>-2.4</c:v>
                </c:pt>
                <c:pt idx="18">
                  <c:v>-3.8</c:v>
                </c:pt>
                <c:pt idx="19">
                  <c:v>-4</c:v>
                </c:pt>
                <c:pt idx="20">
                  <c:v>-1.8</c:v>
                </c:pt>
                <c:pt idx="21">
                  <c:v>-2.7</c:v>
                </c:pt>
                <c:pt idx="22">
                  <c:v>0.4</c:v>
                </c:pt>
                <c:pt idx="23">
                  <c:v>-3.1</c:v>
                </c:pt>
                <c:pt idx="24">
                  <c:v>-1.2</c:v>
                </c:pt>
                <c:pt idx="25">
                  <c:v>-0.9</c:v>
                </c:pt>
                <c:pt idx="26">
                  <c:v>-0.2</c:v>
                </c:pt>
                <c:pt idx="27">
                  <c:v>0.5</c:v>
                </c:pt>
                <c:pt idx="28">
                  <c:v>0.8</c:v>
                </c:pt>
                <c:pt idx="29">
                  <c:v>2.2999999999999998</c:v>
                </c:pt>
                <c:pt idx="30">
                  <c:v>-0.3</c:v>
                </c:pt>
                <c:pt idx="31">
                  <c:v>2</c:v>
                </c:pt>
                <c:pt idx="32">
                  <c:v>0.6</c:v>
                </c:pt>
                <c:pt idx="33">
                  <c:v>-0.3</c:v>
                </c:pt>
                <c:pt idx="34">
                  <c:v>0.2</c:v>
                </c:pt>
                <c:pt idx="35">
                  <c:v>-2.4</c:v>
                </c:pt>
                <c:pt idx="36">
                  <c:v>1.5</c:v>
                </c:pt>
                <c:pt idx="37">
                  <c:v>0.1</c:v>
                </c:pt>
                <c:pt idx="38" formatCode="0.0_)">
                  <c:v>-2.9</c:v>
                </c:pt>
                <c:pt idx="39" formatCode="0.0_)">
                  <c:v>2.4</c:v>
                </c:pt>
                <c:pt idx="40">
                  <c:v>0.7</c:v>
                </c:pt>
                <c:pt idx="41">
                  <c:v>-0.6</c:v>
                </c:pt>
                <c:pt idx="42">
                  <c:v>1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007AC9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AC9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Arkusz1!$E$2:$E$85</c:f>
              <c:numCache>
                <c:formatCode>0.0</c:formatCode>
                <c:ptCount val="43"/>
                <c:pt idx="0">
                  <c:v>-2.6</c:v>
                </c:pt>
                <c:pt idx="1">
                  <c:v>-5.9</c:v>
                </c:pt>
                <c:pt idx="2">
                  <c:v>-5.8</c:v>
                </c:pt>
                <c:pt idx="3">
                  <c:v>-1.8</c:v>
                </c:pt>
                <c:pt idx="4">
                  <c:v>-4.8</c:v>
                </c:pt>
                <c:pt idx="5">
                  <c:v>-2.4</c:v>
                </c:pt>
                <c:pt idx="6">
                  <c:v>-1.9</c:v>
                </c:pt>
                <c:pt idx="7">
                  <c:v>-0.6</c:v>
                </c:pt>
                <c:pt idx="8">
                  <c:v>-3.9</c:v>
                </c:pt>
                <c:pt idx="9">
                  <c:v>-3.9</c:v>
                </c:pt>
                <c:pt idx="10">
                  <c:v>2.6</c:v>
                </c:pt>
                <c:pt idx="11">
                  <c:v>-2.6</c:v>
                </c:pt>
                <c:pt idx="12">
                  <c:v>0.6</c:v>
                </c:pt>
                <c:pt idx="13">
                  <c:v>2.2999999999999998</c:v>
                </c:pt>
                <c:pt idx="14">
                  <c:v>-0.5</c:v>
                </c:pt>
                <c:pt idx="15">
                  <c:v>3.4</c:v>
                </c:pt>
                <c:pt idx="16">
                  <c:v>0.4</c:v>
                </c:pt>
                <c:pt idx="17">
                  <c:v>0.1</c:v>
                </c:pt>
                <c:pt idx="18">
                  <c:v>-0.2</c:v>
                </c:pt>
                <c:pt idx="19">
                  <c:v>0.8</c:v>
                </c:pt>
                <c:pt idx="20">
                  <c:v>1.6</c:v>
                </c:pt>
                <c:pt idx="21">
                  <c:v>-0.6</c:v>
                </c:pt>
                <c:pt idx="22">
                  <c:v>1.8</c:v>
                </c:pt>
                <c:pt idx="23">
                  <c:v>1.6</c:v>
                </c:pt>
                <c:pt idx="24">
                  <c:v>2.9</c:v>
                </c:pt>
                <c:pt idx="25">
                  <c:v>2.2000000000000002</c:v>
                </c:pt>
                <c:pt idx="26">
                  <c:v>1.6</c:v>
                </c:pt>
                <c:pt idx="27">
                  <c:v>2</c:v>
                </c:pt>
                <c:pt idx="28">
                  <c:v>2.8</c:v>
                </c:pt>
                <c:pt idx="29">
                  <c:v>2.9</c:v>
                </c:pt>
                <c:pt idx="30">
                  <c:v>3.6</c:v>
                </c:pt>
                <c:pt idx="31">
                  <c:v>4.3</c:v>
                </c:pt>
                <c:pt idx="32">
                  <c:v>4</c:v>
                </c:pt>
                <c:pt idx="33">
                  <c:v>1.6</c:v>
                </c:pt>
                <c:pt idx="34">
                  <c:v>5</c:v>
                </c:pt>
                <c:pt idx="35">
                  <c:v>0.2</c:v>
                </c:pt>
                <c:pt idx="36">
                  <c:v>5.2</c:v>
                </c:pt>
                <c:pt idx="37">
                  <c:v>2.8</c:v>
                </c:pt>
                <c:pt idx="38" formatCode="0.0_)">
                  <c:v>4.2</c:v>
                </c:pt>
                <c:pt idx="39" formatCode="0.0_)">
                  <c:v>5.7</c:v>
                </c:pt>
                <c:pt idx="40">
                  <c:v>3.5</c:v>
                </c:pt>
                <c:pt idx="41">
                  <c:v>3.8</c:v>
                </c:pt>
                <c:pt idx="42">
                  <c:v>3.6</c:v>
                </c:pt>
              </c:numCache>
            </c:numRef>
          </c:val>
          <c:smooth val="0"/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1D77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Arkusz1!$F$2:$F$85</c:f>
              <c:numCache>
                <c:formatCode>0.0</c:formatCode>
                <c:ptCount val="43"/>
                <c:pt idx="0">
                  <c:v>-23.2</c:v>
                </c:pt>
                <c:pt idx="1">
                  <c:v>-31.6</c:v>
                </c:pt>
                <c:pt idx="2">
                  <c:v>-28.8</c:v>
                </c:pt>
                <c:pt idx="3">
                  <c:v>-23.8</c:v>
                </c:pt>
                <c:pt idx="4">
                  <c:v>-24.9</c:v>
                </c:pt>
                <c:pt idx="5">
                  <c:v>-21.4</c:v>
                </c:pt>
                <c:pt idx="6">
                  <c:v>-22.2</c:v>
                </c:pt>
                <c:pt idx="7">
                  <c:v>-17.8</c:v>
                </c:pt>
                <c:pt idx="8">
                  <c:v>-18.8</c:v>
                </c:pt>
                <c:pt idx="9">
                  <c:v>-19.100000000000001</c:v>
                </c:pt>
                <c:pt idx="10">
                  <c:v>-10.4</c:v>
                </c:pt>
                <c:pt idx="11">
                  <c:v>-15.6</c:v>
                </c:pt>
                <c:pt idx="12">
                  <c:v>-14.4</c:v>
                </c:pt>
                <c:pt idx="13">
                  <c:v>-14.9</c:v>
                </c:pt>
                <c:pt idx="14">
                  <c:v>-16.7</c:v>
                </c:pt>
                <c:pt idx="15">
                  <c:v>-11.2</c:v>
                </c:pt>
                <c:pt idx="16">
                  <c:v>-15.4</c:v>
                </c:pt>
                <c:pt idx="17">
                  <c:v>-11.7</c:v>
                </c:pt>
                <c:pt idx="18">
                  <c:v>-9.6</c:v>
                </c:pt>
                <c:pt idx="19">
                  <c:v>-8.4</c:v>
                </c:pt>
                <c:pt idx="20">
                  <c:v>-5.9</c:v>
                </c:pt>
                <c:pt idx="21">
                  <c:v>-7.9</c:v>
                </c:pt>
                <c:pt idx="22">
                  <c:v>-6.9</c:v>
                </c:pt>
                <c:pt idx="23">
                  <c:v>-8.8000000000000007</c:v>
                </c:pt>
                <c:pt idx="24">
                  <c:v>-4.2</c:v>
                </c:pt>
                <c:pt idx="25">
                  <c:v>-4.8</c:v>
                </c:pt>
                <c:pt idx="26">
                  <c:v>-6.4</c:v>
                </c:pt>
                <c:pt idx="27">
                  <c:v>-3.8</c:v>
                </c:pt>
                <c:pt idx="28">
                  <c:v>0.2</c:v>
                </c:pt>
                <c:pt idx="29">
                  <c:v>3.8</c:v>
                </c:pt>
                <c:pt idx="30">
                  <c:v>4.5999999999999996</c:v>
                </c:pt>
                <c:pt idx="31">
                  <c:v>6.3</c:v>
                </c:pt>
                <c:pt idx="32">
                  <c:v>6.2</c:v>
                </c:pt>
                <c:pt idx="33">
                  <c:v>8.5</c:v>
                </c:pt>
                <c:pt idx="34">
                  <c:v>6.9</c:v>
                </c:pt>
                <c:pt idx="35">
                  <c:v>4</c:v>
                </c:pt>
                <c:pt idx="36">
                  <c:v>8.9</c:v>
                </c:pt>
                <c:pt idx="37">
                  <c:v>9</c:v>
                </c:pt>
                <c:pt idx="38" formatCode="0.0_)">
                  <c:v>9.5</c:v>
                </c:pt>
                <c:pt idx="39" formatCode="0.0_)">
                  <c:v>13.2</c:v>
                </c:pt>
                <c:pt idx="40">
                  <c:v>6.7</c:v>
                </c:pt>
                <c:pt idx="41">
                  <c:v>9.5</c:v>
                </c:pt>
                <c:pt idx="42">
                  <c:v>9.8000000000000007</c:v>
                </c:pt>
              </c:numCache>
            </c:numRef>
          </c:val>
          <c:smooth val="0"/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522398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522398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Arkusz1!$G$2:$G$85</c:f>
              <c:numCache>
                <c:formatCode>0.0</c:formatCode>
                <c:ptCount val="43"/>
                <c:pt idx="0">
                  <c:v>-13.2</c:v>
                </c:pt>
                <c:pt idx="1">
                  <c:v>-19.5</c:v>
                </c:pt>
                <c:pt idx="2">
                  <c:v>-18.399999999999999</c:v>
                </c:pt>
                <c:pt idx="3">
                  <c:v>-12.3</c:v>
                </c:pt>
                <c:pt idx="4">
                  <c:v>-14.5</c:v>
                </c:pt>
                <c:pt idx="5">
                  <c:v>-5.0999999999999996</c:v>
                </c:pt>
                <c:pt idx="6">
                  <c:v>-9.6</c:v>
                </c:pt>
                <c:pt idx="7">
                  <c:v>-4.8</c:v>
                </c:pt>
                <c:pt idx="8">
                  <c:v>-12.5</c:v>
                </c:pt>
                <c:pt idx="9">
                  <c:v>-11.4</c:v>
                </c:pt>
                <c:pt idx="10">
                  <c:v>-0.7</c:v>
                </c:pt>
                <c:pt idx="11">
                  <c:v>-14.6</c:v>
                </c:pt>
                <c:pt idx="12">
                  <c:v>-9.4</c:v>
                </c:pt>
                <c:pt idx="13">
                  <c:v>-7.7</c:v>
                </c:pt>
                <c:pt idx="14">
                  <c:v>-13.4</c:v>
                </c:pt>
                <c:pt idx="15">
                  <c:v>-5.8</c:v>
                </c:pt>
                <c:pt idx="16">
                  <c:v>-11</c:v>
                </c:pt>
                <c:pt idx="17">
                  <c:v>-13.2</c:v>
                </c:pt>
                <c:pt idx="18">
                  <c:v>-9.3000000000000007</c:v>
                </c:pt>
                <c:pt idx="19">
                  <c:v>-7.2</c:v>
                </c:pt>
                <c:pt idx="20">
                  <c:v>-8.1</c:v>
                </c:pt>
                <c:pt idx="21">
                  <c:v>-9.9</c:v>
                </c:pt>
                <c:pt idx="22">
                  <c:v>-8.5</c:v>
                </c:pt>
                <c:pt idx="23">
                  <c:v>-9.6</c:v>
                </c:pt>
                <c:pt idx="24">
                  <c:v>-10.1</c:v>
                </c:pt>
                <c:pt idx="25">
                  <c:v>-9.1999999999999993</c:v>
                </c:pt>
                <c:pt idx="26">
                  <c:v>-8.3000000000000007</c:v>
                </c:pt>
                <c:pt idx="27">
                  <c:v>-7.2</c:v>
                </c:pt>
                <c:pt idx="28">
                  <c:v>-1.4</c:v>
                </c:pt>
                <c:pt idx="29">
                  <c:v>1.8</c:v>
                </c:pt>
                <c:pt idx="30">
                  <c:v>1.9</c:v>
                </c:pt>
                <c:pt idx="31">
                  <c:v>2.7</c:v>
                </c:pt>
                <c:pt idx="32">
                  <c:v>0.8</c:v>
                </c:pt>
                <c:pt idx="33">
                  <c:v>3.4</c:v>
                </c:pt>
                <c:pt idx="34">
                  <c:v>3.8</c:v>
                </c:pt>
                <c:pt idx="35">
                  <c:v>0.3</c:v>
                </c:pt>
                <c:pt idx="36">
                  <c:v>4</c:v>
                </c:pt>
                <c:pt idx="37">
                  <c:v>6.3</c:v>
                </c:pt>
                <c:pt idx="38" formatCode="0.0_)">
                  <c:v>3.2</c:v>
                </c:pt>
                <c:pt idx="39" formatCode="0.0_)">
                  <c:v>6</c:v>
                </c:pt>
                <c:pt idx="40">
                  <c:v>3.8</c:v>
                </c:pt>
                <c:pt idx="41">
                  <c:v>3.8</c:v>
                </c:pt>
                <c:pt idx="42">
                  <c:v>1.2</c:v>
                </c:pt>
              </c:numCache>
            </c:numRef>
          </c:val>
          <c:smooth val="0"/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BED600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BED600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Arkusz1!$H$2:$H$85</c:f>
              <c:numCache>
                <c:formatCode>0.0</c:formatCode>
                <c:ptCount val="43"/>
                <c:pt idx="0">
                  <c:v>-8.3000000000000007</c:v>
                </c:pt>
                <c:pt idx="1">
                  <c:v>-11.6</c:v>
                </c:pt>
                <c:pt idx="2">
                  <c:v>-14.8</c:v>
                </c:pt>
                <c:pt idx="3">
                  <c:v>-7.4</c:v>
                </c:pt>
                <c:pt idx="4">
                  <c:v>-10.9</c:v>
                </c:pt>
                <c:pt idx="5">
                  <c:v>-11.5</c:v>
                </c:pt>
                <c:pt idx="6">
                  <c:v>-9.1</c:v>
                </c:pt>
                <c:pt idx="7">
                  <c:v>-8.1999999999999993</c:v>
                </c:pt>
                <c:pt idx="8">
                  <c:v>-3.9</c:v>
                </c:pt>
                <c:pt idx="9">
                  <c:v>-3.3</c:v>
                </c:pt>
                <c:pt idx="10">
                  <c:v>-4</c:v>
                </c:pt>
                <c:pt idx="11">
                  <c:v>-5.4</c:v>
                </c:pt>
                <c:pt idx="12">
                  <c:v>-5.7</c:v>
                </c:pt>
                <c:pt idx="13">
                  <c:v>-5.9</c:v>
                </c:pt>
                <c:pt idx="14">
                  <c:v>-8.6</c:v>
                </c:pt>
                <c:pt idx="15">
                  <c:v>-4.5</c:v>
                </c:pt>
                <c:pt idx="16">
                  <c:v>-2.6</c:v>
                </c:pt>
                <c:pt idx="17">
                  <c:v>-5.6</c:v>
                </c:pt>
                <c:pt idx="18">
                  <c:v>-5.0999999999999996</c:v>
                </c:pt>
                <c:pt idx="19">
                  <c:v>-0.3</c:v>
                </c:pt>
                <c:pt idx="20">
                  <c:v>2.2999999999999998</c:v>
                </c:pt>
                <c:pt idx="21">
                  <c:v>2.7</c:v>
                </c:pt>
                <c:pt idx="22">
                  <c:v>1.3</c:v>
                </c:pt>
                <c:pt idx="23">
                  <c:v>1.5</c:v>
                </c:pt>
                <c:pt idx="24">
                  <c:v>6.6</c:v>
                </c:pt>
                <c:pt idx="25">
                  <c:v>3.4</c:v>
                </c:pt>
                <c:pt idx="26">
                  <c:v>3.3</c:v>
                </c:pt>
                <c:pt idx="27">
                  <c:v>4.7</c:v>
                </c:pt>
                <c:pt idx="28">
                  <c:v>12.9</c:v>
                </c:pt>
                <c:pt idx="29">
                  <c:v>13.2</c:v>
                </c:pt>
                <c:pt idx="30">
                  <c:v>10.3</c:v>
                </c:pt>
                <c:pt idx="31">
                  <c:v>13</c:v>
                </c:pt>
                <c:pt idx="32">
                  <c:v>13.2</c:v>
                </c:pt>
                <c:pt idx="33">
                  <c:v>10</c:v>
                </c:pt>
                <c:pt idx="34">
                  <c:v>11</c:v>
                </c:pt>
                <c:pt idx="35">
                  <c:v>8.4</c:v>
                </c:pt>
                <c:pt idx="36">
                  <c:v>11.4</c:v>
                </c:pt>
                <c:pt idx="37">
                  <c:v>13</c:v>
                </c:pt>
                <c:pt idx="38">
                  <c:v>12.7</c:v>
                </c:pt>
                <c:pt idx="39">
                  <c:v>11.9</c:v>
                </c:pt>
                <c:pt idx="40">
                  <c:v>14.9</c:v>
                </c:pt>
                <c:pt idx="41">
                  <c:v>14.2</c:v>
                </c:pt>
                <c:pt idx="42">
                  <c:v>10.3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3956864"/>
        <c:axId val="233956080"/>
      </c:lineChart>
      <c:catAx>
        <c:axId val="23395686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3956080"/>
        <c:crossesAt val="0"/>
        <c:auto val="1"/>
        <c:lblAlgn val="ctr"/>
        <c:lblOffset val="100"/>
        <c:tickLblSkip val="1"/>
        <c:noMultiLvlLbl val="0"/>
      </c:catAx>
      <c:valAx>
        <c:axId val="233956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3956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511785645611706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8542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1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1"/>
                <c:pt idx="0">
                  <c:v>-13.8</c:v>
                </c:pt>
                <c:pt idx="1">
                  <c:v>-20.8</c:v>
                </c:pt>
                <c:pt idx="2">
                  <c:v>-30</c:v>
                </c:pt>
                <c:pt idx="3">
                  <c:v>-33.700000000000003</c:v>
                </c:pt>
                <c:pt idx="4">
                  <c:v>-35.5</c:v>
                </c:pt>
                <c:pt idx="5">
                  <c:v>-37.5</c:v>
                </c:pt>
                <c:pt idx="6">
                  <c:v>-35.799999999999997</c:v>
                </c:pt>
                <c:pt idx="7">
                  <c:v>-31.8</c:v>
                </c:pt>
                <c:pt idx="8" formatCode="0.0">
                  <c:v>-22.1</c:v>
                </c:pt>
                <c:pt idx="9" formatCode="0.0">
                  <c:v>-14.9</c:v>
                </c:pt>
                <c:pt idx="10" formatCode="0.0">
                  <c:v>-7.1</c:v>
                </c:pt>
                <c:pt idx="11" formatCode="0.0">
                  <c:v>-8</c:v>
                </c:pt>
                <c:pt idx="12" formatCode="0.0">
                  <c:v>-22.3</c:v>
                </c:pt>
                <c:pt idx="13" formatCode="0.0">
                  <c:v>-16.899999999999999</c:v>
                </c:pt>
                <c:pt idx="14" formatCode="0.0">
                  <c:v>-25</c:v>
                </c:pt>
                <c:pt idx="15" formatCode="0.0">
                  <c:v>-29.5</c:v>
                </c:pt>
                <c:pt idx="16" formatCode="0.0">
                  <c:v>-26.7</c:v>
                </c:pt>
                <c:pt idx="17" formatCode="0.0">
                  <c:v>-17</c:v>
                </c:pt>
                <c:pt idx="18" formatCode="0.0">
                  <c:v>-10.9</c:v>
                </c:pt>
                <c:pt idx="19" formatCode="0.0">
                  <c:v>-5.2</c:v>
                </c:pt>
                <c:pt idx="20" formatCode="0.0">
                  <c:v>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3955296"/>
        <c:axId val="23395490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rgbClr val="009AA6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9AA6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1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1"/>
                <c:pt idx="0">
                  <c:v>-21.6</c:v>
                </c:pt>
                <c:pt idx="1">
                  <c:v>-28.6</c:v>
                </c:pt>
                <c:pt idx="2">
                  <c:v>-36.299999999999997</c:v>
                </c:pt>
                <c:pt idx="3">
                  <c:v>-40.6</c:v>
                </c:pt>
                <c:pt idx="4">
                  <c:v>-39.700000000000003</c:v>
                </c:pt>
                <c:pt idx="5">
                  <c:v>-39.6</c:v>
                </c:pt>
                <c:pt idx="6">
                  <c:v>-38.1</c:v>
                </c:pt>
                <c:pt idx="7">
                  <c:v>-33.1</c:v>
                </c:pt>
                <c:pt idx="8" formatCode="0.0">
                  <c:v>-27</c:v>
                </c:pt>
                <c:pt idx="9" formatCode="0.0">
                  <c:v>-18.2</c:v>
                </c:pt>
                <c:pt idx="10" formatCode="0.0">
                  <c:v>-10.9</c:v>
                </c:pt>
                <c:pt idx="11" formatCode="0.0">
                  <c:v>-10.6</c:v>
                </c:pt>
                <c:pt idx="12" formatCode="0.0">
                  <c:v>-18.100000000000001</c:v>
                </c:pt>
                <c:pt idx="13" formatCode="0.0">
                  <c:v>-17.2</c:v>
                </c:pt>
                <c:pt idx="14" formatCode="0.0">
                  <c:v>-22.4</c:v>
                </c:pt>
                <c:pt idx="15" formatCode="0.0">
                  <c:v>-25.4</c:v>
                </c:pt>
                <c:pt idx="16" formatCode="0.0">
                  <c:v>-21.9</c:v>
                </c:pt>
                <c:pt idx="17" formatCode="0.0">
                  <c:v>-15.7</c:v>
                </c:pt>
                <c:pt idx="18" formatCode="0.0">
                  <c:v>-10.7</c:v>
                </c:pt>
                <c:pt idx="19" formatCode="0.0">
                  <c:v>-3.9</c:v>
                </c:pt>
                <c:pt idx="20" formatCode="0.0">
                  <c:v>0.1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007AC9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AC9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1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1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</c:numCache>
            </c:numRef>
          </c:val>
          <c:smooth val="0"/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1D77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1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1"/>
                <c:pt idx="0">
                  <c:v>-12.8</c:v>
                </c:pt>
                <c:pt idx="1">
                  <c:v>-22.3</c:v>
                </c:pt>
                <c:pt idx="2">
                  <c:v>-37.9</c:v>
                </c:pt>
                <c:pt idx="3">
                  <c:v>-45.8</c:v>
                </c:pt>
                <c:pt idx="4">
                  <c:v>-51.8</c:v>
                </c:pt>
                <c:pt idx="5">
                  <c:v>-52.9</c:v>
                </c:pt>
                <c:pt idx="6">
                  <c:v>-51.7</c:v>
                </c:pt>
                <c:pt idx="7">
                  <c:v>-49.5</c:v>
                </c:pt>
                <c:pt idx="8" formatCode="0.0">
                  <c:v>-38.5</c:v>
                </c:pt>
                <c:pt idx="9" formatCode="0.0">
                  <c:v>-26.2</c:v>
                </c:pt>
                <c:pt idx="10" formatCode="0.0">
                  <c:v>-17.7</c:v>
                </c:pt>
                <c:pt idx="11" formatCode="0.0">
                  <c:v>-16.600000000000001</c:v>
                </c:pt>
                <c:pt idx="12" formatCode="0.0">
                  <c:v>-40</c:v>
                </c:pt>
                <c:pt idx="13" formatCode="0.0">
                  <c:v>-31.2</c:v>
                </c:pt>
                <c:pt idx="14" formatCode="0.0">
                  <c:v>-41.5</c:v>
                </c:pt>
                <c:pt idx="15" formatCode="0.0">
                  <c:v>-46.5</c:v>
                </c:pt>
                <c:pt idx="16" formatCode="0.0">
                  <c:v>-45.2</c:v>
                </c:pt>
                <c:pt idx="17" formatCode="0.0">
                  <c:v>-29.9</c:v>
                </c:pt>
                <c:pt idx="18" formatCode="0.0">
                  <c:v>-21.5</c:v>
                </c:pt>
                <c:pt idx="19" formatCode="0.0">
                  <c:v>-11</c:v>
                </c:pt>
                <c:pt idx="20" formatCode="0.0">
                  <c:v>1.8</c:v>
                </c:pt>
              </c:numCache>
            </c:numRef>
          </c:val>
          <c:smooth val="0"/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522398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522398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1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1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</c:numCache>
            </c:numRef>
          </c:val>
          <c:smooth val="0"/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BED600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BED600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1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1"/>
                <c:pt idx="0">
                  <c:v>-13.4</c:v>
                </c:pt>
                <c:pt idx="1">
                  <c:v>-16.600000000000001</c:v>
                </c:pt>
                <c:pt idx="2">
                  <c:v>-21</c:v>
                </c:pt>
                <c:pt idx="3">
                  <c:v>-25.8</c:v>
                </c:pt>
                <c:pt idx="4">
                  <c:v>-27.8</c:v>
                </c:pt>
                <c:pt idx="5">
                  <c:v>-32.1</c:v>
                </c:pt>
                <c:pt idx="6">
                  <c:v>-29.4</c:v>
                </c:pt>
                <c:pt idx="7">
                  <c:v>-23.3</c:v>
                </c:pt>
                <c:pt idx="8" formatCode="0.0">
                  <c:v>-16.399999999999999</c:v>
                </c:pt>
                <c:pt idx="9" formatCode="0.0">
                  <c:v>-11.1</c:v>
                </c:pt>
                <c:pt idx="10" formatCode="0.0">
                  <c:v>1.3</c:v>
                </c:pt>
                <c:pt idx="11" formatCode="0.0">
                  <c:v>1.2</c:v>
                </c:pt>
                <c:pt idx="12" formatCode="0.0">
                  <c:v>-16.100000000000001</c:v>
                </c:pt>
                <c:pt idx="13" formatCode="0.0">
                  <c:v>-9.1999999999999993</c:v>
                </c:pt>
                <c:pt idx="14" formatCode="0.0">
                  <c:v>-15.9</c:v>
                </c:pt>
                <c:pt idx="15" formatCode="0.0">
                  <c:v>-19.3</c:v>
                </c:pt>
                <c:pt idx="16" formatCode="0.0">
                  <c:v>-21.6</c:v>
                </c:pt>
                <c:pt idx="17" formatCode="0.0">
                  <c:v>-13.7</c:v>
                </c:pt>
                <c:pt idx="18" formatCode="0.0">
                  <c:v>-8.1999999999999993</c:v>
                </c:pt>
                <c:pt idx="19" formatCode="0.0">
                  <c:v>-2.5</c:v>
                </c:pt>
                <c:pt idx="20" formatCode="0.0">
                  <c:v>9.1999999999999993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3955296"/>
        <c:axId val="233954904"/>
      </c:lineChart>
      <c:catAx>
        <c:axId val="23395529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3954904"/>
        <c:crossesAt val="0"/>
        <c:auto val="0"/>
        <c:lblAlgn val="ctr"/>
        <c:lblOffset val="100"/>
        <c:tickLblSkip val="1"/>
        <c:noMultiLvlLbl val="0"/>
      </c:catAx>
      <c:valAx>
        <c:axId val="233954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3955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E-2"/>
          <c:y val="3.514376996805111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8542"/>
            </a:solidFill>
            <a:ln>
              <a:noFill/>
            </a:ln>
            <a:effectLst/>
          </c:spPr>
          <c:invertIfNegative val="0"/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Arkusz1!$C$2:$C$85</c:f>
              <c:numCache>
                <c:formatCode>0.0</c:formatCode>
                <c:ptCount val="43"/>
                <c:pt idx="0">
                  <c:v>-16.5</c:v>
                </c:pt>
                <c:pt idx="1">
                  <c:v>-21.7</c:v>
                </c:pt>
                <c:pt idx="2">
                  <c:v>-19.5</c:v>
                </c:pt>
                <c:pt idx="3">
                  <c:v>-14.2</c:v>
                </c:pt>
                <c:pt idx="4">
                  <c:v>-17.2</c:v>
                </c:pt>
                <c:pt idx="5">
                  <c:v>-11.7</c:v>
                </c:pt>
                <c:pt idx="6">
                  <c:v>-14.3</c:v>
                </c:pt>
                <c:pt idx="7">
                  <c:v>-13.2</c:v>
                </c:pt>
                <c:pt idx="8">
                  <c:v>-15.3</c:v>
                </c:pt>
                <c:pt idx="9">
                  <c:v>-15</c:v>
                </c:pt>
                <c:pt idx="10">
                  <c:v>-8.3000000000000007</c:v>
                </c:pt>
                <c:pt idx="11">
                  <c:v>-13.7</c:v>
                </c:pt>
                <c:pt idx="12">
                  <c:v>-10.9</c:v>
                </c:pt>
                <c:pt idx="13">
                  <c:v>-8.1999999999999993</c:v>
                </c:pt>
                <c:pt idx="14">
                  <c:v>-11.5</c:v>
                </c:pt>
                <c:pt idx="15">
                  <c:v>-7.2</c:v>
                </c:pt>
                <c:pt idx="16">
                  <c:v>-7.7</c:v>
                </c:pt>
                <c:pt idx="17">
                  <c:v>-9.6999999999999993</c:v>
                </c:pt>
                <c:pt idx="18">
                  <c:v>-10.6</c:v>
                </c:pt>
                <c:pt idx="19">
                  <c:v>-7.3</c:v>
                </c:pt>
                <c:pt idx="20">
                  <c:v>-7.5</c:v>
                </c:pt>
                <c:pt idx="21">
                  <c:v>-10.3</c:v>
                </c:pt>
                <c:pt idx="22">
                  <c:v>-5.4</c:v>
                </c:pt>
                <c:pt idx="23">
                  <c:v>-6.7</c:v>
                </c:pt>
                <c:pt idx="24">
                  <c:v>-4.4000000000000004</c:v>
                </c:pt>
                <c:pt idx="25">
                  <c:v>-3.6</c:v>
                </c:pt>
                <c:pt idx="26">
                  <c:v>-4.2</c:v>
                </c:pt>
                <c:pt idx="27">
                  <c:v>-3.1</c:v>
                </c:pt>
                <c:pt idx="28">
                  <c:v>0.6</c:v>
                </c:pt>
                <c:pt idx="29">
                  <c:v>1.8</c:v>
                </c:pt>
                <c:pt idx="30">
                  <c:v>1.3</c:v>
                </c:pt>
                <c:pt idx="31">
                  <c:v>2.7</c:v>
                </c:pt>
                <c:pt idx="32">
                  <c:v>0.8</c:v>
                </c:pt>
                <c:pt idx="33">
                  <c:v>1.6</c:v>
                </c:pt>
                <c:pt idx="34">
                  <c:v>3.4</c:v>
                </c:pt>
                <c:pt idx="35">
                  <c:v>-0.2</c:v>
                </c:pt>
                <c:pt idx="36">
                  <c:v>4.3</c:v>
                </c:pt>
                <c:pt idx="37">
                  <c:v>4.2</c:v>
                </c:pt>
                <c:pt idx="38">
                  <c:v>2.9</c:v>
                </c:pt>
                <c:pt idx="39">
                  <c:v>5.7</c:v>
                </c:pt>
                <c:pt idx="40">
                  <c:v>2.8</c:v>
                </c:pt>
                <c:pt idx="41">
                  <c:v>4</c:v>
                </c:pt>
                <c:pt idx="42">
                  <c:v>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3954512"/>
        <c:axId val="23355799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007AC9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AC9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Arkusz1!$D$2:$D$85</c:f>
              <c:numCache>
                <c:formatCode>0.0</c:formatCode>
                <c:ptCount val="43"/>
                <c:pt idx="0">
                  <c:v>-2.6</c:v>
                </c:pt>
                <c:pt idx="1">
                  <c:v>-5.9</c:v>
                </c:pt>
                <c:pt idx="2">
                  <c:v>-5.8</c:v>
                </c:pt>
                <c:pt idx="3">
                  <c:v>-1.8</c:v>
                </c:pt>
                <c:pt idx="4">
                  <c:v>-4.8</c:v>
                </c:pt>
                <c:pt idx="5">
                  <c:v>-2.4</c:v>
                </c:pt>
                <c:pt idx="6">
                  <c:v>-1.9</c:v>
                </c:pt>
                <c:pt idx="7">
                  <c:v>-0.6</c:v>
                </c:pt>
                <c:pt idx="8">
                  <c:v>-3.9</c:v>
                </c:pt>
                <c:pt idx="9">
                  <c:v>-3.9</c:v>
                </c:pt>
                <c:pt idx="10">
                  <c:v>2.6</c:v>
                </c:pt>
                <c:pt idx="11">
                  <c:v>-2.6</c:v>
                </c:pt>
                <c:pt idx="12">
                  <c:v>0.6</c:v>
                </c:pt>
                <c:pt idx="13">
                  <c:v>2.2999999999999998</c:v>
                </c:pt>
                <c:pt idx="14">
                  <c:v>-0.5</c:v>
                </c:pt>
                <c:pt idx="15">
                  <c:v>3.4</c:v>
                </c:pt>
                <c:pt idx="16">
                  <c:v>0.4</c:v>
                </c:pt>
                <c:pt idx="17">
                  <c:v>0.1</c:v>
                </c:pt>
                <c:pt idx="18">
                  <c:v>-0.2</c:v>
                </c:pt>
                <c:pt idx="19">
                  <c:v>0.8</c:v>
                </c:pt>
                <c:pt idx="20">
                  <c:v>1.6</c:v>
                </c:pt>
                <c:pt idx="21">
                  <c:v>-0.6</c:v>
                </c:pt>
                <c:pt idx="22">
                  <c:v>1.8</c:v>
                </c:pt>
                <c:pt idx="23">
                  <c:v>1.6</c:v>
                </c:pt>
                <c:pt idx="24">
                  <c:v>2.9</c:v>
                </c:pt>
                <c:pt idx="25">
                  <c:v>2.2000000000000002</c:v>
                </c:pt>
                <c:pt idx="26">
                  <c:v>1.6</c:v>
                </c:pt>
                <c:pt idx="27">
                  <c:v>2</c:v>
                </c:pt>
                <c:pt idx="28">
                  <c:v>2.8</c:v>
                </c:pt>
                <c:pt idx="29">
                  <c:v>2.9</c:v>
                </c:pt>
                <c:pt idx="30">
                  <c:v>3.6</c:v>
                </c:pt>
                <c:pt idx="31">
                  <c:v>4.3</c:v>
                </c:pt>
                <c:pt idx="32">
                  <c:v>4</c:v>
                </c:pt>
                <c:pt idx="33">
                  <c:v>1.6</c:v>
                </c:pt>
                <c:pt idx="34">
                  <c:v>5</c:v>
                </c:pt>
                <c:pt idx="35">
                  <c:v>0.2</c:v>
                </c:pt>
                <c:pt idx="36">
                  <c:v>5.2</c:v>
                </c:pt>
                <c:pt idx="37">
                  <c:v>2.8</c:v>
                </c:pt>
                <c:pt idx="38">
                  <c:v>4.2</c:v>
                </c:pt>
                <c:pt idx="39">
                  <c:v>5.7</c:v>
                </c:pt>
                <c:pt idx="40">
                  <c:v>3.5</c:v>
                </c:pt>
                <c:pt idx="41">
                  <c:v>3.8</c:v>
                </c:pt>
                <c:pt idx="42">
                  <c:v>3.6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522398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522398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Arkusz1!$E$2:$E$85</c:f>
              <c:numCache>
                <c:formatCode>0.0</c:formatCode>
                <c:ptCount val="43"/>
                <c:pt idx="0">
                  <c:v>-13.2</c:v>
                </c:pt>
                <c:pt idx="1">
                  <c:v>-19.5</c:v>
                </c:pt>
                <c:pt idx="2">
                  <c:v>-18.399999999999999</c:v>
                </c:pt>
                <c:pt idx="3">
                  <c:v>-12.3</c:v>
                </c:pt>
                <c:pt idx="4">
                  <c:v>-14.5</c:v>
                </c:pt>
                <c:pt idx="5">
                  <c:v>-5.0999999999999996</c:v>
                </c:pt>
                <c:pt idx="6">
                  <c:v>-9.6</c:v>
                </c:pt>
                <c:pt idx="7">
                  <c:v>-4.8</c:v>
                </c:pt>
                <c:pt idx="8">
                  <c:v>-12.5</c:v>
                </c:pt>
                <c:pt idx="9">
                  <c:v>-11.4</c:v>
                </c:pt>
                <c:pt idx="10">
                  <c:v>-0.7</c:v>
                </c:pt>
                <c:pt idx="11">
                  <c:v>-14.6</c:v>
                </c:pt>
                <c:pt idx="12">
                  <c:v>-9.4</c:v>
                </c:pt>
                <c:pt idx="13">
                  <c:v>-7.7</c:v>
                </c:pt>
                <c:pt idx="14">
                  <c:v>-13.4</c:v>
                </c:pt>
                <c:pt idx="15">
                  <c:v>-5.8</c:v>
                </c:pt>
                <c:pt idx="16">
                  <c:v>-11</c:v>
                </c:pt>
                <c:pt idx="17">
                  <c:v>-13.2</c:v>
                </c:pt>
                <c:pt idx="18">
                  <c:v>-9.3000000000000007</c:v>
                </c:pt>
                <c:pt idx="19">
                  <c:v>-7.2</c:v>
                </c:pt>
                <c:pt idx="20">
                  <c:v>-8.1</c:v>
                </c:pt>
                <c:pt idx="21">
                  <c:v>-9.9</c:v>
                </c:pt>
                <c:pt idx="22">
                  <c:v>-8.5</c:v>
                </c:pt>
                <c:pt idx="23">
                  <c:v>-9.6</c:v>
                </c:pt>
                <c:pt idx="24">
                  <c:v>-10.1</c:v>
                </c:pt>
                <c:pt idx="25">
                  <c:v>-9.1999999999999993</c:v>
                </c:pt>
                <c:pt idx="26">
                  <c:v>-8.3000000000000007</c:v>
                </c:pt>
                <c:pt idx="27">
                  <c:v>-7.2</c:v>
                </c:pt>
                <c:pt idx="28">
                  <c:v>-1.4</c:v>
                </c:pt>
                <c:pt idx="29">
                  <c:v>1.8</c:v>
                </c:pt>
                <c:pt idx="30">
                  <c:v>1.9</c:v>
                </c:pt>
                <c:pt idx="31">
                  <c:v>2.7</c:v>
                </c:pt>
                <c:pt idx="32">
                  <c:v>0.8</c:v>
                </c:pt>
                <c:pt idx="33">
                  <c:v>3.4</c:v>
                </c:pt>
                <c:pt idx="34">
                  <c:v>3.8</c:v>
                </c:pt>
                <c:pt idx="35">
                  <c:v>0.3</c:v>
                </c:pt>
                <c:pt idx="36">
                  <c:v>4</c:v>
                </c:pt>
                <c:pt idx="37">
                  <c:v>6.3</c:v>
                </c:pt>
                <c:pt idx="38">
                  <c:v>3.2</c:v>
                </c:pt>
                <c:pt idx="39">
                  <c:v>6</c:v>
                </c:pt>
                <c:pt idx="40">
                  <c:v>3.8</c:v>
                </c:pt>
                <c:pt idx="41">
                  <c:v>3.8</c:v>
                </c:pt>
                <c:pt idx="42">
                  <c:v>1.2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BED600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BED600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Arkusz1!$F$2:$F$85</c:f>
              <c:numCache>
                <c:formatCode>0.0</c:formatCode>
                <c:ptCount val="43"/>
                <c:pt idx="0">
                  <c:v>-27.2</c:v>
                </c:pt>
                <c:pt idx="1">
                  <c:v>-31</c:v>
                </c:pt>
                <c:pt idx="2">
                  <c:v>-26.5</c:v>
                </c:pt>
                <c:pt idx="3">
                  <c:v>-16.8</c:v>
                </c:pt>
                <c:pt idx="4">
                  <c:v>-20.8</c:v>
                </c:pt>
                <c:pt idx="5">
                  <c:v>-11.4</c:v>
                </c:pt>
                <c:pt idx="6">
                  <c:v>-16.2</c:v>
                </c:pt>
                <c:pt idx="7">
                  <c:v>-20.100000000000001</c:v>
                </c:pt>
                <c:pt idx="8">
                  <c:v>-20.3</c:v>
                </c:pt>
                <c:pt idx="9">
                  <c:v>-20.100000000000001</c:v>
                </c:pt>
                <c:pt idx="10">
                  <c:v>-10</c:v>
                </c:pt>
                <c:pt idx="11">
                  <c:v>-16</c:v>
                </c:pt>
                <c:pt idx="12">
                  <c:v>-13.9</c:v>
                </c:pt>
                <c:pt idx="13">
                  <c:v>-9.6</c:v>
                </c:pt>
                <c:pt idx="14">
                  <c:v>-9.1</c:v>
                </c:pt>
                <c:pt idx="15">
                  <c:v>-7.7</c:v>
                </c:pt>
                <c:pt idx="16">
                  <c:v>-3.9</c:v>
                </c:pt>
                <c:pt idx="17">
                  <c:v>-5.3</c:v>
                </c:pt>
                <c:pt idx="18">
                  <c:v>-13.5</c:v>
                </c:pt>
                <c:pt idx="19">
                  <c:v>-7.1</c:v>
                </c:pt>
                <c:pt idx="20">
                  <c:v>-6.6</c:v>
                </c:pt>
                <c:pt idx="21">
                  <c:v>-11.7</c:v>
                </c:pt>
                <c:pt idx="22">
                  <c:v>-1.1000000000000001</c:v>
                </c:pt>
                <c:pt idx="23">
                  <c:v>-4.0999999999999996</c:v>
                </c:pt>
                <c:pt idx="24">
                  <c:v>-0.1</c:v>
                </c:pt>
                <c:pt idx="25">
                  <c:v>4.4000000000000004</c:v>
                </c:pt>
                <c:pt idx="26">
                  <c:v>4.9000000000000004</c:v>
                </c:pt>
                <c:pt idx="27">
                  <c:v>5.9</c:v>
                </c:pt>
                <c:pt idx="28">
                  <c:v>11</c:v>
                </c:pt>
                <c:pt idx="29">
                  <c:v>11.7</c:v>
                </c:pt>
                <c:pt idx="30">
                  <c:v>10.1</c:v>
                </c:pt>
                <c:pt idx="31">
                  <c:v>11</c:v>
                </c:pt>
                <c:pt idx="32">
                  <c:v>10.199999999999999</c:v>
                </c:pt>
                <c:pt idx="33">
                  <c:v>9.1999999999999993</c:v>
                </c:pt>
                <c:pt idx="34">
                  <c:v>13.5</c:v>
                </c:pt>
                <c:pt idx="35">
                  <c:v>10.8</c:v>
                </c:pt>
                <c:pt idx="36">
                  <c:v>13.6</c:v>
                </c:pt>
                <c:pt idx="37">
                  <c:v>14.1</c:v>
                </c:pt>
                <c:pt idx="38">
                  <c:v>13.4</c:v>
                </c:pt>
                <c:pt idx="39">
                  <c:v>18</c:v>
                </c:pt>
                <c:pt idx="40">
                  <c:v>14.2</c:v>
                </c:pt>
                <c:pt idx="41">
                  <c:v>13.7</c:v>
                </c:pt>
                <c:pt idx="42">
                  <c:v>14.1</c:v>
                </c:pt>
              </c:numCache>
            </c:numRef>
          </c:val>
          <c:smooth val="0"/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9AA6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9AA6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 </c:v>
                  </c:pt>
                </c:lvl>
              </c:multiLvlStrCache>
            </c:multiLvlStrRef>
          </c:cat>
          <c:val>
            <c:numRef>
              <c:f>Arkusz1!$G$2:$G$85</c:f>
              <c:numCache>
                <c:formatCode>0.0</c:formatCode>
                <c:ptCount val="43"/>
                <c:pt idx="0">
                  <c:v>-22.8</c:v>
                </c:pt>
                <c:pt idx="1">
                  <c:v>-30.2</c:v>
                </c:pt>
                <c:pt idx="2">
                  <c:v>-27.3</c:v>
                </c:pt>
                <c:pt idx="3">
                  <c:v>-25.9</c:v>
                </c:pt>
                <c:pt idx="4">
                  <c:v>-28.7</c:v>
                </c:pt>
                <c:pt idx="5">
                  <c:v>-27.9</c:v>
                </c:pt>
                <c:pt idx="6">
                  <c:v>-29.6</c:v>
                </c:pt>
                <c:pt idx="7">
                  <c:v>-27.4</c:v>
                </c:pt>
                <c:pt idx="8">
                  <c:v>-24.3</c:v>
                </c:pt>
                <c:pt idx="9">
                  <c:v>-24.7</c:v>
                </c:pt>
                <c:pt idx="10">
                  <c:v>-25</c:v>
                </c:pt>
                <c:pt idx="11">
                  <c:v>-21.6</c:v>
                </c:pt>
                <c:pt idx="12">
                  <c:v>-20.8</c:v>
                </c:pt>
                <c:pt idx="13">
                  <c:v>-17.7</c:v>
                </c:pt>
                <c:pt idx="14">
                  <c:v>-22.9</c:v>
                </c:pt>
                <c:pt idx="15">
                  <c:v>-18.5</c:v>
                </c:pt>
                <c:pt idx="16">
                  <c:v>-16.399999999999999</c:v>
                </c:pt>
                <c:pt idx="17">
                  <c:v>-20.2</c:v>
                </c:pt>
                <c:pt idx="18">
                  <c:v>-19.2</c:v>
                </c:pt>
                <c:pt idx="19">
                  <c:v>-15.6</c:v>
                </c:pt>
                <c:pt idx="20">
                  <c:v>-16.8</c:v>
                </c:pt>
                <c:pt idx="21">
                  <c:v>-18.8</c:v>
                </c:pt>
                <c:pt idx="22">
                  <c:v>-13.8</c:v>
                </c:pt>
                <c:pt idx="23">
                  <c:v>-14.6</c:v>
                </c:pt>
                <c:pt idx="24">
                  <c:v>-10.1</c:v>
                </c:pt>
                <c:pt idx="25">
                  <c:v>-11.8</c:v>
                </c:pt>
                <c:pt idx="26">
                  <c:v>-15</c:v>
                </c:pt>
                <c:pt idx="27">
                  <c:v>-12.9</c:v>
                </c:pt>
                <c:pt idx="28">
                  <c:v>-10</c:v>
                </c:pt>
                <c:pt idx="29">
                  <c:v>-9.4</c:v>
                </c:pt>
                <c:pt idx="30">
                  <c:v>-10.5</c:v>
                </c:pt>
                <c:pt idx="31">
                  <c:v>-7.3</c:v>
                </c:pt>
                <c:pt idx="32">
                  <c:v>-11.7</c:v>
                </c:pt>
                <c:pt idx="33">
                  <c:v>-8</c:v>
                </c:pt>
                <c:pt idx="34">
                  <c:v>-8.8000000000000007</c:v>
                </c:pt>
                <c:pt idx="35">
                  <c:v>-12</c:v>
                </c:pt>
                <c:pt idx="36">
                  <c:v>-5.8</c:v>
                </c:pt>
                <c:pt idx="37">
                  <c:v>-6.4</c:v>
                </c:pt>
                <c:pt idx="38">
                  <c:v>-9.1999999999999993</c:v>
                </c:pt>
                <c:pt idx="39">
                  <c:v>-6.9</c:v>
                </c:pt>
                <c:pt idx="40">
                  <c:v>-10.199999999999999</c:v>
                </c:pt>
                <c:pt idx="41">
                  <c:v>-5.2</c:v>
                </c:pt>
                <c:pt idx="42">
                  <c:v>-9.4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3954512"/>
        <c:axId val="233557992"/>
      </c:lineChart>
      <c:catAx>
        <c:axId val="2339545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3557992"/>
        <c:crossesAt val="0"/>
        <c:auto val="1"/>
        <c:lblAlgn val="ctr"/>
        <c:lblOffset val="100"/>
        <c:tickLblSkip val="1"/>
        <c:noMultiLvlLbl val="0"/>
      </c:catAx>
      <c:valAx>
        <c:axId val="233557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3954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3.182981166293733E-2"/>
          <c:w val="0.91936996161087892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8542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1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1"/>
                <c:pt idx="0">
                  <c:v>-21.85</c:v>
                </c:pt>
                <c:pt idx="1">
                  <c:v>-29.625</c:v>
                </c:pt>
                <c:pt idx="2">
                  <c:v>-41.424999999999997</c:v>
                </c:pt>
                <c:pt idx="3">
                  <c:v>-44.6</c:v>
                </c:pt>
                <c:pt idx="4">
                  <c:v>-46.524999999999999</c:v>
                </c:pt>
                <c:pt idx="5">
                  <c:v>-47.825000000000003</c:v>
                </c:pt>
                <c:pt idx="6">
                  <c:v>-44.8</c:v>
                </c:pt>
                <c:pt idx="7">
                  <c:v>-35.700000000000003</c:v>
                </c:pt>
                <c:pt idx="8" formatCode="0.0">
                  <c:v>-27.2</c:v>
                </c:pt>
                <c:pt idx="9" formatCode="0.0">
                  <c:v>-18.5</c:v>
                </c:pt>
                <c:pt idx="10" formatCode="0.0">
                  <c:v>-7.9</c:v>
                </c:pt>
                <c:pt idx="11" formatCode="0.0">
                  <c:v>-11.6</c:v>
                </c:pt>
                <c:pt idx="12" formatCode="0.0">
                  <c:v>-32.5</c:v>
                </c:pt>
                <c:pt idx="13" formatCode="0.0">
                  <c:v>-23.5</c:v>
                </c:pt>
                <c:pt idx="14" formatCode="0.0">
                  <c:v>-29.8</c:v>
                </c:pt>
                <c:pt idx="15" formatCode="0.0">
                  <c:v>-36.700000000000003</c:v>
                </c:pt>
                <c:pt idx="16" formatCode="0.0">
                  <c:v>-33.700000000000003</c:v>
                </c:pt>
                <c:pt idx="17" formatCode="0.0">
                  <c:v>-21.8</c:v>
                </c:pt>
                <c:pt idx="18" formatCode="0.0">
                  <c:v>-15.1</c:v>
                </c:pt>
                <c:pt idx="19" formatCode="0.0">
                  <c:v>-8.6</c:v>
                </c:pt>
                <c:pt idx="20" formatCode="0.0">
                  <c:v>-0.3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3558384"/>
        <c:axId val="23355916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007AC9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AC9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1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1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</c:numCache>
            </c:numRef>
          </c:val>
          <c:smooth val="0"/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522398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522398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1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1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</c:numCache>
            </c:numRef>
          </c:val>
          <c:smooth val="0"/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BED600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BED600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1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1"/>
                <c:pt idx="0">
                  <c:v>-15</c:v>
                </c:pt>
                <c:pt idx="1">
                  <c:v>-27.3</c:v>
                </c:pt>
                <c:pt idx="2">
                  <c:v>-53.1</c:v>
                </c:pt>
                <c:pt idx="3">
                  <c:v>-62</c:v>
                </c:pt>
                <c:pt idx="4">
                  <c:v>-68</c:v>
                </c:pt>
                <c:pt idx="5">
                  <c:v>-63.8</c:v>
                </c:pt>
                <c:pt idx="6">
                  <c:v>-54.1</c:v>
                </c:pt>
                <c:pt idx="7">
                  <c:v>-30.3</c:v>
                </c:pt>
                <c:pt idx="8" formatCode="0.0">
                  <c:v>-24.8</c:v>
                </c:pt>
                <c:pt idx="9" formatCode="0.0">
                  <c:v>-6.3</c:v>
                </c:pt>
                <c:pt idx="10" formatCode="0.0">
                  <c:v>17.600000000000001</c:v>
                </c:pt>
                <c:pt idx="11" formatCode="0.0">
                  <c:v>5.0999999999999996</c:v>
                </c:pt>
                <c:pt idx="12" formatCode="0.0">
                  <c:v>-54.6</c:v>
                </c:pt>
                <c:pt idx="13" formatCode="0.0">
                  <c:v>-34.4</c:v>
                </c:pt>
                <c:pt idx="14" formatCode="0.0">
                  <c:v>-37</c:v>
                </c:pt>
                <c:pt idx="15" formatCode="0.0">
                  <c:v>-53.3</c:v>
                </c:pt>
                <c:pt idx="16" formatCode="0.0">
                  <c:v>-53.7</c:v>
                </c:pt>
                <c:pt idx="17" formatCode="0.0">
                  <c:v>-31.1</c:v>
                </c:pt>
                <c:pt idx="18" formatCode="0.0">
                  <c:v>-19.7</c:v>
                </c:pt>
                <c:pt idx="19" formatCode="0.0">
                  <c:v>-7.8</c:v>
                </c:pt>
                <c:pt idx="20" formatCode="0.0">
                  <c:v>8.5</c:v>
                </c:pt>
              </c:numCache>
            </c:numRef>
          </c:val>
          <c:smooth val="0"/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9AA6">
                  <a:alpha val="6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9AA6">
                  <a:alpha val="6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1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1"/>
                <c:pt idx="0">
                  <c:v>-51.4</c:v>
                </c:pt>
                <c:pt idx="1">
                  <c:v>-55</c:v>
                </c:pt>
                <c:pt idx="2">
                  <c:v>-57.6</c:v>
                </c:pt>
                <c:pt idx="3">
                  <c:v>-60.1</c:v>
                </c:pt>
                <c:pt idx="4">
                  <c:v>-60.1</c:v>
                </c:pt>
                <c:pt idx="5">
                  <c:v>-64.599999999999994</c:v>
                </c:pt>
                <c:pt idx="6">
                  <c:v>-65.400000000000006</c:v>
                </c:pt>
                <c:pt idx="7">
                  <c:v>-58.8</c:v>
                </c:pt>
                <c:pt idx="8" formatCode="0.0">
                  <c:v>-54.6</c:v>
                </c:pt>
                <c:pt idx="9" formatCode="0.0">
                  <c:v>-48.3</c:v>
                </c:pt>
                <c:pt idx="10" formatCode="0.0">
                  <c:v>-40.700000000000003</c:v>
                </c:pt>
                <c:pt idx="11" formatCode="0.0">
                  <c:v>-37.200000000000003</c:v>
                </c:pt>
                <c:pt idx="12" formatCode="0.0">
                  <c:v>-37.1</c:v>
                </c:pt>
                <c:pt idx="13" formatCode="0.0">
                  <c:v>-32</c:v>
                </c:pt>
                <c:pt idx="14" formatCode="0.0">
                  <c:v>-36.1</c:v>
                </c:pt>
                <c:pt idx="15" formatCode="0.0">
                  <c:v>-36.9</c:v>
                </c:pt>
                <c:pt idx="16" formatCode="0.0">
                  <c:v>-36.1</c:v>
                </c:pt>
                <c:pt idx="17" formatCode="0.0">
                  <c:v>-30.5</c:v>
                </c:pt>
                <c:pt idx="18" formatCode="0.0">
                  <c:v>-26.3</c:v>
                </c:pt>
                <c:pt idx="19" formatCode="0.0">
                  <c:v>-18</c:v>
                </c:pt>
                <c:pt idx="20" formatCode="0.0">
                  <c:v>-10.6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3558384"/>
        <c:axId val="233559168"/>
      </c:lineChart>
      <c:catAx>
        <c:axId val="2335583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3559168"/>
        <c:crossesAt val="0"/>
        <c:auto val="0"/>
        <c:lblAlgn val="ctr"/>
        <c:lblOffset val="100"/>
        <c:noMultiLvlLbl val="0"/>
      </c:catAx>
      <c:valAx>
        <c:axId val="233559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3558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kwiecień, lipiec, październik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F51194-5B6E-4F71-AB20-B6033199F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866</Words>
  <Characters>5200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Kupis Rafał</cp:lastModifiedBy>
  <cp:revision>2</cp:revision>
  <cp:lastPrinted>2018-07-16T07:36:00Z</cp:lastPrinted>
  <dcterms:created xsi:type="dcterms:W3CDTF">2018-07-17T11:34:00Z</dcterms:created>
  <dcterms:modified xsi:type="dcterms:W3CDTF">2018-07-17T11:34:00Z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