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F7EBB" w:rsidRPr="00EF7EBB" w:rsidRDefault="00EF7EBB" w:rsidP="00EF7EBB">
      <w:pPr>
        <w:spacing w:after="0" w:line="240" w:lineRule="auto"/>
        <w:ind w:right="-13"/>
        <w:rPr>
          <w:rFonts w:ascii="Fira Sans Extra Condensed SemiB" w:eastAsia="Fira Sans Light" w:hAnsi="Fira Sans Extra Condensed SemiB" w:cs="Times New Roman"/>
          <w:color w:val="000000"/>
          <w:sz w:val="40"/>
          <w:szCs w:val="26"/>
          <w:shd w:val="clear" w:color="auto" w:fill="FFFFFF"/>
        </w:rPr>
      </w:pPr>
      <w:r w:rsidRPr="00EF7EBB">
        <w:rPr>
          <w:rFonts w:ascii="Fira Sans Extra Condensed SemiB" w:eastAsia="Fira Sans Light" w:hAnsi="Fira Sans Extra Condensed SemiB" w:cs="Times New Roman"/>
          <w:noProof/>
          <w:color w:val="000000"/>
          <w:sz w:val="40"/>
          <w:szCs w:val="26"/>
          <w:lang w:eastAsia="pl-PL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7E24876D" wp14:editId="5A6C5FE6">
                <wp:simplePos x="0" y="0"/>
                <wp:positionH relativeFrom="column">
                  <wp:posOffset>5326997</wp:posOffset>
                </wp:positionH>
                <wp:positionV relativeFrom="paragraph">
                  <wp:posOffset>17780</wp:posOffset>
                </wp:positionV>
                <wp:extent cx="1432560" cy="336550"/>
                <wp:effectExtent l="0" t="0" r="0" b="635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EBB" w:rsidRDefault="00EF7EBB" w:rsidP="00EF7EBB">
                            <w:pPr>
                              <w:rPr>
                                <w:rFonts w:ascii="Fira Sans SemiBold" w:hAnsi="Fira Sans SemiBold"/>
                                <w:color w:val="001D77"/>
                              </w:rPr>
                            </w:pPr>
                            <w:r>
                              <w:rPr>
                                <w:rFonts w:ascii="Fira Sans SemiBold" w:hAnsi="Fira Sans SemiBold"/>
                                <w:color w:val="001D77"/>
                              </w:rPr>
                              <w:t>06.04.202</w:t>
                            </w:r>
                            <w:r w:rsidR="003C3EE9">
                              <w:rPr>
                                <w:rFonts w:ascii="Fira Sans SemiBold" w:hAnsi="Fira Sans SemiBold"/>
                                <w:color w:val="001D77"/>
                              </w:rPr>
                              <w:t>1</w:t>
                            </w:r>
                            <w:r>
                              <w:rPr>
                                <w:rFonts w:ascii="Fira Sans SemiBold" w:hAnsi="Fira Sans SemiBold"/>
                                <w:color w:val="001D77"/>
                              </w:rPr>
                              <w:t> 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4876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9.45pt;margin-top:1.4pt;width:112.8pt;height:26.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" filled="f" stroked="f">
                <v:textbox>
                  <w:txbxContent>
                    <w:p w:rsidR="00EF7EBB" w:rsidRDefault="00EF7EBB" w:rsidP="00EF7EBB">
                      <w:pPr>
                        <w:rPr>
                          <w:rFonts w:ascii="Fira Sans SemiBold" w:hAnsi="Fira Sans SemiBold"/>
                          <w:color w:val="001D77"/>
                        </w:rPr>
                      </w:pPr>
                      <w:r>
                        <w:rPr>
                          <w:rFonts w:ascii="Fira Sans SemiBold" w:hAnsi="Fira Sans SemiBold"/>
                          <w:color w:val="001D77"/>
                        </w:rPr>
                        <w:t>06.04.202</w:t>
                      </w:r>
                      <w:r w:rsidR="003C3EE9">
                        <w:rPr>
                          <w:rFonts w:ascii="Fira Sans SemiBold" w:hAnsi="Fira Sans SemiBold"/>
                          <w:color w:val="001D77"/>
                        </w:rPr>
                        <w:t>1</w:t>
                      </w:r>
                      <w:r>
                        <w:rPr>
                          <w:rFonts w:ascii="Fira Sans SemiBold" w:hAnsi="Fira Sans SemiBold"/>
                          <w:color w:val="001D77"/>
                        </w:rPr>
                        <w:t> r.</w:t>
                      </w:r>
                    </w:p>
                  </w:txbxContent>
                </v:textbox>
              </v:shape>
            </w:pict>
          </mc:Fallback>
        </mc:AlternateContent>
      </w:r>
      <w:r w:rsidRPr="00EF7EBB">
        <w:rPr>
          <w:rFonts w:ascii="Fira Sans Extra Condensed SemiB" w:eastAsia="Fira Sans Light" w:hAnsi="Fira Sans Extra Condensed SemiB" w:cs="Times New Roman"/>
          <w:color w:val="000000"/>
          <w:sz w:val="40"/>
          <w:szCs w:val="26"/>
          <w:shd w:val="clear" w:color="auto" w:fill="FFFFFF"/>
        </w:rPr>
        <w:t>Wyniki finansowe banków w</w:t>
      </w:r>
      <w:r w:rsidR="003C3EE9">
        <w:rPr>
          <w:rFonts w:ascii="Fira Sans Extra Condensed SemiB" w:eastAsia="Fira Sans Light" w:hAnsi="Fira Sans Extra Condensed SemiB" w:cs="Times New Roman"/>
          <w:color w:val="000000"/>
          <w:sz w:val="40"/>
          <w:szCs w:val="26"/>
          <w:shd w:val="clear" w:color="auto" w:fill="FFFFFF"/>
        </w:rPr>
        <w:t xml:space="preserve"> 2020</w:t>
      </w:r>
      <w:r w:rsidRPr="00EF7EBB">
        <w:rPr>
          <w:rFonts w:ascii="Fira Sans Extra Condensed SemiB" w:eastAsia="Fira Sans Light" w:hAnsi="Fira Sans Extra Condensed SemiB" w:cs="Times New Roman"/>
          <w:color w:val="000000"/>
          <w:sz w:val="40"/>
          <w:szCs w:val="26"/>
          <w:shd w:val="clear" w:color="auto" w:fill="FFFFFF"/>
        </w:rPr>
        <w:t> r</w:t>
      </w:r>
      <w:r w:rsidR="00E31F90">
        <w:rPr>
          <w:rFonts w:ascii="Fira Sans Extra Condensed SemiB" w:eastAsia="Fira Sans Light" w:hAnsi="Fira Sans Extra Condensed SemiB" w:cs="Times New Roman"/>
          <w:color w:val="000000"/>
          <w:sz w:val="40"/>
          <w:szCs w:val="26"/>
          <w:shd w:val="clear" w:color="auto" w:fill="FFFFFF"/>
        </w:rPr>
        <w:t>oku</w:t>
      </w:r>
    </w:p>
    <w:p w:rsidR="00EF7EBB" w:rsidRPr="00EF7EBB" w:rsidRDefault="00EF7EBB" w:rsidP="00EF7EBB">
      <w:pPr>
        <w:tabs>
          <w:tab w:val="left" w:pos="6399"/>
        </w:tabs>
        <w:spacing w:after="0" w:line="240" w:lineRule="auto"/>
        <w:rPr>
          <w:rFonts w:ascii="Fira Sans Extra Condensed SemiB" w:eastAsia="Fira Sans Light" w:hAnsi="Fira Sans Extra Condensed SemiB" w:cs="Times New Roman"/>
          <w:color w:val="000000"/>
          <w:sz w:val="32"/>
          <w:szCs w:val="26"/>
        </w:rPr>
      </w:pPr>
      <w:r w:rsidRPr="00EF7EBB">
        <w:rPr>
          <w:rFonts w:ascii="Fira Sans Extra Condensed SemiB" w:eastAsia="Fira Sans Light" w:hAnsi="Fira Sans Extra Condensed SemiB" w:cs="Times New Roman"/>
          <w:color w:val="000000"/>
          <w:sz w:val="32"/>
          <w:szCs w:val="26"/>
        </w:rPr>
        <w:tab/>
      </w:r>
    </w:p>
    <w:p w:rsidR="00EF7EBB" w:rsidRPr="00EF7EBB" w:rsidRDefault="00AC342C" w:rsidP="00EF7EBB">
      <w:pPr>
        <w:rPr>
          <w:rFonts w:eastAsia="Fira Sans Light" w:cs="Times New Roman"/>
          <w:b/>
          <w:noProof/>
          <w:szCs w:val="19"/>
          <w:lang w:eastAsia="pl-PL"/>
        </w:rPr>
      </w:pPr>
      <w:r w:rsidRPr="00EF7EBB">
        <w:rPr>
          <w:rFonts w:eastAsia="Fira Sans Light" w:cs="Times New Roman"/>
          <w:b/>
          <w:noProof/>
          <w:color w:val="212492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57568" behindDoc="1" locked="0" layoutInCell="1" allowOverlap="1" wp14:anchorId="7194EF0F" wp14:editId="79A408D5">
                <wp:simplePos x="0" y="0"/>
                <wp:positionH relativeFrom="column">
                  <wp:posOffset>5377815</wp:posOffset>
                </wp:positionH>
                <wp:positionV relativeFrom="paragraph">
                  <wp:posOffset>141572</wp:posOffset>
                </wp:positionV>
                <wp:extent cx="1565910" cy="817880"/>
                <wp:effectExtent l="0" t="0" r="0" b="1270"/>
                <wp:wrapTight wrapText="bothSides">
                  <wp:wrapPolygon edited="0">
                    <wp:start x="788" y="0"/>
                    <wp:lineTo x="788" y="21130"/>
                    <wp:lineTo x="20759" y="21130"/>
                    <wp:lineTo x="20759" y="0"/>
                    <wp:lineTo x="788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817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EBB" w:rsidRPr="00F623CC" w:rsidRDefault="00EF7EBB" w:rsidP="00EF7EBB">
                            <w:pPr>
                              <w:pStyle w:val="tekstzboku"/>
                            </w:pPr>
                            <w:r>
                              <w:t>Wynik finansowy netto osiągnął w</w:t>
                            </w:r>
                            <w:r w:rsidR="003C3EE9">
                              <w:t xml:space="preserve"> 2020</w:t>
                            </w:r>
                            <w:r w:rsidRPr="000D4330">
                              <w:t> r.</w:t>
                            </w:r>
                            <w:r>
                              <w:t xml:space="preserve"> </w:t>
                            </w:r>
                            <w:r w:rsidRPr="00F623CC">
                              <w:t>wartość o </w:t>
                            </w:r>
                            <w:r w:rsidR="00C24142">
                              <w:t>6</w:t>
                            </w:r>
                            <w:r w:rsidRPr="00F623CC">
                              <w:t>,</w:t>
                            </w:r>
                            <w:r w:rsidR="00C24142">
                              <w:t>2</w:t>
                            </w:r>
                            <w:r w:rsidRPr="00F623CC">
                              <w:t xml:space="preserve"> mld zł </w:t>
                            </w:r>
                            <w:r w:rsidR="00C24142">
                              <w:t>ni</w:t>
                            </w:r>
                            <w:r w:rsidRPr="00F623CC">
                              <w:t xml:space="preserve">ższą </w:t>
                            </w:r>
                            <w:r>
                              <w:t>niż w </w:t>
                            </w:r>
                            <w:r w:rsidR="003C3EE9">
                              <w:t>2019</w:t>
                            </w:r>
                            <w:r w:rsidRPr="00F623CC">
                              <w:t> 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4EF0F" id="_x0000_s1027" type="#_x0000_t202" style="position:absolute;margin-left:423.45pt;margin-top:11.15pt;width:123.3pt;height:64.4pt;z-index:-251558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" filled="f" stroked="f">
                <v:textbox>
                  <w:txbxContent>
                    <w:p w:rsidR="00EF7EBB" w:rsidRPr="00F623CC" w:rsidRDefault="00EF7EBB" w:rsidP="00EF7EBB">
                      <w:pPr>
                        <w:pStyle w:val="tekstzboku"/>
                      </w:pPr>
                      <w:r>
                        <w:t>Wynik finansowy netto osiągnął w</w:t>
                      </w:r>
                      <w:r w:rsidR="003C3EE9">
                        <w:t xml:space="preserve"> 2020</w:t>
                      </w:r>
                      <w:r w:rsidRPr="000D4330">
                        <w:t> r.</w:t>
                      </w:r>
                      <w:r>
                        <w:t xml:space="preserve"> </w:t>
                      </w:r>
                      <w:r w:rsidRPr="00F623CC">
                        <w:t>wartość o </w:t>
                      </w:r>
                      <w:r w:rsidR="00C24142">
                        <w:t>6</w:t>
                      </w:r>
                      <w:r w:rsidRPr="00F623CC">
                        <w:t>,</w:t>
                      </w:r>
                      <w:r w:rsidR="00C24142">
                        <w:t>2</w:t>
                      </w:r>
                      <w:r w:rsidRPr="00F623CC">
                        <w:t xml:space="preserve"> mld zł </w:t>
                      </w:r>
                      <w:r w:rsidR="00C24142">
                        <w:t>ni</w:t>
                      </w:r>
                      <w:r w:rsidRPr="00F623CC">
                        <w:t xml:space="preserve">ższą </w:t>
                      </w:r>
                      <w:r>
                        <w:t>niż w </w:t>
                      </w:r>
                      <w:r w:rsidR="003C3EE9">
                        <w:t>2019</w:t>
                      </w:r>
                      <w:r w:rsidRPr="00F623CC">
                        <w:t> r.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F7EBB" w:rsidRPr="00EF7EBB">
        <w:rPr>
          <w:rFonts w:eastAsia="Fira Sans Light" w:cs="Times New Roman"/>
          <w:b/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0AA7EBC6" wp14:editId="670CD003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686560" cy="1075055"/>
                <wp:effectExtent l="0" t="0" r="889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1075386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EBB" w:rsidRDefault="00EF7EBB" w:rsidP="00EF7EBB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Fira Sans Light" w:hAnsi="Fira Sans Light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6D67F682" wp14:editId="4868C340">
                                  <wp:extent cx="342000" cy="342000"/>
                                  <wp:effectExtent l="0" t="0" r="1270" b="1270"/>
                                  <wp:docPr id="24" name="Obraz 3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prstClr val="black"/>
                                              <a:schemeClr val="accent6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</a:blip>
                                          <a:srcRect r="-372" b="-227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42000" cy="34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>
                                            <a:glow>
                                              <a:srgbClr val="5B9BD5">
                                                <a:alpha val="96000"/>
                                              </a:srgbClr>
                                            </a:glo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BD097B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 </w:t>
                            </w:r>
                            <w:r w:rsidR="00BD097B">
                              <w:rPr>
                                <w:rFonts w:ascii="Fira Sans SemiBold" w:hAnsi="Fira Sans SemiBold"/>
                                <w:noProof/>
                                <w:color w:val="FFFFFF" w:themeColor="background1"/>
                                <w:sz w:val="72"/>
                                <w:szCs w:val="72"/>
                                <w:lang w:eastAsia="pl-PL"/>
                              </w:rPr>
                              <w:t>54</w:t>
                            </w:r>
                            <w:r w:rsidRPr="000A71C3">
                              <w:rPr>
                                <w:rFonts w:ascii="Fira Sans SemiBold" w:hAnsi="Fira Sans SemiBold"/>
                                <w:noProof/>
                                <w:color w:val="FFFFFF" w:themeColor="background1"/>
                                <w:sz w:val="72"/>
                                <w:szCs w:val="72"/>
                                <w:lang w:eastAsia="pl-PL"/>
                              </w:rPr>
                              <w:t>,</w:t>
                            </w:r>
                            <w:r w:rsidR="00BD097B">
                              <w:rPr>
                                <w:rFonts w:ascii="Fira Sans SemiBold" w:hAnsi="Fira Sans SemiBold"/>
                                <w:noProof/>
                                <w:color w:val="FFFFFF" w:themeColor="background1"/>
                                <w:sz w:val="72"/>
                                <w:szCs w:val="72"/>
                                <w:lang w:eastAsia="pl-PL"/>
                              </w:rPr>
                              <w:t>7</w:t>
                            </w:r>
                          </w:p>
                          <w:p w:rsidR="00EF7EBB" w:rsidRDefault="00EF7EBB" w:rsidP="00EF7EBB">
                            <w:pPr>
                              <w:pStyle w:val="tekstnaniebieskimtle"/>
                              <w:jc w:val="center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>Dynamika wyniku finansowego netto r/r.</w:t>
                            </w:r>
                            <w:r>
                              <w:rPr>
                                <w:strike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7EBC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6.55pt;width:132.8pt;height:84.65pt;z-index:2517585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" fillcolor="#001d77" stroked="f">
                <v:textbox>
                  <w:txbxContent>
                    <w:p w:rsidR="00EF7EBB" w:rsidRDefault="00EF7EBB" w:rsidP="00EF7EBB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Fira Sans Light" w:hAnsi="Fira Sans Light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6D67F682" wp14:editId="4868C340">
                            <wp:extent cx="342000" cy="342000"/>
                            <wp:effectExtent l="0" t="0" r="1270" b="1270"/>
                            <wp:docPr id="24" name="Obraz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8">
                                      <a:duotone>
                                        <a:prstClr val="black"/>
                                        <a:schemeClr val="accent6">
                                          <a:tint val="45000"/>
                                          <a:satMod val="400000"/>
                                        </a:schemeClr>
                                      </a:duotone>
                                    </a:blip>
                                    <a:srcRect r="-372" b="-227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42000" cy="34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glow>
                                        <a:srgbClr val="5B9BD5">
                                          <a:alpha val="96000"/>
                                        </a:srgbClr>
                                      </a:glo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BD097B">
                        <w:rPr>
                          <w:noProof/>
                          <w:color w:val="001D77"/>
                          <w:lang w:eastAsia="pl-PL"/>
                        </w:rPr>
                        <w:t xml:space="preserve">  </w:t>
                      </w:r>
                      <w:r w:rsidR="00BD097B">
                        <w:rPr>
                          <w:rFonts w:ascii="Fira Sans SemiBold" w:hAnsi="Fira Sans SemiBold"/>
                          <w:noProof/>
                          <w:color w:val="FFFFFF" w:themeColor="background1"/>
                          <w:sz w:val="72"/>
                          <w:szCs w:val="72"/>
                          <w:lang w:eastAsia="pl-PL"/>
                        </w:rPr>
                        <w:t>54</w:t>
                      </w:r>
                      <w:r w:rsidRPr="000A71C3">
                        <w:rPr>
                          <w:rFonts w:ascii="Fira Sans SemiBold" w:hAnsi="Fira Sans SemiBold"/>
                          <w:noProof/>
                          <w:color w:val="FFFFFF" w:themeColor="background1"/>
                          <w:sz w:val="72"/>
                          <w:szCs w:val="72"/>
                          <w:lang w:eastAsia="pl-PL"/>
                        </w:rPr>
                        <w:t>,</w:t>
                      </w:r>
                      <w:r w:rsidR="00BD097B">
                        <w:rPr>
                          <w:rFonts w:ascii="Fira Sans SemiBold" w:hAnsi="Fira Sans SemiBold"/>
                          <w:noProof/>
                          <w:color w:val="FFFFFF" w:themeColor="background1"/>
                          <w:sz w:val="72"/>
                          <w:szCs w:val="72"/>
                          <w:lang w:eastAsia="pl-PL"/>
                        </w:rPr>
                        <w:t>7</w:t>
                      </w:r>
                    </w:p>
                    <w:p w:rsidR="00EF7EBB" w:rsidRDefault="00EF7EBB" w:rsidP="00EF7EBB">
                      <w:pPr>
                        <w:pStyle w:val="tekstnaniebieskimtle"/>
                        <w:jc w:val="center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>Dynamika wyniku finansowego netto r/r.</w:t>
                      </w:r>
                      <w:r>
                        <w:rPr>
                          <w:strike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7EBB" w:rsidRPr="00EF7EBB">
        <w:rPr>
          <w:rFonts w:eastAsia="Fira Sans Light" w:cs="Times New Roman"/>
          <w:b/>
          <w:noProof/>
          <w:szCs w:val="19"/>
          <w:lang w:eastAsia="pl-PL"/>
        </w:rPr>
        <w:t>Wynik finansowy netto sektora bankowego</w:t>
      </w:r>
      <w:r w:rsidR="00EF7EBB" w:rsidRPr="00EF7EBB">
        <w:rPr>
          <w:rFonts w:eastAsia="Fira Sans Light" w:cs="Times New Roman"/>
          <w:b/>
          <w:noProof/>
          <w:szCs w:val="19"/>
          <w:vertAlign w:val="superscript"/>
          <w:lang w:eastAsia="pl-PL"/>
        </w:rPr>
        <w:footnoteReference w:id="2"/>
      </w:r>
      <w:r w:rsidR="00EF7EBB" w:rsidRPr="00EF7EBB">
        <w:rPr>
          <w:rFonts w:eastAsia="Fira Sans Light" w:cs="Times New Roman"/>
          <w:b/>
          <w:noProof/>
          <w:szCs w:val="19"/>
          <w:lang w:eastAsia="pl-PL"/>
        </w:rPr>
        <w:t xml:space="preserve"> w</w:t>
      </w:r>
      <w:r w:rsidR="003C3EE9">
        <w:rPr>
          <w:rFonts w:eastAsia="Fira Sans Light" w:cs="Times New Roman"/>
          <w:b/>
          <w:noProof/>
          <w:szCs w:val="19"/>
          <w:lang w:eastAsia="pl-PL"/>
        </w:rPr>
        <w:t xml:space="preserve"> 2020</w:t>
      </w:r>
      <w:r w:rsidR="00EF7EBB" w:rsidRPr="00EF7EBB">
        <w:rPr>
          <w:rFonts w:eastAsia="Fira Sans Light" w:cs="Times New Roman"/>
          <w:b/>
          <w:noProof/>
          <w:spacing w:val="-2"/>
          <w:szCs w:val="19"/>
          <w:lang w:eastAsia="pl-PL"/>
        </w:rPr>
        <w:t> r.</w:t>
      </w:r>
      <w:r>
        <w:rPr>
          <w:rFonts w:eastAsia="Fira Sans Light" w:cs="Times New Roman"/>
          <w:b/>
          <w:noProof/>
          <w:szCs w:val="19"/>
          <w:lang w:eastAsia="pl-PL"/>
        </w:rPr>
        <w:t xml:space="preserve"> wyniósł 7</w:t>
      </w:r>
      <w:r w:rsidR="00EF7EBB" w:rsidRPr="00EF7EBB">
        <w:rPr>
          <w:rFonts w:eastAsia="Fira Sans Light" w:cs="Times New Roman"/>
          <w:b/>
          <w:noProof/>
          <w:szCs w:val="19"/>
          <w:lang w:eastAsia="pl-PL"/>
        </w:rPr>
        <w:t>,</w:t>
      </w:r>
      <w:r>
        <w:rPr>
          <w:rFonts w:eastAsia="Fira Sans Light" w:cs="Times New Roman"/>
          <w:b/>
          <w:noProof/>
          <w:szCs w:val="19"/>
          <w:lang w:eastAsia="pl-PL"/>
        </w:rPr>
        <w:t>5</w:t>
      </w:r>
      <w:r w:rsidR="00EF7EBB" w:rsidRPr="00EF7EBB">
        <w:rPr>
          <w:rFonts w:eastAsia="Fira Sans Light" w:cs="Times New Roman"/>
          <w:b/>
          <w:noProof/>
          <w:sz w:val="18"/>
          <w:szCs w:val="19"/>
          <w:lang w:eastAsia="pl-PL"/>
        </w:rPr>
        <w:t> mld zł</w:t>
      </w:r>
      <w:r w:rsidR="00EF7EBB" w:rsidRPr="00EF7EBB">
        <w:rPr>
          <w:rFonts w:eastAsia="Fira Sans Light" w:cs="Times New Roman"/>
          <w:b/>
          <w:noProof/>
          <w:szCs w:val="19"/>
          <w:lang w:eastAsia="pl-PL"/>
        </w:rPr>
        <w:t xml:space="preserve">, tj. o </w:t>
      </w:r>
      <w:r>
        <w:rPr>
          <w:rFonts w:eastAsia="Fira Sans Light" w:cs="Times New Roman"/>
          <w:b/>
          <w:noProof/>
          <w:szCs w:val="19"/>
          <w:lang w:eastAsia="pl-PL"/>
        </w:rPr>
        <w:t>45</w:t>
      </w:r>
      <w:r w:rsidR="00EF7EBB" w:rsidRPr="00EF7EBB">
        <w:rPr>
          <w:rFonts w:eastAsia="Fira Sans Light" w:cs="Times New Roman"/>
          <w:b/>
          <w:noProof/>
          <w:szCs w:val="19"/>
          <w:lang w:eastAsia="pl-PL"/>
        </w:rPr>
        <w:t>,</w:t>
      </w:r>
      <w:r>
        <w:rPr>
          <w:rFonts w:eastAsia="Fira Sans Light" w:cs="Times New Roman"/>
          <w:b/>
          <w:noProof/>
          <w:szCs w:val="19"/>
          <w:lang w:eastAsia="pl-PL"/>
        </w:rPr>
        <w:t>3</w:t>
      </w:r>
      <w:r w:rsidR="00EF7EBB" w:rsidRPr="00EF7EBB">
        <w:rPr>
          <w:rFonts w:eastAsia="Fira Sans Light" w:cs="Times New Roman"/>
          <w:b/>
          <w:noProof/>
          <w:szCs w:val="19"/>
          <w:lang w:eastAsia="pl-PL"/>
        </w:rPr>
        <w:t xml:space="preserve">% </w:t>
      </w:r>
      <w:r>
        <w:rPr>
          <w:rFonts w:eastAsia="Fira Sans Light" w:cs="Times New Roman"/>
          <w:b/>
          <w:noProof/>
          <w:szCs w:val="19"/>
          <w:lang w:eastAsia="pl-PL"/>
        </w:rPr>
        <w:t>mn</w:t>
      </w:r>
      <w:r w:rsidR="00EF7EBB" w:rsidRPr="00EF7EBB">
        <w:rPr>
          <w:rFonts w:eastAsia="Fira Sans Light" w:cs="Times New Roman"/>
          <w:b/>
          <w:noProof/>
          <w:szCs w:val="19"/>
          <w:lang w:eastAsia="pl-PL"/>
        </w:rPr>
        <w:t>iej niż w </w:t>
      </w:r>
      <w:r w:rsidR="003C3EE9">
        <w:rPr>
          <w:rFonts w:eastAsia="Fira Sans Light" w:cs="Times New Roman"/>
          <w:b/>
          <w:noProof/>
          <w:szCs w:val="19"/>
          <w:lang w:eastAsia="pl-PL"/>
        </w:rPr>
        <w:t>2019</w:t>
      </w:r>
      <w:r w:rsidR="00EF7EBB" w:rsidRPr="00EF7EBB">
        <w:rPr>
          <w:rFonts w:eastAsia="Fira Sans Light" w:cs="Times New Roman"/>
          <w:b/>
          <w:noProof/>
          <w:szCs w:val="19"/>
          <w:lang w:eastAsia="pl-PL"/>
        </w:rPr>
        <w:t> r. Suma bilansowa banków zwiększyła się o </w:t>
      </w:r>
      <w:r>
        <w:rPr>
          <w:rFonts w:eastAsia="Fira Sans Light" w:cs="Times New Roman"/>
          <w:b/>
          <w:noProof/>
          <w:szCs w:val="19"/>
          <w:lang w:eastAsia="pl-PL"/>
        </w:rPr>
        <w:t>17</w:t>
      </w:r>
      <w:r w:rsidR="00EF7EBB" w:rsidRPr="00EF7EBB">
        <w:rPr>
          <w:rFonts w:eastAsia="Fira Sans Light" w:cs="Times New Roman"/>
          <w:b/>
          <w:noProof/>
          <w:szCs w:val="19"/>
          <w:lang w:eastAsia="pl-PL"/>
        </w:rPr>
        <w:t>,</w:t>
      </w:r>
      <w:r>
        <w:rPr>
          <w:rFonts w:eastAsia="Fira Sans Light" w:cs="Times New Roman"/>
          <w:b/>
          <w:noProof/>
          <w:szCs w:val="19"/>
          <w:lang w:eastAsia="pl-PL"/>
        </w:rPr>
        <w:t>7</w:t>
      </w:r>
      <w:r w:rsidR="00EF7EBB" w:rsidRPr="00EF7EBB">
        <w:rPr>
          <w:rFonts w:eastAsia="Fira Sans Light" w:cs="Times New Roman"/>
          <w:b/>
          <w:noProof/>
          <w:szCs w:val="19"/>
          <w:lang w:eastAsia="pl-PL"/>
        </w:rPr>
        <w:t xml:space="preserve">% i wyniosła </w:t>
      </w:r>
      <w:r>
        <w:rPr>
          <w:rFonts w:eastAsia="Fira Sans Light" w:cs="Times New Roman"/>
          <w:b/>
          <w:noProof/>
          <w:szCs w:val="19"/>
          <w:lang w:eastAsia="pl-PL"/>
        </w:rPr>
        <w:t>2</w:t>
      </w:r>
      <w:r w:rsidR="00EF7EBB" w:rsidRPr="00EF7EBB">
        <w:rPr>
          <w:rFonts w:eastAsia="Fira Sans Light" w:cs="Times New Roman"/>
          <w:b/>
          <w:noProof/>
          <w:szCs w:val="19"/>
          <w:lang w:eastAsia="pl-PL"/>
        </w:rPr>
        <w:t> </w:t>
      </w:r>
      <w:r>
        <w:rPr>
          <w:rFonts w:eastAsia="Fira Sans Light" w:cs="Times New Roman"/>
          <w:b/>
          <w:noProof/>
          <w:szCs w:val="19"/>
          <w:lang w:eastAsia="pl-PL"/>
        </w:rPr>
        <w:t>3</w:t>
      </w:r>
      <w:r w:rsidRPr="00EF7EBB">
        <w:rPr>
          <w:rFonts w:eastAsia="Fira Sans Light" w:cs="Times New Roman"/>
          <w:b/>
          <w:noProof/>
          <w:szCs w:val="19"/>
          <w:lang w:eastAsia="pl-PL"/>
        </w:rPr>
        <w:t>4</w:t>
      </w:r>
      <w:r>
        <w:rPr>
          <w:rFonts w:eastAsia="Fira Sans Light" w:cs="Times New Roman"/>
          <w:b/>
          <w:noProof/>
          <w:szCs w:val="19"/>
          <w:lang w:eastAsia="pl-PL"/>
        </w:rPr>
        <w:t>4</w:t>
      </w:r>
      <w:r w:rsidR="00EF7EBB" w:rsidRPr="00EF7EBB">
        <w:rPr>
          <w:rFonts w:eastAsia="Fira Sans Light" w:cs="Times New Roman"/>
          <w:b/>
          <w:noProof/>
          <w:szCs w:val="19"/>
          <w:lang w:eastAsia="pl-PL"/>
        </w:rPr>
        <w:t>,</w:t>
      </w:r>
      <w:r>
        <w:rPr>
          <w:rFonts w:eastAsia="Fira Sans Light" w:cs="Times New Roman"/>
          <w:b/>
          <w:noProof/>
          <w:szCs w:val="19"/>
          <w:lang w:eastAsia="pl-PL"/>
        </w:rPr>
        <w:t>0</w:t>
      </w:r>
      <w:r w:rsidR="00EF7EBB" w:rsidRPr="00EF7EBB">
        <w:rPr>
          <w:rFonts w:eastAsia="Fira Sans Light" w:cs="Times New Roman"/>
          <w:b/>
          <w:noProof/>
          <w:szCs w:val="19"/>
          <w:lang w:eastAsia="pl-PL"/>
        </w:rPr>
        <w:t> </w:t>
      </w:r>
      <w:r w:rsidR="00EF7EBB" w:rsidRPr="00EF7EBB">
        <w:rPr>
          <w:rFonts w:eastAsia="Fira Sans Light" w:cs="Times New Roman"/>
          <w:b/>
          <w:noProof/>
          <w:sz w:val="18"/>
          <w:szCs w:val="19"/>
          <w:lang w:eastAsia="pl-PL"/>
        </w:rPr>
        <w:t>mld zł</w:t>
      </w:r>
      <w:r w:rsidR="00EF7EBB" w:rsidRPr="00EF7EBB">
        <w:rPr>
          <w:rFonts w:eastAsia="Fira Sans Light" w:cs="Times New Roman"/>
          <w:b/>
          <w:noProof/>
          <w:szCs w:val="19"/>
          <w:lang w:eastAsia="pl-PL"/>
        </w:rPr>
        <w:t>. Wartość kredytów udzielonych sektorowi niefinansowemu zwiększyła się o </w:t>
      </w:r>
      <w:r>
        <w:rPr>
          <w:rFonts w:eastAsia="Fira Sans Light" w:cs="Times New Roman"/>
          <w:b/>
          <w:noProof/>
          <w:szCs w:val="19"/>
          <w:lang w:eastAsia="pl-PL"/>
        </w:rPr>
        <w:t>0</w:t>
      </w:r>
      <w:r w:rsidR="00EF7EBB" w:rsidRPr="00EF7EBB">
        <w:rPr>
          <w:rFonts w:eastAsia="Fira Sans Light" w:cs="Times New Roman"/>
          <w:b/>
          <w:noProof/>
          <w:szCs w:val="19"/>
          <w:lang w:eastAsia="pl-PL"/>
        </w:rPr>
        <w:t>,</w:t>
      </w:r>
      <w:r>
        <w:rPr>
          <w:rFonts w:eastAsia="Fira Sans Light" w:cs="Times New Roman"/>
          <w:b/>
          <w:noProof/>
          <w:szCs w:val="19"/>
          <w:lang w:eastAsia="pl-PL"/>
        </w:rPr>
        <w:t>8</w:t>
      </w:r>
      <w:r w:rsidR="00EF7EBB" w:rsidRPr="00EF7EBB">
        <w:rPr>
          <w:rFonts w:eastAsia="Fira Sans Light" w:cs="Times New Roman"/>
          <w:b/>
          <w:noProof/>
          <w:szCs w:val="19"/>
          <w:lang w:eastAsia="pl-PL"/>
        </w:rPr>
        <w:t>% do kwoty 1 1</w:t>
      </w:r>
      <w:r>
        <w:rPr>
          <w:rFonts w:eastAsia="Fira Sans Light" w:cs="Times New Roman"/>
          <w:b/>
          <w:noProof/>
          <w:szCs w:val="19"/>
          <w:lang w:eastAsia="pl-PL"/>
        </w:rPr>
        <w:t>40</w:t>
      </w:r>
      <w:r w:rsidR="00EF7EBB" w:rsidRPr="00EF7EBB">
        <w:rPr>
          <w:rFonts w:eastAsia="Fira Sans Light" w:cs="Times New Roman"/>
          <w:b/>
          <w:noProof/>
          <w:szCs w:val="19"/>
          <w:lang w:eastAsia="pl-PL"/>
        </w:rPr>
        <w:t>,0 </w:t>
      </w:r>
      <w:r w:rsidR="00EF7EBB" w:rsidRPr="00EF7EBB">
        <w:rPr>
          <w:rFonts w:eastAsia="Fira Sans Light" w:cs="Times New Roman"/>
          <w:b/>
          <w:noProof/>
          <w:sz w:val="18"/>
          <w:szCs w:val="19"/>
          <w:lang w:eastAsia="pl-PL"/>
        </w:rPr>
        <w:t>mld zł</w:t>
      </w:r>
      <w:r w:rsidR="00EF7EBB" w:rsidRPr="00EF7EBB">
        <w:rPr>
          <w:rFonts w:eastAsia="Fira Sans Light" w:cs="Times New Roman"/>
          <w:b/>
          <w:noProof/>
          <w:szCs w:val="19"/>
          <w:lang w:eastAsia="pl-PL"/>
        </w:rPr>
        <w:t>, a wartość depozytów sektora niefinanoswego wzrosła o </w:t>
      </w:r>
      <w:r>
        <w:rPr>
          <w:rFonts w:eastAsia="Fira Sans Light" w:cs="Times New Roman"/>
          <w:b/>
          <w:noProof/>
          <w:szCs w:val="19"/>
          <w:lang w:eastAsia="pl-PL"/>
        </w:rPr>
        <w:t>12</w:t>
      </w:r>
      <w:r w:rsidR="00EF7EBB" w:rsidRPr="00EF7EBB">
        <w:rPr>
          <w:rFonts w:eastAsia="Fira Sans Light" w:cs="Times New Roman"/>
          <w:b/>
          <w:noProof/>
          <w:szCs w:val="19"/>
          <w:lang w:eastAsia="pl-PL"/>
        </w:rPr>
        <w:t>,</w:t>
      </w:r>
      <w:r>
        <w:rPr>
          <w:rFonts w:eastAsia="Fira Sans Light" w:cs="Times New Roman"/>
          <w:b/>
          <w:noProof/>
          <w:szCs w:val="19"/>
          <w:lang w:eastAsia="pl-PL"/>
        </w:rPr>
        <w:t>8</w:t>
      </w:r>
      <w:r w:rsidR="00EF7EBB" w:rsidRPr="00EF7EBB">
        <w:rPr>
          <w:rFonts w:eastAsia="Fira Sans Light" w:cs="Times New Roman"/>
          <w:b/>
          <w:noProof/>
          <w:szCs w:val="19"/>
          <w:lang w:eastAsia="pl-PL"/>
        </w:rPr>
        <w:t>% do 1 </w:t>
      </w:r>
      <w:r>
        <w:rPr>
          <w:rFonts w:eastAsia="Fira Sans Light" w:cs="Times New Roman"/>
          <w:b/>
          <w:noProof/>
          <w:szCs w:val="19"/>
          <w:lang w:eastAsia="pl-PL"/>
        </w:rPr>
        <w:t>4</w:t>
      </w:r>
      <w:r w:rsidR="00EF7EBB" w:rsidRPr="00EF7EBB">
        <w:rPr>
          <w:rFonts w:eastAsia="Fira Sans Light" w:cs="Times New Roman"/>
          <w:b/>
          <w:noProof/>
          <w:szCs w:val="19"/>
          <w:lang w:eastAsia="pl-PL"/>
        </w:rPr>
        <w:t>2</w:t>
      </w:r>
      <w:r>
        <w:rPr>
          <w:rFonts w:eastAsia="Fira Sans Light" w:cs="Times New Roman"/>
          <w:b/>
          <w:noProof/>
          <w:szCs w:val="19"/>
          <w:lang w:eastAsia="pl-PL"/>
        </w:rPr>
        <w:t>4</w:t>
      </w:r>
      <w:r w:rsidR="00EF7EBB" w:rsidRPr="00EF7EBB">
        <w:rPr>
          <w:rFonts w:eastAsia="Fira Sans Light" w:cs="Times New Roman"/>
          <w:b/>
          <w:noProof/>
          <w:szCs w:val="19"/>
          <w:lang w:eastAsia="pl-PL"/>
        </w:rPr>
        <w:t>,3</w:t>
      </w:r>
      <w:r w:rsidR="00EF7EBB" w:rsidRPr="00EF7EBB">
        <w:rPr>
          <w:rFonts w:eastAsia="Fira Sans Light" w:cs="Times New Roman"/>
          <w:b/>
          <w:noProof/>
          <w:sz w:val="18"/>
          <w:szCs w:val="19"/>
          <w:lang w:eastAsia="pl-PL"/>
        </w:rPr>
        <w:t> mld zł</w:t>
      </w:r>
      <w:r w:rsidR="00EF7EBB" w:rsidRPr="00EF7EBB">
        <w:rPr>
          <w:rFonts w:eastAsia="Fira Sans Light" w:cs="Times New Roman"/>
          <w:b/>
          <w:noProof/>
          <w:szCs w:val="19"/>
          <w:lang w:eastAsia="pl-PL"/>
        </w:rPr>
        <w:t>.</w:t>
      </w:r>
    </w:p>
    <w:p w:rsidR="00EF7EBB" w:rsidRPr="00EF7EBB" w:rsidRDefault="00EF7EBB" w:rsidP="00EF7EBB">
      <w:pPr>
        <w:keepNext/>
        <w:spacing w:before="0" w:line="240" w:lineRule="auto"/>
        <w:outlineLvl w:val="0"/>
        <w:rPr>
          <w:rFonts w:eastAsia="Times New Roman" w:cs="Times New Roman"/>
          <w:b/>
          <w:bCs/>
          <w:color w:val="212492"/>
          <w:spacing w:val="-2"/>
          <w:szCs w:val="19"/>
          <w:lang w:eastAsia="pl-PL"/>
        </w:rPr>
      </w:pPr>
    </w:p>
    <w:p w:rsidR="00EF7EBB" w:rsidRPr="00EF7EBB" w:rsidRDefault="00EF7EBB" w:rsidP="00EF7EBB">
      <w:pPr>
        <w:spacing w:before="0" w:after="0"/>
        <w:rPr>
          <w:rFonts w:eastAsia="Fira Sans Light" w:cs="Times New Roman"/>
          <w:b/>
          <w:spacing w:val="-2"/>
          <w:sz w:val="18"/>
        </w:rPr>
      </w:pPr>
    </w:p>
    <w:tbl>
      <w:tblPr>
        <w:tblStyle w:val="GridTableLight11"/>
        <w:tblpPr w:leftFromText="141" w:rightFromText="141" w:vertAnchor="text" w:horzAnchor="margin" w:tblpY="345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475"/>
        <w:gridCol w:w="915"/>
        <w:gridCol w:w="6"/>
        <w:gridCol w:w="922"/>
        <w:gridCol w:w="870"/>
      </w:tblGrid>
      <w:tr w:rsidR="00EF7EBB" w:rsidRPr="00EF7EBB" w:rsidTr="009C7276">
        <w:trPr>
          <w:trHeight w:val="57"/>
        </w:trPr>
        <w:tc>
          <w:tcPr>
            <w:tcW w:w="5475" w:type="dxa"/>
            <w:vMerge w:val="restart"/>
            <w:vAlign w:val="center"/>
          </w:tcPr>
          <w:p w:rsidR="00EF7EBB" w:rsidRPr="00EF7EBB" w:rsidRDefault="00EF7EBB" w:rsidP="00EF7EBB">
            <w:pPr>
              <w:keepNext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EF7EBB"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915" w:type="dxa"/>
            <w:vAlign w:val="center"/>
          </w:tcPr>
          <w:p w:rsidR="00EF7EBB" w:rsidRPr="00EF7EBB" w:rsidRDefault="003C3EE9" w:rsidP="00EF7EBB">
            <w:pPr>
              <w:keepNext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798" w:type="dxa"/>
            <w:gridSpan w:val="3"/>
            <w:vAlign w:val="center"/>
          </w:tcPr>
          <w:p w:rsidR="00EF7EBB" w:rsidRPr="00EF7EBB" w:rsidRDefault="003C3EE9" w:rsidP="00EF7EBB">
            <w:pPr>
              <w:keepNext/>
              <w:keepLines/>
              <w:spacing w:before="0" w:after="0"/>
              <w:jc w:val="center"/>
              <w:outlineLvl w:val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EF7EBB" w:rsidRPr="00EF7EBB" w:rsidTr="009C7276">
        <w:trPr>
          <w:trHeight w:val="57"/>
        </w:trPr>
        <w:tc>
          <w:tcPr>
            <w:tcW w:w="5475" w:type="dxa"/>
            <w:vMerge/>
            <w:tcBorders>
              <w:bottom w:val="single" w:sz="12" w:space="0" w:color="212492"/>
            </w:tcBorders>
            <w:vAlign w:val="center"/>
          </w:tcPr>
          <w:p w:rsidR="00EF7EBB" w:rsidRPr="00EF7EBB" w:rsidRDefault="00EF7EBB" w:rsidP="00EF7EBB">
            <w:pPr>
              <w:keepNext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ascii="Fira Sans SemiBold" w:eastAsia="Times New Roman" w:hAnsi="Fira Sans SemiBold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bottom w:val="single" w:sz="12" w:space="0" w:color="212492"/>
            </w:tcBorders>
            <w:vAlign w:val="center"/>
          </w:tcPr>
          <w:p w:rsidR="00EF7EBB" w:rsidRPr="00EF7EBB" w:rsidRDefault="00EF7EBB" w:rsidP="00EF7EBB">
            <w:pPr>
              <w:spacing w:before="0" w:after="0"/>
              <w:jc w:val="center"/>
              <w:rPr>
                <w:rFonts w:eastAsia="Fira Sans Light" w:cs="Times New Roman"/>
                <w:color w:val="000000"/>
                <w:sz w:val="16"/>
                <w:szCs w:val="16"/>
              </w:rPr>
            </w:pPr>
            <w:r w:rsidRPr="00EF7EBB">
              <w:rPr>
                <w:rFonts w:eastAsia="Fira Sans Light" w:cs="Times New Roman"/>
                <w:color w:val="000000"/>
                <w:sz w:val="16"/>
                <w:szCs w:val="16"/>
              </w:rPr>
              <w:t>w mln zł</w:t>
            </w:r>
          </w:p>
        </w:tc>
        <w:tc>
          <w:tcPr>
            <w:tcW w:w="870" w:type="dxa"/>
            <w:tcBorders>
              <w:bottom w:val="single" w:sz="12" w:space="0" w:color="212492"/>
            </w:tcBorders>
            <w:vAlign w:val="center"/>
          </w:tcPr>
          <w:p w:rsidR="00EF7EBB" w:rsidRPr="00EF7EBB" w:rsidRDefault="003C3EE9" w:rsidP="00EF7EBB">
            <w:pPr>
              <w:spacing w:before="0" w:after="0"/>
              <w:jc w:val="center"/>
              <w:rPr>
                <w:rFonts w:eastAsia="Fira Sans Light" w:cs="Times New Roman"/>
                <w:color w:val="000000"/>
                <w:sz w:val="16"/>
                <w:szCs w:val="16"/>
              </w:rPr>
            </w:pPr>
            <w:r>
              <w:rPr>
                <w:rFonts w:eastAsia="Fira Sans Light" w:cs="Times New Roman"/>
                <w:color w:val="000000"/>
                <w:sz w:val="16"/>
                <w:szCs w:val="16"/>
              </w:rPr>
              <w:t>2019</w:t>
            </w:r>
            <w:r w:rsidR="00EF7EBB" w:rsidRPr="00EF7EBB">
              <w:rPr>
                <w:rFonts w:eastAsia="Fira Sans Light" w:cs="Times New Roman"/>
                <w:color w:val="000000"/>
                <w:sz w:val="16"/>
                <w:szCs w:val="16"/>
              </w:rPr>
              <w:t>=100</w:t>
            </w:r>
          </w:p>
        </w:tc>
      </w:tr>
      <w:tr w:rsidR="00BD097B" w:rsidRPr="00EF7EBB" w:rsidTr="007D7FDA">
        <w:trPr>
          <w:trHeight w:val="57"/>
        </w:trPr>
        <w:tc>
          <w:tcPr>
            <w:tcW w:w="5475" w:type="dxa"/>
            <w:tcBorders>
              <w:top w:val="single" w:sz="12" w:space="0" w:color="212492"/>
              <w:bottom w:val="single" w:sz="4" w:space="0" w:color="1F4E79" w:themeColor="accent1" w:themeShade="80"/>
            </w:tcBorders>
            <w:vAlign w:val="center"/>
          </w:tcPr>
          <w:p w:rsidR="00BD097B" w:rsidRPr="00EF7EBB" w:rsidRDefault="00BD097B" w:rsidP="00BD097B">
            <w:pPr>
              <w:spacing w:before="0" w:after="0"/>
              <w:rPr>
                <w:rFonts w:eastAsia="Fira Sans Light" w:cs="Times New Roman"/>
                <w:sz w:val="16"/>
                <w:szCs w:val="16"/>
              </w:rPr>
            </w:pPr>
            <w:r w:rsidRPr="00EF7EBB">
              <w:rPr>
                <w:rFonts w:eastAsia="Fira Sans Light" w:cs="Times New Roman"/>
                <w:sz w:val="16"/>
                <w:szCs w:val="16"/>
              </w:rPr>
              <w:t xml:space="preserve">Całkowite przychody operacyjne, netto, </w:t>
            </w:r>
            <w:r>
              <w:rPr>
                <w:rFonts w:eastAsia="Fira Sans Light" w:cs="Times New Roman"/>
                <w:sz w:val="16"/>
                <w:szCs w:val="16"/>
              </w:rPr>
              <w:t>w</w:t>
            </w:r>
            <w:r w:rsidRPr="00EF7EBB">
              <w:rPr>
                <w:rFonts w:eastAsia="Fira Sans Light" w:cs="Times New Roman"/>
                <w:sz w:val="16"/>
                <w:szCs w:val="16"/>
              </w:rPr>
              <w:t xml:space="preserve"> t</w:t>
            </w:r>
            <w:r>
              <w:rPr>
                <w:rFonts w:eastAsia="Fira Sans Light" w:cs="Times New Roman"/>
                <w:sz w:val="16"/>
                <w:szCs w:val="16"/>
              </w:rPr>
              <w:t>ym</w:t>
            </w:r>
            <w:r w:rsidRPr="00EF7EBB">
              <w:rPr>
                <w:rFonts w:eastAsia="Fira Sans Light" w:cs="Times New Roman"/>
                <w:sz w:val="16"/>
                <w:szCs w:val="16"/>
              </w:rPr>
              <w:t>:</w:t>
            </w:r>
          </w:p>
        </w:tc>
        <w:tc>
          <w:tcPr>
            <w:tcW w:w="921" w:type="dxa"/>
            <w:gridSpan w:val="2"/>
            <w:tcBorders>
              <w:bottom w:val="single" w:sz="4" w:space="0" w:color="1F4E79" w:themeColor="accent1" w:themeShade="80"/>
            </w:tcBorders>
          </w:tcPr>
          <w:p w:rsidR="00BD097B" w:rsidRPr="006E00A1" w:rsidRDefault="00BD097B" w:rsidP="00BD097B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70 392</w:t>
            </w:r>
          </w:p>
        </w:tc>
        <w:tc>
          <w:tcPr>
            <w:tcW w:w="922" w:type="dxa"/>
            <w:tcBorders>
              <w:bottom w:val="single" w:sz="4" w:space="0" w:color="1F4E79" w:themeColor="accent1" w:themeShade="80"/>
            </w:tcBorders>
          </w:tcPr>
          <w:p w:rsidR="00BD097B" w:rsidRPr="006E00A1" w:rsidRDefault="00BD097B" w:rsidP="00BD097B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67 530</w:t>
            </w:r>
          </w:p>
        </w:tc>
        <w:tc>
          <w:tcPr>
            <w:tcW w:w="870" w:type="dxa"/>
            <w:tcBorders>
              <w:bottom w:val="single" w:sz="4" w:space="0" w:color="1F4E79" w:themeColor="accent1" w:themeShade="80"/>
            </w:tcBorders>
          </w:tcPr>
          <w:p w:rsidR="00BD097B" w:rsidRPr="006E00A1" w:rsidRDefault="00BD097B" w:rsidP="00BD097B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95,9</w:t>
            </w:r>
          </w:p>
        </w:tc>
      </w:tr>
      <w:tr w:rsidR="00BD097B" w:rsidRPr="00EF7EBB" w:rsidTr="007D7FDA">
        <w:trPr>
          <w:trHeight w:val="57"/>
        </w:trPr>
        <w:tc>
          <w:tcPr>
            <w:tcW w:w="5475" w:type="dxa"/>
            <w:tcBorders>
              <w:top w:val="single" w:sz="4" w:space="0" w:color="1F4E79" w:themeColor="accent1" w:themeShade="80"/>
            </w:tcBorders>
          </w:tcPr>
          <w:p w:rsidR="00BD097B" w:rsidRPr="00EF7EBB" w:rsidRDefault="00BD097B" w:rsidP="00BD097B">
            <w:pPr>
              <w:spacing w:before="0" w:after="0"/>
              <w:ind w:left="176"/>
              <w:rPr>
                <w:rFonts w:eastAsia="Fira Sans Light" w:cs="Times New Roman"/>
                <w:sz w:val="16"/>
                <w:szCs w:val="16"/>
              </w:rPr>
            </w:pPr>
            <w:r w:rsidRPr="00EF7EBB">
              <w:rPr>
                <w:rFonts w:eastAsia="Fira Sans Light" w:cs="Times New Roman"/>
                <w:sz w:val="16"/>
                <w:szCs w:val="16"/>
              </w:rPr>
              <w:t>wynik z tytułu odsetek</w:t>
            </w:r>
          </w:p>
        </w:tc>
        <w:tc>
          <w:tcPr>
            <w:tcW w:w="921" w:type="dxa"/>
            <w:gridSpan w:val="2"/>
            <w:tcBorders>
              <w:top w:val="single" w:sz="4" w:space="0" w:color="1F4E79" w:themeColor="accent1" w:themeShade="80"/>
              <w:bottom w:val="single" w:sz="4" w:space="0" w:color="212492"/>
            </w:tcBorders>
          </w:tcPr>
          <w:p w:rsidR="00BD097B" w:rsidRPr="006E00A1" w:rsidRDefault="00BD097B" w:rsidP="00BD097B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48 934</w:t>
            </w:r>
          </w:p>
        </w:tc>
        <w:tc>
          <w:tcPr>
            <w:tcW w:w="922" w:type="dxa"/>
            <w:tcBorders>
              <w:top w:val="single" w:sz="4" w:space="0" w:color="1F4E79" w:themeColor="accent1" w:themeShade="80"/>
              <w:bottom w:val="single" w:sz="4" w:space="0" w:color="212492"/>
            </w:tcBorders>
          </w:tcPr>
          <w:p w:rsidR="00BD097B" w:rsidRPr="006E00A1" w:rsidRDefault="00BD097B" w:rsidP="00BD097B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46 808</w:t>
            </w:r>
          </w:p>
        </w:tc>
        <w:tc>
          <w:tcPr>
            <w:tcW w:w="870" w:type="dxa"/>
            <w:tcBorders>
              <w:top w:val="single" w:sz="4" w:space="0" w:color="1F4E79" w:themeColor="accent1" w:themeShade="80"/>
              <w:bottom w:val="single" w:sz="4" w:space="0" w:color="212492"/>
            </w:tcBorders>
          </w:tcPr>
          <w:p w:rsidR="00BD097B" w:rsidRPr="006E00A1" w:rsidRDefault="00BD097B" w:rsidP="00BD097B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95,7</w:t>
            </w:r>
          </w:p>
        </w:tc>
      </w:tr>
      <w:tr w:rsidR="00BD097B" w:rsidRPr="00EF7EBB" w:rsidTr="007D7FDA">
        <w:trPr>
          <w:trHeight w:val="57"/>
        </w:trPr>
        <w:tc>
          <w:tcPr>
            <w:tcW w:w="5475" w:type="dxa"/>
          </w:tcPr>
          <w:p w:rsidR="00BD097B" w:rsidRPr="00EF7EBB" w:rsidRDefault="00BD097B" w:rsidP="00BD097B">
            <w:pPr>
              <w:spacing w:before="0" w:after="0"/>
              <w:ind w:left="176"/>
              <w:rPr>
                <w:rFonts w:eastAsia="Fira Sans Light" w:cs="Times New Roman"/>
                <w:sz w:val="16"/>
                <w:szCs w:val="16"/>
              </w:rPr>
            </w:pPr>
            <w:r w:rsidRPr="00EF7EBB">
              <w:rPr>
                <w:rFonts w:eastAsia="Fira Sans Light" w:cs="Times New Roman"/>
                <w:sz w:val="16"/>
                <w:szCs w:val="16"/>
              </w:rPr>
              <w:t>wynik z tytułu opłat i prowizji</w:t>
            </w:r>
          </w:p>
        </w:tc>
        <w:tc>
          <w:tcPr>
            <w:tcW w:w="921" w:type="dxa"/>
            <w:gridSpan w:val="2"/>
          </w:tcPr>
          <w:p w:rsidR="00BD097B" w:rsidRPr="006E00A1" w:rsidRDefault="00BD097B" w:rsidP="00BD097B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13 350</w:t>
            </w:r>
          </w:p>
        </w:tc>
        <w:tc>
          <w:tcPr>
            <w:tcW w:w="922" w:type="dxa"/>
          </w:tcPr>
          <w:p w:rsidR="00BD097B" w:rsidRPr="006E00A1" w:rsidRDefault="00BD097B" w:rsidP="00BD097B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14 841</w:t>
            </w:r>
          </w:p>
        </w:tc>
        <w:tc>
          <w:tcPr>
            <w:tcW w:w="870" w:type="dxa"/>
          </w:tcPr>
          <w:p w:rsidR="00BD097B" w:rsidRPr="006E00A1" w:rsidRDefault="00BD097B" w:rsidP="00BD097B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111,2</w:t>
            </w:r>
          </w:p>
        </w:tc>
      </w:tr>
      <w:tr w:rsidR="00BD097B" w:rsidRPr="00EF7EBB" w:rsidTr="007D7FDA">
        <w:trPr>
          <w:trHeight w:val="57"/>
        </w:trPr>
        <w:tc>
          <w:tcPr>
            <w:tcW w:w="5475" w:type="dxa"/>
            <w:vAlign w:val="bottom"/>
          </w:tcPr>
          <w:p w:rsidR="00BD097B" w:rsidRPr="00EF7EBB" w:rsidRDefault="00BD097B" w:rsidP="00BD097B">
            <w:pPr>
              <w:spacing w:before="0" w:after="0"/>
              <w:ind w:left="176"/>
              <w:rPr>
                <w:sz w:val="16"/>
                <w:szCs w:val="16"/>
              </w:rPr>
            </w:pPr>
            <w:r w:rsidRPr="00EF7EBB">
              <w:rPr>
                <w:sz w:val="16"/>
                <w:szCs w:val="16"/>
              </w:rPr>
              <w:t>wynik z tytułu pozostałych przychodów i kosztów operacyjnych</w:t>
            </w:r>
          </w:p>
        </w:tc>
        <w:tc>
          <w:tcPr>
            <w:tcW w:w="921" w:type="dxa"/>
            <w:gridSpan w:val="2"/>
          </w:tcPr>
          <w:p w:rsidR="00BD097B" w:rsidRPr="006E00A1" w:rsidRDefault="00BD097B" w:rsidP="00BD097B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1 551</w:t>
            </w:r>
          </w:p>
        </w:tc>
        <w:tc>
          <w:tcPr>
            <w:tcW w:w="922" w:type="dxa"/>
          </w:tcPr>
          <w:p w:rsidR="00BD097B" w:rsidRPr="006E00A1" w:rsidRDefault="00BD097B" w:rsidP="00BD097B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1 081</w:t>
            </w:r>
          </w:p>
        </w:tc>
        <w:tc>
          <w:tcPr>
            <w:tcW w:w="870" w:type="dxa"/>
          </w:tcPr>
          <w:p w:rsidR="00BD097B" w:rsidRPr="006E00A1" w:rsidRDefault="00BD097B" w:rsidP="00BD097B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69,7</w:t>
            </w:r>
          </w:p>
        </w:tc>
      </w:tr>
      <w:tr w:rsidR="00BD097B" w:rsidRPr="00EF7EBB" w:rsidTr="007D7FDA">
        <w:trPr>
          <w:trHeight w:val="57"/>
        </w:trPr>
        <w:tc>
          <w:tcPr>
            <w:tcW w:w="5475" w:type="dxa"/>
          </w:tcPr>
          <w:p w:rsidR="00BD097B" w:rsidRPr="00EF7EBB" w:rsidRDefault="00BD097B" w:rsidP="002E6795">
            <w:pPr>
              <w:spacing w:before="0" w:after="0"/>
              <w:rPr>
                <w:rFonts w:eastAsia="Fira Sans Light" w:cs="Times New Roman"/>
                <w:sz w:val="16"/>
                <w:szCs w:val="16"/>
              </w:rPr>
            </w:pPr>
            <w:r w:rsidRPr="00EF7EBB">
              <w:rPr>
                <w:rFonts w:eastAsia="Fira Sans Light" w:cs="Times New Roman"/>
                <w:sz w:val="16"/>
                <w:szCs w:val="16"/>
              </w:rPr>
              <w:t>Koszty administracyjne</w:t>
            </w:r>
          </w:p>
        </w:tc>
        <w:tc>
          <w:tcPr>
            <w:tcW w:w="921" w:type="dxa"/>
            <w:gridSpan w:val="2"/>
          </w:tcPr>
          <w:p w:rsidR="00BD097B" w:rsidRPr="006E00A1" w:rsidRDefault="00BD097B" w:rsidP="00BD097B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34 682</w:t>
            </w:r>
          </w:p>
        </w:tc>
        <w:tc>
          <w:tcPr>
            <w:tcW w:w="922" w:type="dxa"/>
          </w:tcPr>
          <w:p w:rsidR="00BD097B" w:rsidRPr="006E00A1" w:rsidRDefault="00BD097B" w:rsidP="00BD097B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34 533</w:t>
            </w:r>
          </w:p>
        </w:tc>
        <w:tc>
          <w:tcPr>
            <w:tcW w:w="870" w:type="dxa"/>
          </w:tcPr>
          <w:p w:rsidR="00BD097B" w:rsidRPr="006E00A1" w:rsidRDefault="00BD097B" w:rsidP="00BD097B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99,6</w:t>
            </w:r>
          </w:p>
        </w:tc>
      </w:tr>
      <w:tr w:rsidR="00BD097B" w:rsidRPr="00EF7EBB" w:rsidTr="007D7FDA">
        <w:trPr>
          <w:trHeight w:val="57"/>
        </w:trPr>
        <w:tc>
          <w:tcPr>
            <w:tcW w:w="5475" w:type="dxa"/>
          </w:tcPr>
          <w:p w:rsidR="00BD097B" w:rsidRPr="00EF7EBB" w:rsidRDefault="00BD097B" w:rsidP="00BD097B">
            <w:pPr>
              <w:spacing w:before="0" w:after="0"/>
              <w:ind w:left="176"/>
              <w:rPr>
                <w:rFonts w:eastAsia="Fira Sans Light" w:cs="Times New Roman"/>
                <w:sz w:val="16"/>
                <w:szCs w:val="16"/>
              </w:rPr>
            </w:pPr>
            <w:r w:rsidRPr="00EF7EBB">
              <w:rPr>
                <w:rFonts w:eastAsia="Fira Sans Light" w:cs="Times New Roman"/>
                <w:sz w:val="16"/>
                <w:szCs w:val="16"/>
              </w:rPr>
              <w:t xml:space="preserve">koszty pracownicze </w:t>
            </w:r>
          </w:p>
        </w:tc>
        <w:tc>
          <w:tcPr>
            <w:tcW w:w="921" w:type="dxa"/>
            <w:gridSpan w:val="2"/>
          </w:tcPr>
          <w:p w:rsidR="00BD097B" w:rsidRPr="006E00A1" w:rsidRDefault="00BD097B" w:rsidP="00BD097B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17 679</w:t>
            </w:r>
          </w:p>
        </w:tc>
        <w:tc>
          <w:tcPr>
            <w:tcW w:w="922" w:type="dxa"/>
          </w:tcPr>
          <w:p w:rsidR="00BD097B" w:rsidRPr="006E00A1" w:rsidRDefault="00BD097B" w:rsidP="00BD097B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17 361</w:t>
            </w:r>
          </w:p>
        </w:tc>
        <w:tc>
          <w:tcPr>
            <w:tcW w:w="870" w:type="dxa"/>
          </w:tcPr>
          <w:p w:rsidR="00BD097B" w:rsidRPr="006E00A1" w:rsidRDefault="00BD097B" w:rsidP="00BD097B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98,2</w:t>
            </w:r>
          </w:p>
        </w:tc>
      </w:tr>
      <w:tr w:rsidR="00BD097B" w:rsidRPr="00EF7EBB" w:rsidTr="007D7FDA">
        <w:trPr>
          <w:trHeight w:val="57"/>
        </w:trPr>
        <w:tc>
          <w:tcPr>
            <w:tcW w:w="5475" w:type="dxa"/>
          </w:tcPr>
          <w:p w:rsidR="00BD097B" w:rsidRPr="00EF7EBB" w:rsidRDefault="00BD097B" w:rsidP="00BD097B">
            <w:pPr>
              <w:spacing w:before="0" w:after="0"/>
              <w:ind w:left="176"/>
              <w:rPr>
                <w:rFonts w:eastAsia="Fira Sans Light" w:cs="Times New Roman"/>
                <w:sz w:val="16"/>
                <w:szCs w:val="16"/>
              </w:rPr>
            </w:pPr>
            <w:r w:rsidRPr="00EF7EBB">
              <w:rPr>
                <w:rFonts w:eastAsia="Fira Sans Light" w:cs="Times New Roman"/>
                <w:sz w:val="16"/>
                <w:szCs w:val="16"/>
              </w:rPr>
              <w:t>pozostałe koszty administracyjne</w:t>
            </w:r>
          </w:p>
        </w:tc>
        <w:tc>
          <w:tcPr>
            <w:tcW w:w="921" w:type="dxa"/>
            <w:gridSpan w:val="2"/>
          </w:tcPr>
          <w:p w:rsidR="00BD097B" w:rsidRPr="006E00A1" w:rsidRDefault="00BD097B" w:rsidP="00BD097B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17 003</w:t>
            </w:r>
          </w:p>
        </w:tc>
        <w:tc>
          <w:tcPr>
            <w:tcW w:w="922" w:type="dxa"/>
          </w:tcPr>
          <w:p w:rsidR="00BD097B" w:rsidRPr="006E00A1" w:rsidRDefault="00BD097B" w:rsidP="00BD097B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17 171</w:t>
            </w:r>
          </w:p>
        </w:tc>
        <w:tc>
          <w:tcPr>
            <w:tcW w:w="870" w:type="dxa"/>
          </w:tcPr>
          <w:p w:rsidR="00BD097B" w:rsidRPr="006E00A1" w:rsidRDefault="00BD097B" w:rsidP="00BD097B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101,0</w:t>
            </w:r>
          </w:p>
        </w:tc>
      </w:tr>
      <w:tr w:rsidR="00BD097B" w:rsidRPr="00EF7EBB" w:rsidTr="007D7FDA">
        <w:trPr>
          <w:trHeight w:val="57"/>
        </w:trPr>
        <w:tc>
          <w:tcPr>
            <w:tcW w:w="5475" w:type="dxa"/>
          </w:tcPr>
          <w:p w:rsidR="00BD097B" w:rsidRPr="00EF7EBB" w:rsidRDefault="00BD097B" w:rsidP="00BD097B">
            <w:pPr>
              <w:spacing w:before="0" w:after="0"/>
              <w:rPr>
                <w:rFonts w:eastAsia="Fira Sans Light" w:cs="Times New Roman"/>
                <w:sz w:val="16"/>
                <w:szCs w:val="16"/>
              </w:rPr>
            </w:pPr>
            <w:r w:rsidRPr="00EF7EBB">
              <w:rPr>
                <w:rFonts w:eastAsia="Fira Sans Light" w:cs="Times New Roman"/>
                <w:sz w:val="16"/>
                <w:szCs w:val="16"/>
              </w:rPr>
              <w:t>Amortyzacja</w:t>
            </w:r>
          </w:p>
        </w:tc>
        <w:tc>
          <w:tcPr>
            <w:tcW w:w="921" w:type="dxa"/>
            <w:gridSpan w:val="2"/>
          </w:tcPr>
          <w:p w:rsidR="00BD097B" w:rsidRPr="006E00A1" w:rsidRDefault="00BD097B" w:rsidP="00BD097B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4 410</w:t>
            </w:r>
          </w:p>
        </w:tc>
        <w:tc>
          <w:tcPr>
            <w:tcW w:w="922" w:type="dxa"/>
          </w:tcPr>
          <w:p w:rsidR="00BD097B" w:rsidRPr="006E00A1" w:rsidRDefault="00BD097B" w:rsidP="00BD097B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4 573</w:t>
            </w:r>
          </w:p>
        </w:tc>
        <w:tc>
          <w:tcPr>
            <w:tcW w:w="870" w:type="dxa"/>
          </w:tcPr>
          <w:p w:rsidR="00BD097B" w:rsidRPr="006E00A1" w:rsidRDefault="00BD097B" w:rsidP="00BD097B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103,7</w:t>
            </w:r>
          </w:p>
        </w:tc>
      </w:tr>
      <w:tr w:rsidR="00BD097B" w:rsidRPr="00EF7EBB" w:rsidTr="007D7FDA">
        <w:trPr>
          <w:trHeight w:val="57"/>
        </w:trPr>
        <w:tc>
          <w:tcPr>
            <w:tcW w:w="5475" w:type="dxa"/>
          </w:tcPr>
          <w:p w:rsidR="00BD097B" w:rsidRPr="00EF7EBB" w:rsidRDefault="00BD097B" w:rsidP="00BD097B">
            <w:pPr>
              <w:spacing w:before="0" w:after="0"/>
              <w:rPr>
                <w:rFonts w:eastAsia="Fira Sans Light" w:cs="Times New Roman"/>
                <w:sz w:val="16"/>
                <w:szCs w:val="16"/>
              </w:rPr>
            </w:pPr>
            <w:r w:rsidRPr="00EF7EBB">
              <w:rPr>
                <w:rFonts w:eastAsia="Fira Sans Light" w:cs="Times New Roman"/>
                <w:sz w:val="16"/>
                <w:szCs w:val="16"/>
              </w:rPr>
              <w:t>Rezerwy lub odwrócenie rezerw</w:t>
            </w:r>
          </w:p>
        </w:tc>
        <w:tc>
          <w:tcPr>
            <w:tcW w:w="921" w:type="dxa"/>
            <w:gridSpan w:val="2"/>
          </w:tcPr>
          <w:p w:rsidR="00BD097B" w:rsidRPr="006E00A1" w:rsidRDefault="00BD097B" w:rsidP="00BD097B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2 406</w:t>
            </w:r>
          </w:p>
        </w:tc>
        <w:tc>
          <w:tcPr>
            <w:tcW w:w="922" w:type="dxa"/>
          </w:tcPr>
          <w:p w:rsidR="00BD097B" w:rsidRPr="006E00A1" w:rsidRDefault="00BD097B" w:rsidP="00BD097B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3 514</w:t>
            </w:r>
          </w:p>
        </w:tc>
        <w:tc>
          <w:tcPr>
            <w:tcW w:w="870" w:type="dxa"/>
          </w:tcPr>
          <w:p w:rsidR="00BD097B" w:rsidRPr="006E00A1" w:rsidRDefault="00BD097B" w:rsidP="00BD097B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146,1</w:t>
            </w:r>
          </w:p>
        </w:tc>
      </w:tr>
      <w:tr w:rsidR="00BD097B" w:rsidRPr="00EF7EBB" w:rsidTr="007D7FDA">
        <w:trPr>
          <w:trHeight w:val="57"/>
        </w:trPr>
        <w:tc>
          <w:tcPr>
            <w:tcW w:w="5475" w:type="dxa"/>
          </w:tcPr>
          <w:p w:rsidR="00BD097B" w:rsidRPr="00EF7EBB" w:rsidRDefault="00BD097B" w:rsidP="000E6678">
            <w:pPr>
              <w:spacing w:before="0" w:after="0"/>
              <w:rPr>
                <w:rFonts w:eastAsia="Fira Sans Light" w:cs="Times New Roman"/>
                <w:sz w:val="16"/>
                <w:szCs w:val="16"/>
              </w:rPr>
            </w:pPr>
            <w:r w:rsidRPr="00EF7EBB">
              <w:rPr>
                <w:rFonts w:eastAsia="Fira Sans Light" w:cs="Times New Roman"/>
                <w:sz w:val="16"/>
                <w:szCs w:val="16"/>
              </w:rPr>
              <w:t xml:space="preserve">Utrata wartości lub odwrócenie utraty wartości aktywów </w:t>
            </w:r>
          </w:p>
        </w:tc>
        <w:tc>
          <w:tcPr>
            <w:tcW w:w="921" w:type="dxa"/>
            <w:gridSpan w:val="2"/>
          </w:tcPr>
          <w:p w:rsidR="00BD097B" w:rsidRPr="006E00A1" w:rsidRDefault="00BD097B" w:rsidP="00BD097B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9 214</w:t>
            </w:r>
          </w:p>
        </w:tc>
        <w:tc>
          <w:tcPr>
            <w:tcW w:w="922" w:type="dxa"/>
          </w:tcPr>
          <w:p w:rsidR="00BD097B" w:rsidRPr="006E00A1" w:rsidRDefault="00BD097B" w:rsidP="00BD097B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11 947</w:t>
            </w:r>
          </w:p>
        </w:tc>
        <w:tc>
          <w:tcPr>
            <w:tcW w:w="870" w:type="dxa"/>
          </w:tcPr>
          <w:p w:rsidR="00BD097B" w:rsidRPr="006E00A1" w:rsidRDefault="00BD097B" w:rsidP="00BD097B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129,7</w:t>
            </w:r>
          </w:p>
        </w:tc>
      </w:tr>
      <w:tr w:rsidR="00BD097B" w:rsidRPr="00EF7EBB" w:rsidTr="007D7FDA">
        <w:trPr>
          <w:trHeight w:val="57"/>
        </w:trPr>
        <w:tc>
          <w:tcPr>
            <w:tcW w:w="5475" w:type="dxa"/>
          </w:tcPr>
          <w:p w:rsidR="00BD097B" w:rsidRPr="00EF7EBB" w:rsidRDefault="000E6678" w:rsidP="00BD097B">
            <w:pPr>
              <w:spacing w:before="0" w:after="0"/>
              <w:ind w:left="176"/>
              <w:rPr>
                <w:rFonts w:eastAsia="Fira Sans Light" w:cs="Times New Roman"/>
                <w:sz w:val="16"/>
                <w:szCs w:val="16"/>
              </w:rPr>
            </w:pPr>
            <w:r w:rsidRPr="00EF7EBB">
              <w:rPr>
                <w:rFonts w:eastAsia="Fira Sans Light" w:cs="Times New Roman"/>
                <w:sz w:val="16"/>
                <w:szCs w:val="16"/>
              </w:rPr>
              <w:t xml:space="preserve">w tym </w:t>
            </w:r>
            <w:r w:rsidR="00BD097B" w:rsidRPr="00EF7EBB">
              <w:rPr>
                <w:rFonts w:eastAsia="Fira Sans Light" w:cs="Times New Roman"/>
                <w:sz w:val="16"/>
                <w:szCs w:val="16"/>
              </w:rPr>
              <w:t>aktywów finansowych wycenianych według zamortyzowanego kosztu</w:t>
            </w:r>
          </w:p>
        </w:tc>
        <w:tc>
          <w:tcPr>
            <w:tcW w:w="921" w:type="dxa"/>
            <w:gridSpan w:val="2"/>
          </w:tcPr>
          <w:p w:rsidR="00BD097B" w:rsidRPr="006E00A1" w:rsidRDefault="00BD097B" w:rsidP="00BD097B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9 062</w:t>
            </w:r>
          </w:p>
        </w:tc>
        <w:tc>
          <w:tcPr>
            <w:tcW w:w="922" w:type="dxa"/>
          </w:tcPr>
          <w:p w:rsidR="00BD097B" w:rsidRPr="006E00A1" w:rsidRDefault="00BD097B" w:rsidP="00BD097B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11 766</w:t>
            </w:r>
          </w:p>
        </w:tc>
        <w:tc>
          <w:tcPr>
            <w:tcW w:w="870" w:type="dxa"/>
          </w:tcPr>
          <w:p w:rsidR="00BD097B" w:rsidRPr="006E00A1" w:rsidRDefault="00BD097B" w:rsidP="00BD097B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129,8</w:t>
            </w:r>
          </w:p>
        </w:tc>
      </w:tr>
      <w:tr w:rsidR="00BD097B" w:rsidRPr="00EF7EBB" w:rsidTr="007D7FDA">
        <w:trPr>
          <w:trHeight w:val="57"/>
        </w:trPr>
        <w:tc>
          <w:tcPr>
            <w:tcW w:w="5475" w:type="dxa"/>
          </w:tcPr>
          <w:p w:rsidR="00BD097B" w:rsidRPr="00EF7EBB" w:rsidRDefault="00BD097B" w:rsidP="00BD097B">
            <w:pPr>
              <w:spacing w:before="0" w:after="0"/>
              <w:rPr>
                <w:rFonts w:eastAsia="Fira Sans Light" w:cs="Times New Roman"/>
                <w:sz w:val="16"/>
                <w:szCs w:val="16"/>
              </w:rPr>
            </w:pPr>
            <w:r w:rsidRPr="00EF7EBB">
              <w:rPr>
                <w:rFonts w:eastAsia="Fira Sans Light" w:cs="Times New Roman"/>
                <w:sz w:val="16"/>
                <w:szCs w:val="16"/>
              </w:rPr>
              <w:t>Wynik z działalności operacyjnej</w:t>
            </w:r>
          </w:p>
        </w:tc>
        <w:tc>
          <w:tcPr>
            <w:tcW w:w="921" w:type="dxa"/>
            <w:gridSpan w:val="2"/>
          </w:tcPr>
          <w:p w:rsidR="00BD097B" w:rsidRPr="006E00A1" w:rsidRDefault="00BD097B" w:rsidP="00BD097B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19 310</w:t>
            </w:r>
          </w:p>
        </w:tc>
        <w:tc>
          <w:tcPr>
            <w:tcW w:w="922" w:type="dxa"/>
          </w:tcPr>
          <w:p w:rsidR="00BD097B" w:rsidRPr="006E00A1" w:rsidRDefault="00BD097B" w:rsidP="00BD097B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12 033</w:t>
            </w:r>
          </w:p>
        </w:tc>
        <w:tc>
          <w:tcPr>
            <w:tcW w:w="870" w:type="dxa"/>
          </w:tcPr>
          <w:p w:rsidR="00BD097B" w:rsidRPr="006E00A1" w:rsidRDefault="00BD097B" w:rsidP="00BD097B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62,3</w:t>
            </w:r>
          </w:p>
        </w:tc>
      </w:tr>
      <w:tr w:rsidR="00BD097B" w:rsidRPr="00EF7EBB" w:rsidTr="007D7FDA">
        <w:trPr>
          <w:trHeight w:val="57"/>
        </w:trPr>
        <w:tc>
          <w:tcPr>
            <w:tcW w:w="5475" w:type="dxa"/>
          </w:tcPr>
          <w:p w:rsidR="00BD097B" w:rsidRPr="00EF7EBB" w:rsidRDefault="00BD097B" w:rsidP="00BD097B">
            <w:pPr>
              <w:spacing w:before="0" w:after="0"/>
              <w:rPr>
                <w:rFonts w:eastAsia="Fira Sans Light" w:cs="Times New Roman"/>
                <w:sz w:val="16"/>
                <w:szCs w:val="16"/>
              </w:rPr>
            </w:pPr>
            <w:r w:rsidRPr="00EF7EBB">
              <w:rPr>
                <w:rFonts w:eastAsia="Fira Sans Light" w:cs="Times New Roman"/>
                <w:sz w:val="16"/>
                <w:szCs w:val="16"/>
              </w:rPr>
              <w:t>Obciążenia lub przychody podatkowe od działalności kontynuowanej</w:t>
            </w:r>
          </w:p>
        </w:tc>
        <w:tc>
          <w:tcPr>
            <w:tcW w:w="921" w:type="dxa"/>
            <w:gridSpan w:val="2"/>
          </w:tcPr>
          <w:p w:rsidR="00BD097B" w:rsidRPr="006E00A1" w:rsidRDefault="00BD097B" w:rsidP="00BD097B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5 497</w:t>
            </w:r>
          </w:p>
        </w:tc>
        <w:tc>
          <w:tcPr>
            <w:tcW w:w="922" w:type="dxa"/>
          </w:tcPr>
          <w:p w:rsidR="00BD097B" w:rsidRPr="006E00A1" w:rsidRDefault="00BD097B" w:rsidP="00BD097B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4 615</w:t>
            </w:r>
          </w:p>
        </w:tc>
        <w:tc>
          <w:tcPr>
            <w:tcW w:w="870" w:type="dxa"/>
          </w:tcPr>
          <w:p w:rsidR="00BD097B" w:rsidRPr="006E00A1" w:rsidRDefault="00BD097B" w:rsidP="00BD097B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84,0</w:t>
            </w:r>
          </w:p>
        </w:tc>
      </w:tr>
      <w:tr w:rsidR="00BD097B" w:rsidRPr="00EF7EBB" w:rsidTr="007D7FDA">
        <w:trPr>
          <w:trHeight w:val="57"/>
        </w:trPr>
        <w:tc>
          <w:tcPr>
            <w:tcW w:w="5475" w:type="dxa"/>
          </w:tcPr>
          <w:p w:rsidR="00BD097B" w:rsidRPr="00EF7EBB" w:rsidRDefault="00BD097B" w:rsidP="00BD097B">
            <w:pPr>
              <w:spacing w:before="0" w:after="0"/>
              <w:rPr>
                <w:rFonts w:eastAsia="Fira Sans Light" w:cs="Times New Roman"/>
                <w:b/>
                <w:sz w:val="16"/>
                <w:szCs w:val="16"/>
              </w:rPr>
            </w:pPr>
            <w:r w:rsidRPr="00EF7EBB">
              <w:rPr>
                <w:rFonts w:eastAsia="Fira Sans Light" w:cs="Times New Roman"/>
                <w:b/>
                <w:sz w:val="16"/>
                <w:szCs w:val="16"/>
              </w:rPr>
              <w:t>Wynik finansowy netto</w:t>
            </w:r>
          </w:p>
        </w:tc>
        <w:tc>
          <w:tcPr>
            <w:tcW w:w="921" w:type="dxa"/>
            <w:gridSpan w:val="2"/>
          </w:tcPr>
          <w:p w:rsidR="00BD097B" w:rsidRPr="00BD097B" w:rsidRDefault="00BD097B" w:rsidP="00BD097B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BD097B">
              <w:rPr>
                <w:b/>
                <w:sz w:val="16"/>
                <w:szCs w:val="16"/>
              </w:rPr>
              <w:t>13 770</w:t>
            </w:r>
          </w:p>
        </w:tc>
        <w:tc>
          <w:tcPr>
            <w:tcW w:w="922" w:type="dxa"/>
          </w:tcPr>
          <w:p w:rsidR="00BD097B" w:rsidRPr="00BD097B" w:rsidRDefault="00BD097B" w:rsidP="00BD097B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BD097B">
              <w:rPr>
                <w:b/>
                <w:sz w:val="16"/>
                <w:szCs w:val="16"/>
              </w:rPr>
              <w:t>7 538</w:t>
            </w:r>
          </w:p>
        </w:tc>
        <w:tc>
          <w:tcPr>
            <w:tcW w:w="870" w:type="dxa"/>
          </w:tcPr>
          <w:p w:rsidR="00BD097B" w:rsidRPr="00BD097B" w:rsidRDefault="00BD097B" w:rsidP="00BD097B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BD097B">
              <w:rPr>
                <w:b/>
                <w:sz w:val="16"/>
                <w:szCs w:val="16"/>
              </w:rPr>
              <w:t>54,7</w:t>
            </w:r>
          </w:p>
        </w:tc>
      </w:tr>
    </w:tbl>
    <w:p w:rsidR="00EF7EBB" w:rsidRPr="00EF7EBB" w:rsidRDefault="00EF7EBB" w:rsidP="00EF7EBB">
      <w:pPr>
        <w:spacing w:before="0" w:after="0"/>
        <w:rPr>
          <w:rFonts w:eastAsia="Fira Sans Light" w:cs="Times New Roman"/>
          <w:b/>
          <w:spacing w:val="-2"/>
          <w:sz w:val="18"/>
        </w:rPr>
      </w:pPr>
      <w:r w:rsidRPr="00EF7EBB">
        <w:rPr>
          <w:rFonts w:eastAsia="Fira Sans Light" w:cs="Times New Roman"/>
          <w:b/>
          <w:spacing w:val="-2"/>
          <w:sz w:val="18"/>
        </w:rPr>
        <w:t xml:space="preserve">Tablica 1. Wybrane pozycje rachunku zysków i strat </w:t>
      </w:r>
      <w:r w:rsidR="0078457C">
        <w:rPr>
          <w:rFonts w:eastAsia="Fira Sans Light" w:cs="Times New Roman"/>
          <w:b/>
          <w:spacing w:val="-2"/>
          <w:sz w:val="18"/>
        </w:rPr>
        <w:t>sektora banko</w:t>
      </w:r>
      <w:r w:rsidRPr="00EF7EBB">
        <w:rPr>
          <w:rFonts w:eastAsia="Fira Sans Light" w:cs="Times New Roman"/>
          <w:b/>
          <w:spacing w:val="-2"/>
          <w:sz w:val="18"/>
        </w:rPr>
        <w:t>w</w:t>
      </w:r>
      <w:r w:rsidR="0078457C">
        <w:rPr>
          <w:rFonts w:eastAsia="Fira Sans Light" w:cs="Times New Roman"/>
          <w:b/>
          <w:spacing w:val="-2"/>
          <w:sz w:val="18"/>
        </w:rPr>
        <w:t>ego</w:t>
      </w:r>
    </w:p>
    <w:p w:rsidR="00EF7EBB" w:rsidRPr="00EF7EBB" w:rsidRDefault="00710CBA" w:rsidP="00EF7EBB">
      <w:pPr>
        <w:spacing w:before="360"/>
        <w:rPr>
          <w:rFonts w:eastAsia="Fira Sans Light" w:cs="Times New Roman"/>
          <w:spacing w:val="-2"/>
          <w:szCs w:val="19"/>
        </w:rPr>
      </w:pPr>
      <w:r>
        <w:rPr>
          <w:rFonts w:eastAsia="Fira Sans Light" w:cs="Times New Roman"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74976" behindDoc="1" locked="0" layoutInCell="1" allowOverlap="1" wp14:anchorId="12C1AD82" wp14:editId="2B2A024F">
                <wp:simplePos x="0" y="0"/>
                <wp:positionH relativeFrom="column">
                  <wp:posOffset>5327650</wp:posOffset>
                </wp:positionH>
                <wp:positionV relativeFrom="paragraph">
                  <wp:posOffset>4112260</wp:posOffset>
                </wp:positionV>
                <wp:extent cx="1511935" cy="585470"/>
                <wp:effectExtent l="0" t="0" r="0" b="5080"/>
                <wp:wrapTight wrapText="bothSides">
                  <wp:wrapPolygon edited="0">
                    <wp:start x="816" y="0"/>
                    <wp:lineTo x="816" y="21085"/>
                    <wp:lineTo x="20684" y="21085"/>
                    <wp:lineTo x="20684" y="0"/>
                    <wp:lineTo x="816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58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CBA" w:rsidRDefault="006E00A1" w:rsidP="00710CBA">
                            <w:pPr>
                              <w:pStyle w:val="tekstzboku"/>
                              <w:spacing w:before="0"/>
                              <w:rPr>
                                <w:bCs w:val="0"/>
                              </w:rPr>
                            </w:pPr>
                            <w:r w:rsidRPr="006E00A1">
                              <w:t>93,5</w:t>
                            </w:r>
                            <w:r w:rsidR="00710CBA">
                              <w:t>% banków odnotowało w</w:t>
                            </w:r>
                            <w:r w:rsidR="003C3EE9">
                              <w:t xml:space="preserve"> 2020</w:t>
                            </w:r>
                            <w:r w:rsidR="00710CBA">
                              <w:t> r. zysk netto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1AD82" id="_x0000_s1029" type="#_x0000_t202" style="position:absolute;margin-left:419.5pt;margin-top:323.8pt;width:119.05pt;height:46.1pt;z-index:-251541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" filled="f" stroked="f">
                <v:textbox>
                  <w:txbxContent>
                    <w:p w:rsidR="00710CBA" w:rsidRDefault="006E00A1" w:rsidP="00710CBA">
                      <w:pPr>
                        <w:pStyle w:val="tekstzboku"/>
                        <w:spacing w:before="0"/>
                        <w:rPr>
                          <w:bCs w:val="0"/>
                        </w:rPr>
                      </w:pPr>
                      <w:r w:rsidRPr="006E00A1">
                        <w:t>93,5</w:t>
                      </w:r>
                      <w:r w:rsidR="00710CBA">
                        <w:t>% banków odnotowało w</w:t>
                      </w:r>
                      <w:r w:rsidR="003C3EE9">
                        <w:t xml:space="preserve"> 2020</w:t>
                      </w:r>
                      <w:r w:rsidR="00710CBA">
                        <w:t> r. zysk netto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F7EBB" w:rsidRPr="00EF7EBB">
        <w:rPr>
          <w:rFonts w:eastAsia="Fira Sans Light" w:cs="Times New Roman"/>
          <w:spacing w:val="-2"/>
          <w:szCs w:val="19"/>
        </w:rPr>
        <w:t>Na wynik finansowy netto w</w:t>
      </w:r>
      <w:r w:rsidR="003C3EE9">
        <w:rPr>
          <w:rFonts w:eastAsia="Fira Sans Light" w:cs="Times New Roman"/>
          <w:spacing w:val="-2"/>
          <w:szCs w:val="19"/>
        </w:rPr>
        <w:t xml:space="preserve"> 2020</w:t>
      </w:r>
      <w:r w:rsidR="00EF7EBB" w:rsidRPr="00EF7EBB">
        <w:rPr>
          <w:rFonts w:eastAsia="Fira Sans Light" w:cs="Times New Roman"/>
          <w:spacing w:val="-2"/>
          <w:szCs w:val="19"/>
        </w:rPr>
        <w:t> r. składały się zyski netto 5</w:t>
      </w:r>
      <w:r w:rsidR="00634989">
        <w:rPr>
          <w:rFonts w:eastAsia="Fira Sans Light" w:cs="Times New Roman"/>
          <w:spacing w:val="-2"/>
          <w:szCs w:val="19"/>
        </w:rPr>
        <w:t>5</w:t>
      </w:r>
      <w:r w:rsidR="00EF7EBB" w:rsidRPr="00EF7EBB">
        <w:rPr>
          <w:rFonts w:eastAsia="Fira Sans Light" w:cs="Times New Roman"/>
          <w:spacing w:val="-2"/>
          <w:szCs w:val="19"/>
        </w:rPr>
        <w:t xml:space="preserve">7 banków w kwocie </w:t>
      </w:r>
      <w:r w:rsidR="00634989" w:rsidRPr="00EF7EBB">
        <w:rPr>
          <w:rFonts w:eastAsia="Fira Sans Light" w:cs="Times New Roman"/>
          <w:spacing w:val="-2"/>
          <w:szCs w:val="19"/>
        </w:rPr>
        <w:t>9</w:t>
      </w:r>
      <w:r w:rsidR="00EF7EBB" w:rsidRPr="00EF7EBB">
        <w:rPr>
          <w:rFonts w:eastAsia="Fira Sans Light" w:cs="Times New Roman"/>
          <w:spacing w:val="-2"/>
          <w:szCs w:val="19"/>
        </w:rPr>
        <w:t>,</w:t>
      </w:r>
      <w:r w:rsidR="00634989">
        <w:rPr>
          <w:rFonts w:eastAsia="Fira Sans Light" w:cs="Times New Roman"/>
          <w:spacing w:val="-2"/>
          <w:szCs w:val="19"/>
        </w:rPr>
        <w:t>3</w:t>
      </w:r>
      <w:r w:rsidR="00EF7EBB" w:rsidRPr="00EF7EBB">
        <w:rPr>
          <w:rFonts w:eastAsia="Fira Sans Light" w:cs="Times New Roman"/>
          <w:spacing w:val="-2"/>
          <w:szCs w:val="19"/>
        </w:rPr>
        <w:t> mld zł oraz straty netto 3</w:t>
      </w:r>
      <w:r w:rsidR="00634989">
        <w:rPr>
          <w:rFonts w:eastAsia="Fira Sans Light" w:cs="Times New Roman"/>
          <w:spacing w:val="-2"/>
          <w:szCs w:val="19"/>
        </w:rPr>
        <w:t>9</w:t>
      </w:r>
      <w:r w:rsidR="00EF7EBB" w:rsidRPr="00EF7EBB">
        <w:rPr>
          <w:rFonts w:eastAsia="Fira Sans Light" w:cs="Times New Roman"/>
          <w:spacing w:val="-2"/>
          <w:szCs w:val="19"/>
        </w:rPr>
        <w:t xml:space="preserve"> banków (</w:t>
      </w:r>
      <w:r w:rsidR="00634989">
        <w:rPr>
          <w:rFonts w:eastAsia="Fira Sans Light" w:cs="Times New Roman"/>
          <w:spacing w:val="-2"/>
          <w:szCs w:val="19"/>
        </w:rPr>
        <w:t>22</w:t>
      </w:r>
      <w:r w:rsidR="00EF7EBB" w:rsidRPr="00EF7EBB">
        <w:rPr>
          <w:rFonts w:eastAsia="Fira Sans Light" w:cs="Times New Roman"/>
          <w:spacing w:val="-2"/>
          <w:szCs w:val="19"/>
        </w:rPr>
        <w:t xml:space="preserve"> komercyjnych, w tym 1</w:t>
      </w:r>
      <w:r w:rsidR="00634989">
        <w:rPr>
          <w:rFonts w:eastAsia="Fira Sans Light" w:cs="Times New Roman"/>
          <w:spacing w:val="-2"/>
          <w:szCs w:val="19"/>
        </w:rPr>
        <w:t>4</w:t>
      </w:r>
      <w:r w:rsidR="00EF7EBB" w:rsidRPr="00EF7EBB">
        <w:rPr>
          <w:rFonts w:eastAsia="Fira Sans Light" w:cs="Times New Roman"/>
          <w:spacing w:val="-2"/>
          <w:szCs w:val="19"/>
        </w:rPr>
        <w:t xml:space="preserve"> oddziałó</w:t>
      </w:r>
      <w:r w:rsidR="00634989">
        <w:rPr>
          <w:rFonts w:eastAsia="Fira Sans Light" w:cs="Times New Roman"/>
          <w:spacing w:val="-2"/>
          <w:szCs w:val="19"/>
        </w:rPr>
        <w:t>w instytucji kredytowych oraz 17</w:t>
      </w:r>
      <w:r w:rsidR="00EF7EBB" w:rsidRPr="00EF7EBB">
        <w:rPr>
          <w:rFonts w:eastAsia="Fira Sans Light" w:cs="Times New Roman"/>
          <w:spacing w:val="-2"/>
          <w:szCs w:val="19"/>
        </w:rPr>
        <w:t xml:space="preserve"> banków spółdzielczych) o wartości 1,</w:t>
      </w:r>
      <w:r w:rsidR="00634989">
        <w:rPr>
          <w:rFonts w:eastAsia="Fira Sans Light" w:cs="Times New Roman"/>
          <w:spacing w:val="-2"/>
          <w:szCs w:val="19"/>
        </w:rPr>
        <w:t>8</w:t>
      </w:r>
      <w:r w:rsidR="00EF7EBB" w:rsidRPr="00EF7EBB">
        <w:rPr>
          <w:rFonts w:eastAsia="Fira Sans Light" w:cs="Times New Roman"/>
          <w:spacing w:val="-2"/>
          <w:szCs w:val="19"/>
        </w:rPr>
        <w:t> mld zł.</w:t>
      </w:r>
    </w:p>
    <w:p w:rsidR="00EF7EBB" w:rsidRPr="00EF7EBB" w:rsidRDefault="00EF7EBB" w:rsidP="00EF7EBB">
      <w:pPr>
        <w:spacing w:before="0" w:after="160" w:line="259" w:lineRule="auto"/>
        <w:rPr>
          <w:rFonts w:eastAsia="Fira Sans Light" w:cs="Times New Roman"/>
          <w:b/>
          <w:spacing w:val="-2"/>
          <w:sz w:val="18"/>
        </w:rPr>
      </w:pPr>
      <w:r w:rsidRPr="00EF7EBB">
        <w:rPr>
          <w:rFonts w:eastAsia="Fira Sans Light" w:cs="Times New Roman"/>
          <w:b/>
          <w:spacing w:val="-2"/>
          <w:sz w:val="18"/>
        </w:rPr>
        <w:br w:type="page"/>
      </w:r>
    </w:p>
    <w:p w:rsidR="00EF7EBB" w:rsidRPr="00B03588" w:rsidRDefault="007B57D9" w:rsidP="0034599E">
      <w:pPr>
        <w:pStyle w:val="tytuwykresu"/>
      </w:pPr>
      <w:r w:rsidRPr="00B03588">
        <w:rPr>
          <w:noProof/>
          <w:lang w:eastAsia="pl-PL"/>
        </w:rPr>
        <w:lastRenderedPageBreak/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262255</wp:posOffset>
            </wp:positionV>
            <wp:extent cx="5267325" cy="2214245"/>
            <wp:effectExtent l="0" t="0" r="0" b="0"/>
            <wp:wrapSquare wrapText="bothSides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EBB" w:rsidRPr="00B03588">
        <w:t>Wykres 1. Struktura całkowitych przychodów operacyjnych, netto (w %, zmiany w p. proc.)</w:t>
      </w:r>
    </w:p>
    <w:p w:rsidR="00EF7EBB" w:rsidRDefault="00EF7EBB" w:rsidP="00EF7EBB">
      <w:pPr>
        <w:rPr>
          <w:rFonts w:eastAsia="Fira Sans Light" w:cs="Times New Roman"/>
          <w:b/>
          <w:spacing w:val="-2"/>
          <w:sz w:val="18"/>
        </w:rPr>
      </w:pPr>
    </w:p>
    <w:p w:rsidR="00EF7EBB" w:rsidRPr="00EF7EBB" w:rsidRDefault="00EF7EBB" w:rsidP="001E25F5">
      <w:pPr>
        <w:keepNext/>
        <w:spacing w:line="240" w:lineRule="auto"/>
        <w:jc w:val="both"/>
        <w:outlineLvl w:val="0"/>
        <w:rPr>
          <w:rFonts w:eastAsia="Fira Sans Light" w:cs="Times New Roman"/>
          <w:sz w:val="18"/>
        </w:rPr>
      </w:pPr>
      <w:r w:rsidRPr="00EF7EBB">
        <w:rPr>
          <w:rFonts w:eastAsia="Times New Roman" w:cs="Times New Roman"/>
          <w:b/>
          <w:bCs/>
          <w:noProof/>
          <w:color w:val="001D77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61664" behindDoc="1" locked="0" layoutInCell="1" allowOverlap="1" wp14:anchorId="66879494" wp14:editId="7A5BE261">
                <wp:simplePos x="0" y="0"/>
                <wp:positionH relativeFrom="column">
                  <wp:posOffset>5370429</wp:posOffset>
                </wp:positionH>
                <wp:positionV relativeFrom="paragraph">
                  <wp:posOffset>266099</wp:posOffset>
                </wp:positionV>
                <wp:extent cx="1648460" cy="831850"/>
                <wp:effectExtent l="0" t="0" r="0" b="6350"/>
                <wp:wrapTight wrapText="bothSides">
                  <wp:wrapPolygon edited="0">
                    <wp:start x="749" y="0"/>
                    <wp:lineTo x="749" y="21270"/>
                    <wp:lineTo x="20718" y="21270"/>
                    <wp:lineTo x="20718" y="0"/>
                    <wp:lineTo x="749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46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EBB" w:rsidRDefault="00EF7EBB" w:rsidP="00EF7EBB">
                            <w:pPr>
                              <w:pStyle w:val="tekstzboku"/>
                              <w:spacing w:before="0"/>
                            </w:pPr>
                            <w:r>
                              <w:t xml:space="preserve">Wzrost sumy bilansowej </w:t>
                            </w:r>
                            <w:r w:rsidR="000301A4">
                              <w:t>w 2020 r. o 3</w:t>
                            </w:r>
                            <w:r>
                              <w:t>5</w:t>
                            </w:r>
                            <w:r w:rsidR="000301A4">
                              <w:t>2</w:t>
                            </w:r>
                            <w:r>
                              <w:t>,</w:t>
                            </w:r>
                            <w:r w:rsidR="000301A4">
                              <w:t>2</w:t>
                            </w:r>
                            <w:r>
                              <w:t xml:space="preserve"> mld zł, </w:t>
                            </w:r>
                            <w:r>
                              <w:br/>
                              <w:t>w tym kapitałów własnych o </w:t>
                            </w:r>
                            <w:r w:rsidR="00C24142">
                              <w:t>18</w:t>
                            </w:r>
                            <w:r>
                              <w:t>,3 mld zł</w:t>
                            </w:r>
                          </w:p>
                          <w:p w:rsidR="00EF7EBB" w:rsidRDefault="00EF7EBB" w:rsidP="00EF7EBB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79494" id="Pole tekstowe 16" o:spid="_x0000_s1030" type="#_x0000_t202" style="position:absolute;left:0;text-align:left;margin-left:422.85pt;margin-top:20.95pt;width:129.8pt;height:65.5pt;z-index:-251554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" filled="f" stroked="f">
                <v:textbox>
                  <w:txbxContent>
                    <w:p w:rsidR="00EF7EBB" w:rsidRDefault="00EF7EBB" w:rsidP="00EF7EBB">
                      <w:pPr>
                        <w:pStyle w:val="tekstzboku"/>
                        <w:spacing w:before="0"/>
                      </w:pPr>
                      <w:r>
                        <w:t xml:space="preserve">Wzrost sumy bilansowej </w:t>
                      </w:r>
                      <w:r w:rsidR="000301A4">
                        <w:t>w 2020 r. o 3</w:t>
                      </w:r>
                      <w:r>
                        <w:t>5</w:t>
                      </w:r>
                      <w:r w:rsidR="000301A4">
                        <w:t>2</w:t>
                      </w:r>
                      <w:r>
                        <w:t>,</w:t>
                      </w:r>
                      <w:r w:rsidR="000301A4">
                        <w:t>2</w:t>
                      </w:r>
                      <w:r>
                        <w:t xml:space="preserve"> mld zł, </w:t>
                      </w:r>
                      <w:r>
                        <w:br/>
                        <w:t>w tym kapitałów własnych o </w:t>
                      </w:r>
                      <w:r w:rsidR="00C24142">
                        <w:t>18</w:t>
                      </w:r>
                      <w:r>
                        <w:t>,3 mld zł</w:t>
                      </w:r>
                    </w:p>
                    <w:p w:rsidR="00EF7EBB" w:rsidRDefault="00EF7EBB" w:rsidP="00EF7EBB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EF7EBB">
        <w:rPr>
          <w:rFonts w:eastAsia="Fira Sans Light" w:cs="Times New Roman"/>
          <w:b/>
          <w:spacing w:val="-2"/>
          <w:sz w:val="18"/>
          <w:shd w:val="clear" w:color="auto" w:fill="FFFFFF"/>
        </w:rPr>
        <w:t>Tablica 2. Wybrane pozycje bilansowe sektora bankowego</w:t>
      </w:r>
    </w:p>
    <w:tbl>
      <w:tblPr>
        <w:tblStyle w:val="GridTableLight12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245"/>
        <w:gridCol w:w="1036"/>
        <w:gridCol w:w="1037"/>
        <w:gridCol w:w="870"/>
      </w:tblGrid>
      <w:tr w:rsidR="00EF7EBB" w:rsidRPr="00EF7EBB" w:rsidTr="009C7276">
        <w:trPr>
          <w:trHeight w:val="57"/>
        </w:trPr>
        <w:tc>
          <w:tcPr>
            <w:tcW w:w="5245" w:type="dxa"/>
            <w:vMerge w:val="restart"/>
            <w:vAlign w:val="center"/>
          </w:tcPr>
          <w:p w:rsidR="00EF7EBB" w:rsidRPr="00EF7EBB" w:rsidRDefault="00EF7EBB" w:rsidP="00EF7EBB">
            <w:pPr>
              <w:keepNext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EF7EBB"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1036" w:type="dxa"/>
            <w:vAlign w:val="center"/>
          </w:tcPr>
          <w:p w:rsidR="00EF7EBB" w:rsidRPr="00EF7EBB" w:rsidRDefault="00EF7EBB" w:rsidP="00EF7EBB">
            <w:pPr>
              <w:keepNext/>
              <w:keepLines/>
              <w:spacing w:before="0" w:after="0"/>
              <w:jc w:val="center"/>
              <w:outlineLvl w:val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F7EB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31 XII </w:t>
            </w:r>
            <w:r w:rsidR="003C3EE9">
              <w:rPr>
                <w:rFonts w:eastAsia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907" w:type="dxa"/>
            <w:gridSpan w:val="2"/>
            <w:vAlign w:val="center"/>
          </w:tcPr>
          <w:p w:rsidR="00EF7EBB" w:rsidRPr="00EF7EBB" w:rsidRDefault="00EF7EBB" w:rsidP="00EF7EBB">
            <w:pPr>
              <w:keepNext/>
              <w:keepLines/>
              <w:spacing w:before="0" w:after="0"/>
              <w:jc w:val="center"/>
              <w:outlineLvl w:val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F7EBB">
              <w:rPr>
                <w:rFonts w:eastAsia="Times New Roman" w:cs="Times New Roman"/>
                <w:color w:val="000000"/>
                <w:sz w:val="16"/>
                <w:szCs w:val="16"/>
              </w:rPr>
              <w:t>31 XII</w:t>
            </w:r>
            <w:r w:rsidR="003C3EE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2020</w:t>
            </w:r>
          </w:p>
        </w:tc>
      </w:tr>
      <w:tr w:rsidR="00EF7EBB" w:rsidRPr="00EF7EBB" w:rsidTr="009C7276">
        <w:trPr>
          <w:trHeight w:val="81"/>
        </w:trPr>
        <w:tc>
          <w:tcPr>
            <w:tcW w:w="5245" w:type="dxa"/>
            <w:vMerge/>
            <w:tcBorders>
              <w:bottom w:val="single" w:sz="12" w:space="0" w:color="212492"/>
            </w:tcBorders>
            <w:vAlign w:val="center"/>
          </w:tcPr>
          <w:p w:rsidR="00EF7EBB" w:rsidRPr="00EF7EBB" w:rsidRDefault="00EF7EBB" w:rsidP="00EF7EBB">
            <w:pPr>
              <w:keepNext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ascii="Fira Sans SemiBold" w:eastAsia="Times New Roman" w:hAnsi="Fira Sans SemiBold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73" w:type="dxa"/>
            <w:gridSpan w:val="2"/>
            <w:tcBorders>
              <w:bottom w:val="single" w:sz="12" w:space="0" w:color="212492"/>
            </w:tcBorders>
            <w:vAlign w:val="center"/>
          </w:tcPr>
          <w:p w:rsidR="00EF7EBB" w:rsidRPr="00EF7EBB" w:rsidRDefault="00EF7EBB" w:rsidP="00EF7EBB">
            <w:pPr>
              <w:spacing w:before="0" w:after="0"/>
              <w:jc w:val="center"/>
              <w:rPr>
                <w:rFonts w:eastAsia="Fira Sans Light" w:cs="Times New Roman"/>
                <w:color w:val="000000"/>
                <w:sz w:val="16"/>
                <w:szCs w:val="16"/>
              </w:rPr>
            </w:pPr>
            <w:r w:rsidRPr="00EF7EBB">
              <w:rPr>
                <w:rFonts w:eastAsia="Fira Sans Light" w:cs="Times New Roman"/>
                <w:color w:val="000000"/>
                <w:sz w:val="16"/>
                <w:szCs w:val="16"/>
              </w:rPr>
              <w:t>w mln zł</w:t>
            </w:r>
          </w:p>
        </w:tc>
        <w:tc>
          <w:tcPr>
            <w:tcW w:w="870" w:type="dxa"/>
            <w:tcBorders>
              <w:bottom w:val="single" w:sz="12" w:space="0" w:color="212492"/>
            </w:tcBorders>
            <w:vAlign w:val="center"/>
          </w:tcPr>
          <w:p w:rsidR="00EF7EBB" w:rsidRPr="00EF7EBB" w:rsidRDefault="00EF7EBB" w:rsidP="00EF7EBB">
            <w:pPr>
              <w:spacing w:before="0" w:after="0"/>
              <w:jc w:val="center"/>
              <w:rPr>
                <w:rFonts w:eastAsia="Fira Sans Light" w:cs="Times New Roman"/>
                <w:color w:val="000000"/>
                <w:sz w:val="16"/>
                <w:szCs w:val="16"/>
              </w:rPr>
            </w:pPr>
            <w:r w:rsidRPr="00EF7EBB">
              <w:rPr>
                <w:rFonts w:eastAsia="Fira Sans Light" w:cs="Times New Roman"/>
                <w:color w:val="000000"/>
                <w:sz w:val="16"/>
                <w:szCs w:val="16"/>
              </w:rPr>
              <w:t xml:space="preserve">31 XII </w:t>
            </w:r>
            <w:r w:rsidR="003C3EE9">
              <w:rPr>
                <w:rFonts w:eastAsia="Fira Sans Light" w:cs="Times New Roman"/>
                <w:color w:val="000000"/>
                <w:sz w:val="16"/>
                <w:szCs w:val="16"/>
              </w:rPr>
              <w:t>2019</w:t>
            </w:r>
            <w:r w:rsidRPr="00EF7EBB">
              <w:rPr>
                <w:rFonts w:eastAsia="Fira Sans Light" w:cs="Times New Roman"/>
                <w:color w:val="000000"/>
                <w:sz w:val="16"/>
                <w:szCs w:val="16"/>
              </w:rPr>
              <w:t>=100</w:t>
            </w:r>
          </w:p>
        </w:tc>
      </w:tr>
      <w:tr w:rsidR="006E00A1" w:rsidRPr="00EF7EBB" w:rsidTr="007938B6">
        <w:trPr>
          <w:trHeight w:val="283"/>
        </w:trPr>
        <w:tc>
          <w:tcPr>
            <w:tcW w:w="5245" w:type="dxa"/>
            <w:tcBorders>
              <w:top w:val="single" w:sz="12" w:space="0" w:color="212492"/>
            </w:tcBorders>
            <w:vAlign w:val="center"/>
          </w:tcPr>
          <w:p w:rsidR="006E00A1" w:rsidRPr="00EF7EBB" w:rsidRDefault="006E00A1" w:rsidP="00B03588">
            <w:pPr>
              <w:tabs>
                <w:tab w:val="right" w:leader="dot" w:pos="5103"/>
                <w:tab w:val="left" w:leader="dot" w:pos="6237"/>
              </w:tabs>
              <w:spacing w:before="0" w:after="0"/>
              <w:rPr>
                <w:rFonts w:eastAsia="Fira Sans Light" w:cs="Tahoma"/>
                <w:b/>
                <w:sz w:val="16"/>
                <w:szCs w:val="16"/>
              </w:rPr>
            </w:pPr>
            <w:r w:rsidRPr="00EF7EBB">
              <w:rPr>
                <w:rFonts w:eastAsia="Fira Sans Light" w:cs="Tahoma"/>
                <w:b/>
                <w:sz w:val="16"/>
                <w:szCs w:val="16"/>
              </w:rPr>
              <w:t>Suma bilansowa</w:t>
            </w:r>
            <w:r w:rsidRPr="00EF7EBB">
              <w:rPr>
                <w:rFonts w:eastAsia="Fira Sans Light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36" w:type="dxa"/>
            <w:tcBorders>
              <w:top w:val="single" w:sz="12" w:space="0" w:color="212492"/>
            </w:tcBorders>
          </w:tcPr>
          <w:p w:rsidR="006E00A1" w:rsidRPr="006E00A1" w:rsidRDefault="006E00A1" w:rsidP="006E00A1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6E00A1">
              <w:rPr>
                <w:b/>
                <w:sz w:val="16"/>
                <w:szCs w:val="16"/>
              </w:rPr>
              <w:t>1 991 778</w:t>
            </w:r>
          </w:p>
        </w:tc>
        <w:tc>
          <w:tcPr>
            <w:tcW w:w="1037" w:type="dxa"/>
            <w:tcBorders>
              <w:top w:val="single" w:sz="12" w:space="0" w:color="212492"/>
            </w:tcBorders>
          </w:tcPr>
          <w:p w:rsidR="006E00A1" w:rsidRPr="006E00A1" w:rsidRDefault="006E00A1" w:rsidP="006E00A1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6E00A1">
              <w:rPr>
                <w:b/>
                <w:sz w:val="16"/>
                <w:szCs w:val="16"/>
              </w:rPr>
              <w:t>2 343 953</w:t>
            </w:r>
          </w:p>
        </w:tc>
        <w:tc>
          <w:tcPr>
            <w:tcW w:w="870" w:type="dxa"/>
            <w:tcBorders>
              <w:top w:val="single" w:sz="12" w:space="0" w:color="212492"/>
            </w:tcBorders>
          </w:tcPr>
          <w:p w:rsidR="006E00A1" w:rsidRPr="006E00A1" w:rsidRDefault="006E00A1" w:rsidP="006E00A1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6E00A1">
              <w:rPr>
                <w:b/>
                <w:sz w:val="16"/>
                <w:szCs w:val="16"/>
              </w:rPr>
              <w:t>117,7</w:t>
            </w:r>
          </w:p>
        </w:tc>
      </w:tr>
      <w:tr w:rsidR="006E00A1" w:rsidRPr="00EF7EBB" w:rsidTr="007938B6">
        <w:trPr>
          <w:trHeight w:val="283"/>
        </w:trPr>
        <w:tc>
          <w:tcPr>
            <w:tcW w:w="5245" w:type="dxa"/>
            <w:vAlign w:val="center"/>
          </w:tcPr>
          <w:p w:rsidR="006E00A1" w:rsidRPr="00EF7EBB" w:rsidRDefault="00B03588" w:rsidP="006E00A1">
            <w:pPr>
              <w:tabs>
                <w:tab w:val="right" w:leader="dot" w:pos="5103"/>
                <w:tab w:val="left" w:leader="dot" w:pos="6237"/>
              </w:tabs>
              <w:spacing w:before="0" w:after="0"/>
              <w:ind w:left="170"/>
              <w:rPr>
                <w:rFonts w:eastAsia="Fira Sans Light" w:cs="Tahoma"/>
                <w:color w:val="000000"/>
                <w:sz w:val="16"/>
                <w:szCs w:val="16"/>
              </w:rPr>
            </w:pPr>
            <w:r w:rsidRPr="00EF7EBB">
              <w:rPr>
                <w:rFonts w:eastAsia="Fira Sans Light" w:cs="Tahoma"/>
                <w:bCs/>
                <w:sz w:val="16"/>
                <w:szCs w:val="16"/>
              </w:rPr>
              <w:t>w tym</w:t>
            </w:r>
            <w:r w:rsidRPr="00EF7EBB">
              <w:rPr>
                <w:rFonts w:eastAsia="Fira Sans Light" w:cs="Tahoma"/>
                <w:b/>
                <w:bCs/>
                <w:sz w:val="16"/>
                <w:szCs w:val="16"/>
              </w:rPr>
              <w:t xml:space="preserve"> </w:t>
            </w:r>
            <w:r w:rsidR="006E00A1" w:rsidRPr="00EF7EBB">
              <w:rPr>
                <w:rFonts w:eastAsia="Fira Sans Light" w:cs="Tahoma"/>
                <w:color w:val="000000"/>
                <w:sz w:val="16"/>
                <w:szCs w:val="16"/>
              </w:rPr>
              <w:t>aktywa finansowe wyceniane wg zamortyzowanego kosztu</w:t>
            </w:r>
          </w:p>
        </w:tc>
        <w:tc>
          <w:tcPr>
            <w:tcW w:w="1036" w:type="dxa"/>
          </w:tcPr>
          <w:p w:rsidR="006E00A1" w:rsidRPr="006E00A1" w:rsidRDefault="006E00A1" w:rsidP="006E00A1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1 418 618</w:t>
            </w:r>
          </w:p>
        </w:tc>
        <w:tc>
          <w:tcPr>
            <w:tcW w:w="1037" w:type="dxa"/>
          </w:tcPr>
          <w:p w:rsidR="006E00A1" w:rsidRPr="006E00A1" w:rsidRDefault="006E00A1" w:rsidP="006E00A1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1 521 537</w:t>
            </w:r>
          </w:p>
        </w:tc>
        <w:tc>
          <w:tcPr>
            <w:tcW w:w="870" w:type="dxa"/>
          </w:tcPr>
          <w:p w:rsidR="006E00A1" w:rsidRPr="006E00A1" w:rsidRDefault="006E00A1" w:rsidP="006E00A1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107,3</w:t>
            </w:r>
          </w:p>
        </w:tc>
      </w:tr>
      <w:tr w:rsidR="006E00A1" w:rsidRPr="00EF7EBB" w:rsidTr="007938B6">
        <w:trPr>
          <w:trHeight w:val="283"/>
        </w:trPr>
        <w:tc>
          <w:tcPr>
            <w:tcW w:w="5245" w:type="dxa"/>
            <w:vAlign w:val="center"/>
          </w:tcPr>
          <w:p w:rsidR="006E00A1" w:rsidRPr="00EF7EBB" w:rsidRDefault="006E00A1" w:rsidP="00B03588">
            <w:pPr>
              <w:tabs>
                <w:tab w:val="right" w:leader="dot" w:pos="5103"/>
                <w:tab w:val="left" w:leader="dot" w:pos="6237"/>
              </w:tabs>
              <w:spacing w:before="0" w:after="0"/>
              <w:ind w:left="57"/>
              <w:rPr>
                <w:rFonts w:eastAsia="Fira Sans Light" w:cs="Tahoma"/>
                <w:color w:val="000000"/>
                <w:sz w:val="16"/>
                <w:szCs w:val="16"/>
              </w:rPr>
            </w:pPr>
            <w:r w:rsidRPr="00EF7EBB">
              <w:rPr>
                <w:rFonts w:eastAsia="Fira Sans Light" w:cs="Tahoma"/>
                <w:color w:val="000000"/>
                <w:sz w:val="16"/>
                <w:szCs w:val="16"/>
              </w:rPr>
              <w:t>Zobowiązania razem</w:t>
            </w:r>
          </w:p>
        </w:tc>
        <w:tc>
          <w:tcPr>
            <w:tcW w:w="1036" w:type="dxa"/>
          </w:tcPr>
          <w:p w:rsidR="006E00A1" w:rsidRPr="006E00A1" w:rsidRDefault="006E00A1" w:rsidP="006E00A1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1 782 483</w:t>
            </w:r>
          </w:p>
        </w:tc>
        <w:tc>
          <w:tcPr>
            <w:tcW w:w="1037" w:type="dxa"/>
          </w:tcPr>
          <w:p w:rsidR="006E00A1" w:rsidRPr="006E00A1" w:rsidRDefault="006E00A1" w:rsidP="006E00A1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2 116 385</w:t>
            </w:r>
          </w:p>
        </w:tc>
        <w:tc>
          <w:tcPr>
            <w:tcW w:w="870" w:type="dxa"/>
          </w:tcPr>
          <w:p w:rsidR="006E00A1" w:rsidRPr="006E00A1" w:rsidRDefault="006E00A1" w:rsidP="006E00A1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118,7</w:t>
            </w:r>
          </w:p>
        </w:tc>
      </w:tr>
      <w:tr w:rsidR="006E00A1" w:rsidRPr="00EF7EBB" w:rsidTr="007938B6">
        <w:trPr>
          <w:trHeight w:val="283"/>
        </w:trPr>
        <w:tc>
          <w:tcPr>
            <w:tcW w:w="5245" w:type="dxa"/>
            <w:vAlign w:val="center"/>
          </w:tcPr>
          <w:p w:rsidR="006E00A1" w:rsidRPr="00EF7EBB" w:rsidRDefault="00B03588" w:rsidP="006E00A1">
            <w:pPr>
              <w:tabs>
                <w:tab w:val="left" w:leader="dot" w:pos="6237"/>
              </w:tabs>
              <w:spacing w:before="0" w:after="0"/>
              <w:ind w:left="170"/>
              <w:rPr>
                <w:rFonts w:eastAsia="Fira Sans Light" w:cs="Times New Roman"/>
                <w:sz w:val="16"/>
                <w:szCs w:val="16"/>
              </w:rPr>
            </w:pPr>
            <w:r w:rsidRPr="00EF7EBB">
              <w:rPr>
                <w:rFonts w:eastAsia="Fira Sans Light" w:cs="Tahoma"/>
                <w:bCs/>
                <w:sz w:val="16"/>
                <w:szCs w:val="16"/>
              </w:rPr>
              <w:t>w tym</w:t>
            </w:r>
            <w:r w:rsidRPr="00EF7EBB">
              <w:rPr>
                <w:rFonts w:eastAsia="Fira Sans Light" w:cs="Times New Roman"/>
                <w:sz w:val="16"/>
                <w:szCs w:val="16"/>
              </w:rPr>
              <w:t xml:space="preserve"> </w:t>
            </w:r>
            <w:r w:rsidR="006E00A1" w:rsidRPr="00EF7EBB">
              <w:rPr>
                <w:rFonts w:eastAsia="Fira Sans Light" w:cs="Times New Roman"/>
                <w:sz w:val="16"/>
                <w:szCs w:val="16"/>
              </w:rPr>
              <w:t>zobowiązania finansowe wyceniane wg zamortyzowanego kosztu</w:t>
            </w:r>
          </w:p>
        </w:tc>
        <w:tc>
          <w:tcPr>
            <w:tcW w:w="1036" w:type="dxa"/>
          </w:tcPr>
          <w:p w:rsidR="006E00A1" w:rsidRPr="006E00A1" w:rsidRDefault="006E00A1" w:rsidP="006E00A1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1 715 709</w:t>
            </w:r>
          </w:p>
        </w:tc>
        <w:tc>
          <w:tcPr>
            <w:tcW w:w="1037" w:type="dxa"/>
          </w:tcPr>
          <w:p w:rsidR="006E00A1" w:rsidRPr="006E00A1" w:rsidRDefault="006E00A1" w:rsidP="006E00A1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2 022 058</w:t>
            </w:r>
          </w:p>
        </w:tc>
        <w:tc>
          <w:tcPr>
            <w:tcW w:w="870" w:type="dxa"/>
          </w:tcPr>
          <w:p w:rsidR="006E00A1" w:rsidRPr="006E00A1" w:rsidRDefault="006E00A1" w:rsidP="006E00A1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117,9</w:t>
            </w:r>
          </w:p>
        </w:tc>
      </w:tr>
      <w:tr w:rsidR="006E00A1" w:rsidRPr="00EF7EBB" w:rsidTr="007938B6">
        <w:trPr>
          <w:trHeight w:val="283"/>
        </w:trPr>
        <w:tc>
          <w:tcPr>
            <w:tcW w:w="5245" w:type="dxa"/>
            <w:vAlign w:val="center"/>
          </w:tcPr>
          <w:p w:rsidR="006E00A1" w:rsidRPr="00EF7EBB" w:rsidRDefault="006E00A1" w:rsidP="006E00A1">
            <w:pPr>
              <w:tabs>
                <w:tab w:val="right" w:leader="dot" w:pos="5103"/>
              </w:tabs>
              <w:spacing w:before="0" w:after="0"/>
              <w:ind w:left="57"/>
              <w:rPr>
                <w:rFonts w:eastAsia="Fira Sans Light" w:cs="Tahoma"/>
                <w:bCs/>
                <w:sz w:val="16"/>
                <w:szCs w:val="16"/>
              </w:rPr>
            </w:pPr>
            <w:r w:rsidRPr="00EF7EBB">
              <w:rPr>
                <w:rFonts w:eastAsia="Fira Sans Light" w:cs="Tahoma"/>
                <w:bCs/>
                <w:sz w:val="16"/>
                <w:szCs w:val="16"/>
              </w:rPr>
              <w:t>Kapitały własne</w:t>
            </w:r>
          </w:p>
        </w:tc>
        <w:tc>
          <w:tcPr>
            <w:tcW w:w="1036" w:type="dxa"/>
          </w:tcPr>
          <w:p w:rsidR="006E00A1" w:rsidRPr="006E00A1" w:rsidRDefault="006E00A1" w:rsidP="006E00A1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209 295</w:t>
            </w:r>
          </w:p>
        </w:tc>
        <w:tc>
          <w:tcPr>
            <w:tcW w:w="1037" w:type="dxa"/>
          </w:tcPr>
          <w:p w:rsidR="006E00A1" w:rsidRPr="006E00A1" w:rsidRDefault="006E00A1" w:rsidP="006E00A1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227 568</w:t>
            </w:r>
          </w:p>
        </w:tc>
        <w:tc>
          <w:tcPr>
            <w:tcW w:w="870" w:type="dxa"/>
          </w:tcPr>
          <w:p w:rsidR="006E00A1" w:rsidRPr="006E00A1" w:rsidRDefault="006E00A1" w:rsidP="006E00A1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108,7</w:t>
            </w:r>
          </w:p>
        </w:tc>
      </w:tr>
    </w:tbl>
    <w:p w:rsidR="00EF7EBB" w:rsidRPr="00EF7EBB" w:rsidRDefault="00EF7EBB" w:rsidP="001E25F5">
      <w:pPr>
        <w:spacing w:before="240" w:after="240"/>
        <w:rPr>
          <w:rFonts w:eastAsia="Fira Sans Light" w:cs="Times New Roman"/>
          <w:shd w:val="clear" w:color="auto" w:fill="FFFFFF"/>
        </w:rPr>
      </w:pPr>
      <w:r w:rsidRPr="00EF7EBB">
        <w:rPr>
          <w:rFonts w:eastAsia="Fira Sans Light" w:cs="Times New Roman"/>
          <w:shd w:val="clear" w:color="auto" w:fill="FFFFFF"/>
        </w:rPr>
        <w:t>Według stanu w dniu 31 grudnia</w:t>
      </w:r>
      <w:r w:rsidR="003C3EE9">
        <w:rPr>
          <w:rFonts w:eastAsia="Fira Sans Light" w:cs="Times New Roman"/>
          <w:shd w:val="clear" w:color="auto" w:fill="FFFFFF"/>
        </w:rPr>
        <w:t xml:space="preserve"> 2020</w:t>
      </w:r>
      <w:r w:rsidRPr="00EF7EBB">
        <w:rPr>
          <w:rFonts w:eastAsia="Fira Sans Light" w:cs="Times New Roman"/>
          <w:shd w:val="clear" w:color="auto" w:fill="FFFFFF"/>
        </w:rPr>
        <w:t xml:space="preserve"> r. największą pozycją aktywów sektora bankowego były aktywa finansowe wyceniane według zamortyzowanego kosztu i stanowiły one </w:t>
      </w:r>
      <w:r w:rsidR="00AC342C">
        <w:rPr>
          <w:rFonts w:eastAsia="Fira Sans Light" w:cs="Times New Roman"/>
          <w:shd w:val="clear" w:color="auto" w:fill="FFFFFF"/>
        </w:rPr>
        <w:t>64</w:t>
      </w:r>
      <w:r w:rsidRPr="00EF7EBB">
        <w:rPr>
          <w:rFonts w:eastAsia="Fira Sans Light" w:cs="Times New Roman"/>
          <w:shd w:val="clear" w:color="auto" w:fill="FFFFFF"/>
        </w:rPr>
        <w:t>,</w:t>
      </w:r>
      <w:r w:rsidR="00AC342C">
        <w:rPr>
          <w:rFonts w:eastAsia="Fira Sans Light" w:cs="Times New Roman"/>
          <w:shd w:val="clear" w:color="auto" w:fill="FFFFFF"/>
        </w:rPr>
        <w:t>9</w:t>
      </w:r>
      <w:r w:rsidRPr="00EF7EBB">
        <w:rPr>
          <w:rFonts w:eastAsia="Fira Sans Light" w:cs="Times New Roman"/>
          <w:shd w:val="clear" w:color="auto" w:fill="FFFFFF"/>
        </w:rPr>
        <w:t>% aktywów</w:t>
      </w:r>
      <w:r w:rsidR="001E25F5">
        <w:rPr>
          <w:rFonts w:eastAsia="Fira Sans Light" w:cs="Times New Roman"/>
          <w:shd w:val="clear" w:color="auto" w:fill="FFFFFF"/>
        </w:rPr>
        <w:t xml:space="preserve"> (o 6,3 p. proc. mniej niż rok wcześniej)</w:t>
      </w:r>
      <w:r w:rsidRPr="00EF7EBB">
        <w:rPr>
          <w:rFonts w:eastAsia="Fira Sans Light" w:cs="Times New Roman"/>
          <w:shd w:val="clear" w:color="auto" w:fill="FFFFFF"/>
        </w:rPr>
        <w:t>. Po stronie pasywów dominującą pozycją były zobowiązania finansowe wyceniane według zamortyzowanego kosztu, które stanowiły 86,</w:t>
      </w:r>
      <w:r w:rsidR="00AC342C">
        <w:rPr>
          <w:rFonts w:eastAsia="Fira Sans Light" w:cs="Times New Roman"/>
          <w:shd w:val="clear" w:color="auto" w:fill="FFFFFF"/>
        </w:rPr>
        <w:t>3</w:t>
      </w:r>
      <w:r w:rsidRPr="00EF7EBB">
        <w:rPr>
          <w:rFonts w:eastAsia="Fira Sans Light" w:cs="Times New Roman"/>
          <w:shd w:val="clear" w:color="auto" w:fill="FFFFFF"/>
        </w:rPr>
        <w:t xml:space="preserve">% </w:t>
      </w:r>
      <w:r w:rsidR="001E25F5" w:rsidRPr="001E25F5">
        <w:rPr>
          <w:rFonts w:eastAsia="Fira Sans Light" w:cs="Times New Roman"/>
          <w:shd w:val="clear" w:color="auto" w:fill="FFFFFF"/>
        </w:rPr>
        <w:t>(</w:t>
      </w:r>
      <w:r w:rsidR="001E25F5">
        <w:rPr>
          <w:rFonts w:eastAsia="Fira Sans Light" w:cs="Times New Roman"/>
          <w:shd w:val="clear" w:color="auto" w:fill="FFFFFF"/>
        </w:rPr>
        <w:t xml:space="preserve">więcej </w:t>
      </w:r>
      <w:r w:rsidR="001E25F5" w:rsidRPr="001E25F5">
        <w:rPr>
          <w:rFonts w:eastAsia="Fira Sans Light" w:cs="Times New Roman"/>
          <w:shd w:val="clear" w:color="auto" w:fill="FFFFFF"/>
        </w:rPr>
        <w:t xml:space="preserve">o </w:t>
      </w:r>
      <w:r w:rsidR="001E25F5">
        <w:rPr>
          <w:rFonts w:eastAsia="Fira Sans Light" w:cs="Times New Roman"/>
          <w:shd w:val="clear" w:color="auto" w:fill="FFFFFF"/>
        </w:rPr>
        <w:t>0</w:t>
      </w:r>
      <w:r w:rsidR="001E25F5" w:rsidRPr="001E25F5">
        <w:rPr>
          <w:rFonts w:eastAsia="Fira Sans Light" w:cs="Times New Roman"/>
          <w:shd w:val="clear" w:color="auto" w:fill="FFFFFF"/>
        </w:rPr>
        <w:t>,</w:t>
      </w:r>
      <w:r w:rsidR="001E25F5">
        <w:rPr>
          <w:rFonts w:eastAsia="Fira Sans Light" w:cs="Times New Roman"/>
          <w:shd w:val="clear" w:color="auto" w:fill="FFFFFF"/>
        </w:rPr>
        <w:t>2</w:t>
      </w:r>
      <w:r w:rsidR="001E25F5" w:rsidRPr="001E25F5">
        <w:rPr>
          <w:rFonts w:eastAsia="Fira Sans Light" w:cs="Times New Roman"/>
          <w:shd w:val="clear" w:color="auto" w:fill="FFFFFF"/>
        </w:rPr>
        <w:t xml:space="preserve"> p. proc.)</w:t>
      </w:r>
      <w:r w:rsidR="001E25F5">
        <w:rPr>
          <w:rFonts w:eastAsia="Fira Sans Light" w:cs="Times New Roman"/>
          <w:shd w:val="clear" w:color="auto" w:fill="FFFFFF"/>
        </w:rPr>
        <w:t xml:space="preserve"> </w:t>
      </w:r>
      <w:r w:rsidRPr="00EF7EBB">
        <w:rPr>
          <w:rFonts w:eastAsia="Fira Sans Light" w:cs="Times New Roman"/>
          <w:shd w:val="clear" w:color="auto" w:fill="FFFFFF"/>
        </w:rPr>
        <w:t xml:space="preserve">pasywów. Udział kapitałów własnych w pasywach wyniósł </w:t>
      </w:r>
      <w:r w:rsidR="00AC342C">
        <w:rPr>
          <w:rFonts w:eastAsia="Fira Sans Light" w:cs="Times New Roman"/>
          <w:shd w:val="clear" w:color="auto" w:fill="FFFFFF"/>
        </w:rPr>
        <w:t>9</w:t>
      </w:r>
      <w:r w:rsidRPr="00EF7EBB">
        <w:rPr>
          <w:rFonts w:eastAsia="Fira Sans Light" w:cs="Times New Roman"/>
          <w:shd w:val="clear" w:color="auto" w:fill="FFFFFF"/>
        </w:rPr>
        <w:t>,</w:t>
      </w:r>
      <w:r w:rsidR="00AC342C">
        <w:rPr>
          <w:rFonts w:eastAsia="Fira Sans Light" w:cs="Times New Roman"/>
          <w:shd w:val="clear" w:color="auto" w:fill="FFFFFF"/>
        </w:rPr>
        <w:t>7</w:t>
      </w:r>
      <w:r w:rsidRPr="00EF7EBB">
        <w:rPr>
          <w:rFonts w:eastAsia="Fira Sans Light" w:cs="Times New Roman"/>
          <w:shd w:val="clear" w:color="auto" w:fill="FFFFFF"/>
        </w:rPr>
        <w:t>%</w:t>
      </w:r>
      <w:r w:rsidR="001E25F5">
        <w:rPr>
          <w:rFonts w:eastAsia="Fira Sans Light" w:cs="Times New Roman"/>
          <w:shd w:val="clear" w:color="auto" w:fill="FFFFFF"/>
        </w:rPr>
        <w:t xml:space="preserve"> </w:t>
      </w:r>
      <w:r w:rsidR="001E25F5" w:rsidRPr="001E25F5">
        <w:rPr>
          <w:rFonts w:eastAsia="Fira Sans Light" w:cs="Times New Roman"/>
          <w:shd w:val="clear" w:color="auto" w:fill="FFFFFF"/>
        </w:rPr>
        <w:t xml:space="preserve">(o </w:t>
      </w:r>
      <w:r w:rsidR="001E25F5">
        <w:rPr>
          <w:rFonts w:eastAsia="Fira Sans Light" w:cs="Times New Roman"/>
          <w:shd w:val="clear" w:color="auto" w:fill="FFFFFF"/>
        </w:rPr>
        <w:t>0</w:t>
      </w:r>
      <w:r w:rsidR="001E25F5" w:rsidRPr="001E25F5">
        <w:rPr>
          <w:rFonts w:eastAsia="Fira Sans Light" w:cs="Times New Roman"/>
          <w:shd w:val="clear" w:color="auto" w:fill="FFFFFF"/>
        </w:rPr>
        <w:t>,</w:t>
      </w:r>
      <w:r w:rsidR="001E25F5">
        <w:rPr>
          <w:rFonts w:eastAsia="Fira Sans Light" w:cs="Times New Roman"/>
          <w:shd w:val="clear" w:color="auto" w:fill="FFFFFF"/>
        </w:rPr>
        <w:t>8 p. proc. mniej</w:t>
      </w:r>
      <w:r w:rsidR="001E25F5" w:rsidRPr="001E25F5">
        <w:rPr>
          <w:rFonts w:eastAsia="Fira Sans Light" w:cs="Times New Roman"/>
          <w:shd w:val="clear" w:color="auto" w:fill="FFFFFF"/>
        </w:rPr>
        <w:t>)</w:t>
      </w:r>
      <w:r w:rsidRPr="00EF7EBB">
        <w:rPr>
          <w:rFonts w:eastAsia="Fira Sans Light" w:cs="Times New Roman"/>
          <w:shd w:val="clear" w:color="auto" w:fill="FFFFFF"/>
        </w:rPr>
        <w:t>.</w:t>
      </w:r>
    </w:p>
    <w:p w:rsidR="00EF7EBB" w:rsidRPr="00EF7EBB" w:rsidRDefault="00EF7EBB" w:rsidP="00EF7EBB">
      <w:pPr>
        <w:keepNext/>
        <w:spacing w:before="0" w:line="240" w:lineRule="auto"/>
        <w:outlineLvl w:val="0"/>
        <w:rPr>
          <w:rFonts w:eastAsia="Fira Sans Light" w:cs="Times New Roman"/>
          <w:sz w:val="18"/>
        </w:rPr>
      </w:pPr>
      <w:r w:rsidRPr="00EF7EBB">
        <w:rPr>
          <w:rFonts w:eastAsia="Times New Roman" w:cs="Times New Roman"/>
          <w:b/>
          <w:bCs/>
          <w:noProof/>
          <w:color w:val="001D77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62688" behindDoc="1" locked="0" layoutInCell="1" allowOverlap="1" wp14:anchorId="3208A3AB" wp14:editId="107B977D">
                <wp:simplePos x="0" y="0"/>
                <wp:positionH relativeFrom="column">
                  <wp:posOffset>5369560</wp:posOffset>
                </wp:positionH>
                <wp:positionV relativeFrom="paragraph">
                  <wp:posOffset>798830</wp:posOffset>
                </wp:positionV>
                <wp:extent cx="1603375" cy="1512570"/>
                <wp:effectExtent l="0" t="0" r="0" b="0"/>
                <wp:wrapTight wrapText="bothSides">
                  <wp:wrapPolygon edited="0">
                    <wp:start x="770" y="0"/>
                    <wp:lineTo x="770" y="21219"/>
                    <wp:lineTo x="20787" y="21219"/>
                    <wp:lineTo x="20787" y="0"/>
                    <wp:lineTo x="77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151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EBB" w:rsidRDefault="00EF7EBB" w:rsidP="00EF7EBB">
                            <w:pPr>
                              <w:pStyle w:val="tekstzboku"/>
                              <w:spacing w:before="0"/>
                              <w:rPr>
                                <w:bCs w:val="0"/>
                              </w:rPr>
                            </w:pPr>
                            <w:r>
                              <w:t xml:space="preserve">Wartość kredytów dla sektora niefinansowego zwiększyła się o </w:t>
                            </w:r>
                            <w:r w:rsidR="00C24142">
                              <w:t>9</w:t>
                            </w:r>
                            <w:r>
                              <w:t>,</w:t>
                            </w:r>
                            <w:r w:rsidR="00C24142">
                              <w:t>2</w:t>
                            </w:r>
                            <w:r>
                              <w:t> mld zł (</w:t>
                            </w:r>
                            <w:r w:rsidR="00537D12">
                              <w:t>przy wzroście kredytów</w:t>
                            </w:r>
                            <w:r>
                              <w:t xml:space="preserve"> dla gospodarstw domowych o </w:t>
                            </w:r>
                            <w:r w:rsidR="00C24142">
                              <w:t>24</w:t>
                            </w:r>
                            <w:r>
                              <w:t>,</w:t>
                            </w:r>
                            <w:r w:rsidR="00C24142">
                              <w:t>8</w:t>
                            </w:r>
                            <w:r>
                              <w:t> mld zł</w:t>
                            </w:r>
                            <w:r w:rsidR="00537D12">
                              <w:t xml:space="preserve"> i jednoczesnym spadku kredytów dla przedsiębiorstw o 16,0 mld zł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8A3AB" id="Pole tekstowe 6" o:spid="_x0000_s1031" type="#_x0000_t202" style="position:absolute;margin-left:422.8pt;margin-top:62.9pt;width:126.25pt;height:119.1pt;z-index:-251553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" filled="f" stroked="f">
                <v:textbox>
                  <w:txbxContent>
                    <w:p w:rsidR="00EF7EBB" w:rsidRDefault="00EF7EBB" w:rsidP="00EF7EBB">
                      <w:pPr>
                        <w:pStyle w:val="tekstzboku"/>
                        <w:spacing w:before="0"/>
                        <w:rPr>
                          <w:bCs w:val="0"/>
                        </w:rPr>
                      </w:pPr>
                      <w:r>
                        <w:t xml:space="preserve">Wartość kredytów dla sektora niefinansowego zwiększyła się o </w:t>
                      </w:r>
                      <w:r w:rsidR="00C24142">
                        <w:t>9</w:t>
                      </w:r>
                      <w:r>
                        <w:t>,</w:t>
                      </w:r>
                      <w:r w:rsidR="00C24142">
                        <w:t>2</w:t>
                      </w:r>
                      <w:r>
                        <w:t> mld zł (</w:t>
                      </w:r>
                      <w:r w:rsidR="00537D12">
                        <w:t>przy wzroście kredytów</w:t>
                      </w:r>
                      <w:r>
                        <w:t xml:space="preserve"> dla gospodarstw domowych o </w:t>
                      </w:r>
                      <w:r w:rsidR="00C24142">
                        <w:t>24</w:t>
                      </w:r>
                      <w:r>
                        <w:t>,</w:t>
                      </w:r>
                      <w:r w:rsidR="00C24142">
                        <w:t>8</w:t>
                      </w:r>
                      <w:r>
                        <w:t> mld zł</w:t>
                      </w:r>
                      <w:r w:rsidR="00537D12">
                        <w:t xml:space="preserve"> i jednoczesnym spadku kredytów dla przedsiębiorstw o 16,0 mld zł</w:t>
                      </w:r>
                      <w: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F7EBB">
        <w:rPr>
          <w:rFonts w:eastAsia="Fira Sans Light" w:cs="Times New Roman"/>
          <w:b/>
          <w:spacing w:val="-2"/>
          <w:sz w:val="18"/>
          <w:shd w:val="clear" w:color="auto" w:fill="FFFFFF"/>
        </w:rPr>
        <w:t>Tablica 3. Kredyty</w:t>
      </w:r>
      <w:r w:rsidRPr="00EF7EBB">
        <w:rPr>
          <w:rFonts w:eastAsia="Fira Sans Light" w:cs="Times New Roman"/>
          <w:b/>
          <w:spacing w:val="-2"/>
          <w:sz w:val="18"/>
          <w:shd w:val="clear" w:color="auto" w:fill="FFFFFF"/>
          <w:vertAlign w:val="superscript"/>
        </w:rPr>
        <w:footnoteReference w:id="3"/>
      </w:r>
      <w:r w:rsidRPr="00EF7EBB">
        <w:rPr>
          <w:rFonts w:eastAsia="Fira Sans Light" w:cs="Times New Roman"/>
          <w:b/>
          <w:spacing w:val="-2"/>
          <w:sz w:val="18"/>
          <w:shd w:val="clear" w:color="auto" w:fill="FFFFFF"/>
        </w:rPr>
        <w:t xml:space="preserve"> dla sektora niefinansowego oraz instytucji rządowych i samorządowych</w:t>
      </w:r>
    </w:p>
    <w:tbl>
      <w:tblPr>
        <w:tblStyle w:val="GridTableLight12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208"/>
        <w:gridCol w:w="1055"/>
        <w:gridCol w:w="1055"/>
        <w:gridCol w:w="870"/>
      </w:tblGrid>
      <w:tr w:rsidR="00EF7EBB" w:rsidRPr="00EF7EBB" w:rsidTr="009C7276">
        <w:trPr>
          <w:trHeight w:val="57"/>
        </w:trPr>
        <w:tc>
          <w:tcPr>
            <w:tcW w:w="5208" w:type="dxa"/>
            <w:vMerge w:val="restart"/>
            <w:vAlign w:val="center"/>
          </w:tcPr>
          <w:p w:rsidR="00EF7EBB" w:rsidRPr="00EF7EBB" w:rsidRDefault="00EF7EBB" w:rsidP="00EF7EBB">
            <w:pPr>
              <w:keepNext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EF7EBB"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1055" w:type="dxa"/>
            <w:vAlign w:val="center"/>
          </w:tcPr>
          <w:p w:rsidR="00EF7EBB" w:rsidRPr="00EF7EBB" w:rsidRDefault="00EF7EBB" w:rsidP="00EF7EBB">
            <w:pPr>
              <w:keepNext/>
              <w:keepLines/>
              <w:spacing w:before="0" w:after="0"/>
              <w:jc w:val="center"/>
              <w:outlineLvl w:val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F7EB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31 XII </w:t>
            </w:r>
            <w:r w:rsidR="003C3EE9">
              <w:rPr>
                <w:rFonts w:eastAsia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925" w:type="dxa"/>
            <w:gridSpan w:val="2"/>
            <w:vAlign w:val="center"/>
          </w:tcPr>
          <w:p w:rsidR="00EF7EBB" w:rsidRPr="00EF7EBB" w:rsidRDefault="00EF7EBB" w:rsidP="00EF7EBB">
            <w:pPr>
              <w:keepNext/>
              <w:keepLines/>
              <w:spacing w:before="0" w:after="0"/>
              <w:jc w:val="center"/>
              <w:outlineLvl w:val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F7EBB">
              <w:rPr>
                <w:rFonts w:eastAsia="Times New Roman" w:cs="Times New Roman"/>
                <w:color w:val="000000"/>
                <w:sz w:val="16"/>
                <w:szCs w:val="16"/>
              </w:rPr>
              <w:t>31 XII</w:t>
            </w:r>
            <w:r w:rsidR="003C3EE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2020</w:t>
            </w:r>
          </w:p>
        </w:tc>
      </w:tr>
      <w:tr w:rsidR="00EF7EBB" w:rsidRPr="00EF7EBB" w:rsidTr="009C7276">
        <w:trPr>
          <w:trHeight w:val="57"/>
        </w:trPr>
        <w:tc>
          <w:tcPr>
            <w:tcW w:w="5208" w:type="dxa"/>
            <w:vMerge/>
            <w:tcBorders>
              <w:bottom w:val="single" w:sz="12" w:space="0" w:color="212492"/>
            </w:tcBorders>
            <w:vAlign w:val="center"/>
          </w:tcPr>
          <w:p w:rsidR="00EF7EBB" w:rsidRPr="00EF7EBB" w:rsidRDefault="00EF7EBB" w:rsidP="00EF7EBB">
            <w:pPr>
              <w:keepNext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ascii="Fira Sans SemiBold" w:eastAsia="Times New Roman" w:hAnsi="Fira Sans SemiBold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gridSpan w:val="2"/>
            <w:tcBorders>
              <w:bottom w:val="single" w:sz="12" w:space="0" w:color="212492"/>
            </w:tcBorders>
            <w:vAlign w:val="center"/>
          </w:tcPr>
          <w:p w:rsidR="00EF7EBB" w:rsidRPr="00EF7EBB" w:rsidRDefault="00EF7EBB" w:rsidP="00EF7EBB">
            <w:pPr>
              <w:spacing w:before="0" w:after="0"/>
              <w:jc w:val="center"/>
              <w:rPr>
                <w:rFonts w:eastAsia="Fira Sans Light" w:cs="Times New Roman"/>
                <w:color w:val="000000"/>
                <w:sz w:val="16"/>
                <w:szCs w:val="16"/>
              </w:rPr>
            </w:pPr>
            <w:r w:rsidRPr="00EF7EBB">
              <w:rPr>
                <w:rFonts w:eastAsia="Fira Sans Light" w:cs="Times New Roman"/>
                <w:color w:val="000000"/>
                <w:sz w:val="16"/>
                <w:szCs w:val="16"/>
              </w:rPr>
              <w:t>w mln zł</w:t>
            </w:r>
          </w:p>
        </w:tc>
        <w:tc>
          <w:tcPr>
            <w:tcW w:w="870" w:type="dxa"/>
            <w:tcBorders>
              <w:bottom w:val="single" w:sz="12" w:space="0" w:color="212492"/>
            </w:tcBorders>
            <w:vAlign w:val="center"/>
          </w:tcPr>
          <w:p w:rsidR="00EF7EBB" w:rsidRPr="00EF7EBB" w:rsidRDefault="00EF7EBB" w:rsidP="00EF7EBB">
            <w:pPr>
              <w:spacing w:before="0" w:after="0"/>
              <w:jc w:val="center"/>
              <w:rPr>
                <w:rFonts w:eastAsia="Fira Sans Light" w:cs="Times New Roman"/>
                <w:color w:val="000000"/>
                <w:sz w:val="16"/>
                <w:szCs w:val="16"/>
              </w:rPr>
            </w:pPr>
            <w:r w:rsidRPr="00EF7EBB">
              <w:rPr>
                <w:rFonts w:eastAsia="Fira Sans Light" w:cs="Times New Roman"/>
                <w:color w:val="000000"/>
                <w:sz w:val="16"/>
                <w:szCs w:val="16"/>
              </w:rPr>
              <w:t xml:space="preserve">31 XII </w:t>
            </w:r>
            <w:r w:rsidR="003C3EE9">
              <w:rPr>
                <w:rFonts w:eastAsia="Fira Sans Light" w:cs="Times New Roman"/>
                <w:color w:val="000000"/>
                <w:sz w:val="16"/>
                <w:szCs w:val="16"/>
              </w:rPr>
              <w:t>2019</w:t>
            </w:r>
            <w:r w:rsidRPr="00EF7EBB">
              <w:rPr>
                <w:rFonts w:eastAsia="Fira Sans Light" w:cs="Times New Roman"/>
                <w:color w:val="000000"/>
                <w:sz w:val="16"/>
                <w:szCs w:val="16"/>
              </w:rPr>
              <w:t>=100</w:t>
            </w:r>
          </w:p>
        </w:tc>
      </w:tr>
      <w:tr w:rsidR="00BD097B" w:rsidRPr="00EF7EBB" w:rsidTr="00396EA3">
        <w:trPr>
          <w:trHeight w:val="57"/>
        </w:trPr>
        <w:tc>
          <w:tcPr>
            <w:tcW w:w="5208" w:type="dxa"/>
            <w:vAlign w:val="center"/>
          </w:tcPr>
          <w:p w:rsidR="00BD097B" w:rsidRPr="00EF7EBB" w:rsidRDefault="00BD097B" w:rsidP="00BD097B">
            <w:pPr>
              <w:keepNext/>
              <w:tabs>
                <w:tab w:val="left" w:leader="dot" w:pos="6237"/>
              </w:tabs>
              <w:spacing w:before="0" w:after="0"/>
              <w:outlineLvl w:val="0"/>
              <w:rPr>
                <w:rFonts w:eastAsia="Times New Roman" w:cs="Arial"/>
                <w:kern w:val="36"/>
                <w:sz w:val="16"/>
                <w:szCs w:val="16"/>
              </w:rPr>
            </w:pPr>
            <w:r w:rsidRPr="00EF7EBB">
              <w:rPr>
                <w:rFonts w:eastAsia="Times New Roman" w:cs="Arial"/>
                <w:b/>
                <w:kern w:val="36"/>
                <w:sz w:val="16"/>
                <w:szCs w:val="16"/>
              </w:rPr>
              <w:t>Sektor niefinansowy</w:t>
            </w:r>
            <w:r w:rsidRPr="00EF7EBB">
              <w:rPr>
                <w:rFonts w:eastAsia="Times New Roman" w:cs="Arial"/>
                <w:kern w:val="36"/>
                <w:sz w:val="16"/>
                <w:szCs w:val="16"/>
              </w:rPr>
              <w:t>, w tym:</w:t>
            </w:r>
          </w:p>
        </w:tc>
        <w:tc>
          <w:tcPr>
            <w:tcW w:w="1055" w:type="dxa"/>
          </w:tcPr>
          <w:p w:rsidR="00BD097B" w:rsidRPr="00BD097B" w:rsidRDefault="00BD097B" w:rsidP="00BD097B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BD097B">
              <w:rPr>
                <w:b/>
                <w:sz w:val="16"/>
                <w:szCs w:val="16"/>
              </w:rPr>
              <w:t>1 130 718</w:t>
            </w:r>
          </w:p>
        </w:tc>
        <w:tc>
          <w:tcPr>
            <w:tcW w:w="1055" w:type="dxa"/>
          </w:tcPr>
          <w:p w:rsidR="00BD097B" w:rsidRPr="00BD097B" w:rsidRDefault="00BD097B" w:rsidP="00BD097B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BD097B">
              <w:rPr>
                <w:b/>
                <w:sz w:val="16"/>
                <w:szCs w:val="16"/>
              </w:rPr>
              <w:t>1 139 956</w:t>
            </w:r>
          </w:p>
        </w:tc>
        <w:tc>
          <w:tcPr>
            <w:tcW w:w="870" w:type="dxa"/>
          </w:tcPr>
          <w:p w:rsidR="00BD097B" w:rsidRPr="00BD097B" w:rsidRDefault="00BD097B" w:rsidP="00BD097B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BD097B">
              <w:rPr>
                <w:b/>
                <w:sz w:val="16"/>
                <w:szCs w:val="16"/>
              </w:rPr>
              <w:t>100,8</w:t>
            </w:r>
          </w:p>
        </w:tc>
      </w:tr>
      <w:tr w:rsidR="00BD097B" w:rsidRPr="00EF7EBB" w:rsidTr="00396EA3">
        <w:trPr>
          <w:trHeight w:val="57"/>
        </w:trPr>
        <w:tc>
          <w:tcPr>
            <w:tcW w:w="5208" w:type="dxa"/>
            <w:vAlign w:val="center"/>
          </w:tcPr>
          <w:p w:rsidR="00BD097B" w:rsidRPr="00EF7EBB" w:rsidRDefault="00BD097B" w:rsidP="002E6795">
            <w:pPr>
              <w:keepNext/>
              <w:tabs>
                <w:tab w:val="left" w:leader="dot" w:pos="6237"/>
              </w:tabs>
              <w:spacing w:before="0" w:after="0"/>
              <w:ind w:left="170"/>
              <w:outlineLvl w:val="0"/>
              <w:rPr>
                <w:rFonts w:eastAsia="Times New Roman" w:cs="Arial"/>
                <w:kern w:val="36"/>
                <w:sz w:val="16"/>
                <w:szCs w:val="16"/>
              </w:rPr>
            </w:pPr>
            <w:r w:rsidRPr="00EF7EBB">
              <w:rPr>
                <w:rFonts w:eastAsia="Times New Roman" w:cs="Arial"/>
                <w:kern w:val="36"/>
                <w:sz w:val="16"/>
                <w:szCs w:val="16"/>
              </w:rPr>
              <w:t>Przedsiębiorstwa</w:t>
            </w:r>
          </w:p>
        </w:tc>
        <w:tc>
          <w:tcPr>
            <w:tcW w:w="1055" w:type="dxa"/>
          </w:tcPr>
          <w:p w:rsidR="00BD097B" w:rsidRPr="00BD097B" w:rsidRDefault="00BD097B" w:rsidP="00BD097B">
            <w:pPr>
              <w:spacing w:before="0" w:after="0"/>
              <w:jc w:val="right"/>
              <w:rPr>
                <w:sz w:val="16"/>
                <w:szCs w:val="16"/>
              </w:rPr>
            </w:pPr>
            <w:r w:rsidRPr="00BD097B">
              <w:rPr>
                <w:sz w:val="16"/>
                <w:szCs w:val="16"/>
              </w:rPr>
              <w:t>383 193</w:t>
            </w:r>
          </w:p>
        </w:tc>
        <w:tc>
          <w:tcPr>
            <w:tcW w:w="1055" w:type="dxa"/>
          </w:tcPr>
          <w:p w:rsidR="00BD097B" w:rsidRPr="00BD097B" w:rsidRDefault="00BD097B" w:rsidP="00BD097B">
            <w:pPr>
              <w:spacing w:before="0" w:after="0"/>
              <w:jc w:val="right"/>
              <w:rPr>
                <w:sz w:val="16"/>
                <w:szCs w:val="16"/>
              </w:rPr>
            </w:pPr>
            <w:r w:rsidRPr="00BD097B">
              <w:rPr>
                <w:sz w:val="16"/>
                <w:szCs w:val="16"/>
              </w:rPr>
              <w:t>367 219</w:t>
            </w:r>
          </w:p>
        </w:tc>
        <w:tc>
          <w:tcPr>
            <w:tcW w:w="870" w:type="dxa"/>
          </w:tcPr>
          <w:p w:rsidR="00BD097B" w:rsidRPr="00BD097B" w:rsidRDefault="00BD097B" w:rsidP="00BD097B">
            <w:pPr>
              <w:spacing w:before="0" w:after="0"/>
              <w:jc w:val="right"/>
              <w:rPr>
                <w:sz w:val="16"/>
                <w:szCs w:val="16"/>
              </w:rPr>
            </w:pPr>
            <w:r w:rsidRPr="00BD097B">
              <w:rPr>
                <w:sz w:val="16"/>
                <w:szCs w:val="16"/>
              </w:rPr>
              <w:t>95,8</w:t>
            </w:r>
          </w:p>
        </w:tc>
      </w:tr>
      <w:tr w:rsidR="00BD097B" w:rsidRPr="00EF7EBB" w:rsidTr="00396EA3">
        <w:trPr>
          <w:trHeight w:val="57"/>
        </w:trPr>
        <w:tc>
          <w:tcPr>
            <w:tcW w:w="5208" w:type="dxa"/>
            <w:vAlign w:val="center"/>
          </w:tcPr>
          <w:p w:rsidR="00BD097B" w:rsidRPr="00EF7EBB" w:rsidRDefault="00BD097B" w:rsidP="00BD097B">
            <w:pPr>
              <w:tabs>
                <w:tab w:val="left" w:leader="dot" w:pos="6237"/>
              </w:tabs>
              <w:spacing w:before="0" w:after="0"/>
              <w:ind w:left="340"/>
              <w:rPr>
                <w:rFonts w:eastAsia="Times New Roman" w:cs="Arial"/>
                <w:sz w:val="16"/>
                <w:szCs w:val="16"/>
              </w:rPr>
            </w:pPr>
            <w:r w:rsidRPr="00EF7EBB">
              <w:rPr>
                <w:rFonts w:eastAsia="Times New Roman" w:cs="Arial"/>
                <w:sz w:val="16"/>
                <w:szCs w:val="16"/>
              </w:rPr>
              <w:t>Duże przedsiębiorstwa</w:t>
            </w:r>
          </w:p>
        </w:tc>
        <w:tc>
          <w:tcPr>
            <w:tcW w:w="1055" w:type="dxa"/>
          </w:tcPr>
          <w:p w:rsidR="00BD097B" w:rsidRPr="00BD097B" w:rsidRDefault="00BD097B" w:rsidP="00BD097B">
            <w:pPr>
              <w:spacing w:before="0" w:after="0"/>
              <w:jc w:val="right"/>
              <w:rPr>
                <w:sz w:val="16"/>
                <w:szCs w:val="16"/>
              </w:rPr>
            </w:pPr>
            <w:r w:rsidRPr="00BD097B">
              <w:rPr>
                <w:sz w:val="16"/>
                <w:szCs w:val="16"/>
              </w:rPr>
              <w:t>177 974</w:t>
            </w:r>
          </w:p>
        </w:tc>
        <w:tc>
          <w:tcPr>
            <w:tcW w:w="1055" w:type="dxa"/>
          </w:tcPr>
          <w:p w:rsidR="00BD097B" w:rsidRPr="00BD097B" w:rsidRDefault="00BD097B" w:rsidP="00BD097B">
            <w:pPr>
              <w:spacing w:before="0" w:after="0"/>
              <w:jc w:val="right"/>
              <w:rPr>
                <w:sz w:val="16"/>
                <w:szCs w:val="16"/>
              </w:rPr>
            </w:pPr>
            <w:r w:rsidRPr="00BD097B">
              <w:rPr>
                <w:sz w:val="16"/>
                <w:szCs w:val="16"/>
              </w:rPr>
              <w:t>169 591</w:t>
            </w:r>
          </w:p>
        </w:tc>
        <w:tc>
          <w:tcPr>
            <w:tcW w:w="870" w:type="dxa"/>
          </w:tcPr>
          <w:p w:rsidR="00BD097B" w:rsidRPr="00BD097B" w:rsidRDefault="00BD097B" w:rsidP="00BD097B">
            <w:pPr>
              <w:spacing w:before="0" w:after="0"/>
              <w:jc w:val="right"/>
              <w:rPr>
                <w:sz w:val="16"/>
                <w:szCs w:val="16"/>
              </w:rPr>
            </w:pPr>
            <w:r w:rsidRPr="00BD097B">
              <w:rPr>
                <w:sz w:val="16"/>
                <w:szCs w:val="16"/>
              </w:rPr>
              <w:t>95,3</w:t>
            </w:r>
          </w:p>
        </w:tc>
      </w:tr>
      <w:tr w:rsidR="00BD097B" w:rsidRPr="00EF7EBB" w:rsidTr="00396EA3">
        <w:trPr>
          <w:trHeight w:val="57"/>
        </w:trPr>
        <w:tc>
          <w:tcPr>
            <w:tcW w:w="5208" w:type="dxa"/>
            <w:vAlign w:val="center"/>
          </w:tcPr>
          <w:p w:rsidR="00BD097B" w:rsidRPr="00EF7EBB" w:rsidRDefault="00BD097B" w:rsidP="001E25F5">
            <w:pPr>
              <w:tabs>
                <w:tab w:val="left" w:leader="dot" w:pos="6237"/>
              </w:tabs>
              <w:spacing w:before="0" w:after="0"/>
              <w:ind w:left="340"/>
              <w:rPr>
                <w:rFonts w:eastAsia="Times New Roman" w:cs="Arial"/>
                <w:sz w:val="16"/>
                <w:szCs w:val="16"/>
              </w:rPr>
            </w:pPr>
            <w:r w:rsidRPr="00EF7EBB">
              <w:rPr>
                <w:rFonts w:eastAsia="Times New Roman" w:cs="Arial"/>
                <w:sz w:val="16"/>
                <w:szCs w:val="16"/>
              </w:rPr>
              <w:t>MŚP</w:t>
            </w:r>
          </w:p>
        </w:tc>
        <w:tc>
          <w:tcPr>
            <w:tcW w:w="1055" w:type="dxa"/>
          </w:tcPr>
          <w:p w:rsidR="00BD097B" w:rsidRPr="00BD097B" w:rsidRDefault="00BD097B" w:rsidP="00BD097B">
            <w:pPr>
              <w:spacing w:before="0" w:after="0"/>
              <w:jc w:val="right"/>
              <w:rPr>
                <w:sz w:val="16"/>
                <w:szCs w:val="16"/>
              </w:rPr>
            </w:pPr>
            <w:r w:rsidRPr="00BD097B">
              <w:rPr>
                <w:sz w:val="16"/>
                <w:szCs w:val="16"/>
              </w:rPr>
              <w:t>205 219</w:t>
            </w:r>
          </w:p>
        </w:tc>
        <w:tc>
          <w:tcPr>
            <w:tcW w:w="1055" w:type="dxa"/>
          </w:tcPr>
          <w:p w:rsidR="00BD097B" w:rsidRPr="00BD097B" w:rsidRDefault="00BD097B" w:rsidP="00BD097B">
            <w:pPr>
              <w:spacing w:before="0" w:after="0"/>
              <w:jc w:val="right"/>
              <w:rPr>
                <w:sz w:val="16"/>
                <w:szCs w:val="16"/>
              </w:rPr>
            </w:pPr>
            <w:r w:rsidRPr="00BD097B">
              <w:rPr>
                <w:sz w:val="16"/>
                <w:szCs w:val="16"/>
              </w:rPr>
              <w:t>197 629</w:t>
            </w:r>
          </w:p>
        </w:tc>
        <w:tc>
          <w:tcPr>
            <w:tcW w:w="870" w:type="dxa"/>
          </w:tcPr>
          <w:p w:rsidR="00BD097B" w:rsidRPr="00BD097B" w:rsidRDefault="00BD097B" w:rsidP="00BD097B">
            <w:pPr>
              <w:spacing w:before="0" w:after="0"/>
              <w:jc w:val="right"/>
              <w:rPr>
                <w:sz w:val="16"/>
                <w:szCs w:val="16"/>
              </w:rPr>
            </w:pPr>
            <w:r w:rsidRPr="00BD097B">
              <w:rPr>
                <w:sz w:val="16"/>
                <w:szCs w:val="16"/>
              </w:rPr>
              <w:t>96,3</w:t>
            </w:r>
          </w:p>
        </w:tc>
      </w:tr>
      <w:tr w:rsidR="00BD097B" w:rsidRPr="00EF7EBB" w:rsidTr="00396EA3">
        <w:trPr>
          <w:trHeight w:val="57"/>
        </w:trPr>
        <w:tc>
          <w:tcPr>
            <w:tcW w:w="5208" w:type="dxa"/>
            <w:vAlign w:val="center"/>
          </w:tcPr>
          <w:p w:rsidR="00BD097B" w:rsidRPr="00EF7EBB" w:rsidRDefault="00BD097B" w:rsidP="00BD097B">
            <w:pPr>
              <w:keepNext/>
              <w:tabs>
                <w:tab w:val="left" w:leader="dot" w:pos="6237"/>
              </w:tabs>
              <w:spacing w:before="0" w:after="0"/>
              <w:ind w:left="176"/>
              <w:outlineLvl w:val="0"/>
              <w:rPr>
                <w:rFonts w:eastAsia="Times New Roman" w:cs="Arial"/>
                <w:kern w:val="36"/>
                <w:sz w:val="16"/>
                <w:szCs w:val="16"/>
              </w:rPr>
            </w:pPr>
            <w:r w:rsidRPr="00EF7EBB">
              <w:rPr>
                <w:rFonts w:eastAsia="Times New Roman" w:cs="Arial"/>
                <w:kern w:val="36"/>
                <w:sz w:val="16"/>
                <w:szCs w:val="16"/>
              </w:rPr>
              <w:t>Gospodarstwa domowe, w tym:</w:t>
            </w:r>
          </w:p>
        </w:tc>
        <w:tc>
          <w:tcPr>
            <w:tcW w:w="1055" w:type="dxa"/>
          </w:tcPr>
          <w:p w:rsidR="00BD097B" w:rsidRPr="00BD097B" w:rsidRDefault="00BD097B" w:rsidP="00BD097B">
            <w:pPr>
              <w:spacing w:before="0" w:after="0"/>
              <w:jc w:val="right"/>
              <w:rPr>
                <w:sz w:val="16"/>
                <w:szCs w:val="16"/>
              </w:rPr>
            </w:pPr>
            <w:r w:rsidRPr="00BD097B">
              <w:rPr>
                <w:sz w:val="16"/>
                <w:szCs w:val="16"/>
              </w:rPr>
              <w:t>739 939</w:t>
            </w:r>
          </w:p>
        </w:tc>
        <w:tc>
          <w:tcPr>
            <w:tcW w:w="1055" w:type="dxa"/>
          </w:tcPr>
          <w:p w:rsidR="00BD097B" w:rsidRPr="00BD097B" w:rsidRDefault="00BD097B" w:rsidP="00BD097B">
            <w:pPr>
              <w:spacing w:before="0" w:after="0"/>
              <w:jc w:val="right"/>
              <w:rPr>
                <w:sz w:val="16"/>
                <w:szCs w:val="16"/>
              </w:rPr>
            </w:pPr>
            <w:r w:rsidRPr="00BD097B">
              <w:rPr>
                <w:sz w:val="16"/>
                <w:szCs w:val="16"/>
              </w:rPr>
              <w:t>764 776</w:t>
            </w:r>
          </w:p>
        </w:tc>
        <w:tc>
          <w:tcPr>
            <w:tcW w:w="870" w:type="dxa"/>
          </w:tcPr>
          <w:p w:rsidR="00BD097B" w:rsidRPr="00BD097B" w:rsidRDefault="00BD097B" w:rsidP="00BD097B">
            <w:pPr>
              <w:spacing w:before="0" w:after="0"/>
              <w:jc w:val="right"/>
              <w:rPr>
                <w:sz w:val="16"/>
                <w:szCs w:val="16"/>
              </w:rPr>
            </w:pPr>
            <w:r w:rsidRPr="00BD097B">
              <w:rPr>
                <w:sz w:val="16"/>
                <w:szCs w:val="16"/>
              </w:rPr>
              <w:t>103,4</w:t>
            </w:r>
          </w:p>
        </w:tc>
      </w:tr>
      <w:tr w:rsidR="00BD097B" w:rsidRPr="00EF7EBB" w:rsidTr="00396EA3">
        <w:trPr>
          <w:trHeight w:val="57"/>
        </w:trPr>
        <w:tc>
          <w:tcPr>
            <w:tcW w:w="5208" w:type="dxa"/>
            <w:vAlign w:val="center"/>
          </w:tcPr>
          <w:p w:rsidR="00BD097B" w:rsidRPr="00EF7EBB" w:rsidRDefault="00BD097B" w:rsidP="00BD097B">
            <w:pPr>
              <w:keepNext/>
              <w:tabs>
                <w:tab w:val="left" w:leader="dot" w:pos="6237"/>
              </w:tabs>
              <w:spacing w:before="0" w:after="0"/>
              <w:ind w:left="340"/>
              <w:outlineLvl w:val="0"/>
              <w:rPr>
                <w:rFonts w:eastAsia="Times New Roman" w:cs="Arial"/>
                <w:kern w:val="36"/>
                <w:sz w:val="16"/>
                <w:szCs w:val="16"/>
              </w:rPr>
            </w:pPr>
            <w:r w:rsidRPr="00EF7EBB">
              <w:rPr>
                <w:rFonts w:eastAsia="Times New Roman" w:cs="Arial"/>
                <w:kern w:val="36"/>
                <w:sz w:val="16"/>
                <w:szCs w:val="16"/>
              </w:rPr>
              <w:t>mieszkaniowe</w:t>
            </w:r>
          </w:p>
        </w:tc>
        <w:tc>
          <w:tcPr>
            <w:tcW w:w="1055" w:type="dxa"/>
          </w:tcPr>
          <w:p w:rsidR="00BD097B" w:rsidRPr="00BD097B" w:rsidRDefault="00BD097B" w:rsidP="00BD097B">
            <w:pPr>
              <w:spacing w:before="0" w:after="0"/>
              <w:jc w:val="right"/>
              <w:rPr>
                <w:sz w:val="16"/>
                <w:szCs w:val="16"/>
              </w:rPr>
            </w:pPr>
            <w:r w:rsidRPr="00BD097B">
              <w:rPr>
                <w:sz w:val="16"/>
                <w:szCs w:val="16"/>
              </w:rPr>
              <w:t>445 265</w:t>
            </w:r>
          </w:p>
        </w:tc>
        <w:tc>
          <w:tcPr>
            <w:tcW w:w="1055" w:type="dxa"/>
          </w:tcPr>
          <w:p w:rsidR="00BD097B" w:rsidRPr="00BD097B" w:rsidRDefault="00BD097B" w:rsidP="00BD097B">
            <w:pPr>
              <w:spacing w:before="0" w:after="0"/>
              <w:jc w:val="right"/>
              <w:rPr>
                <w:sz w:val="16"/>
                <w:szCs w:val="16"/>
              </w:rPr>
            </w:pPr>
            <w:r w:rsidRPr="00BD097B">
              <w:rPr>
                <w:sz w:val="16"/>
                <w:szCs w:val="16"/>
              </w:rPr>
              <w:t>477 590</w:t>
            </w:r>
          </w:p>
        </w:tc>
        <w:tc>
          <w:tcPr>
            <w:tcW w:w="870" w:type="dxa"/>
          </w:tcPr>
          <w:p w:rsidR="00BD097B" w:rsidRPr="00BD097B" w:rsidRDefault="00BD097B" w:rsidP="00BD097B">
            <w:pPr>
              <w:spacing w:before="0" w:after="0"/>
              <w:jc w:val="right"/>
              <w:rPr>
                <w:sz w:val="16"/>
                <w:szCs w:val="16"/>
              </w:rPr>
            </w:pPr>
            <w:r w:rsidRPr="00BD097B">
              <w:rPr>
                <w:sz w:val="16"/>
                <w:szCs w:val="16"/>
              </w:rPr>
              <w:t>107,3</w:t>
            </w:r>
          </w:p>
        </w:tc>
      </w:tr>
      <w:tr w:rsidR="00BD097B" w:rsidRPr="00EF7EBB" w:rsidTr="00396EA3">
        <w:trPr>
          <w:trHeight w:val="57"/>
        </w:trPr>
        <w:tc>
          <w:tcPr>
            <w:tcW w:w="5208" w:type="dxa"/>
            <w:vAlign w:val="center"/>
          </w:tcPr>
          <w:p w:rsidR="00BD097B" w:rsidRPr="00EF7EBB" w:rsidRDefault="00BD097B" w:rsidP="00BD097B">
            <w:pPr>
              <w:keepNext/>
              <w:tabs>
                <w:tab w:val="left" w:leader="dot" w:pos="6237"/>
              </w:tabs>
              <w:spacing w:before="0" w:after="0"/>
              <w:ind w:left="340"/>
              <w:outlineLvl w:val="0"/>
              <w:rPr>
                <w:rFonts w:eastAsia="Times New Roman" w:cs="Arial"/>
                <w:kern w:val="36"/>
                <w:sz w:val="16"/>
                <w:szCs w:val="16"/>
              </w:rPr>
            </w:pPr>
            <w:r w:rsidRPr="00EF7EBB">
              <w:rPr>
                <w:rFonts w:eastAsia="Times New Roman" w:cs="Arial"/>
                <w:kern w:val="36"/>
                <w:sz w:val="16"/>
                <w:szCs w:val="16"/>
              </w:rPr>
              <w:t>konsumpcyjne dla osób prywatnych</w:t>
            </w:r>
          </w:p>
        </w:tc>
        <w:tc>
          <w:tcPr>
            <w:tcW w:w="1055" w:type="dxa"/>
          </w:tcPr>
          <w:p w:rsidR="00BD097B" w:rsidRPr="00BD097B" w:rsidRDefault="00BD097B" w:rsidP="00BD097B">
            <w:pPr>
              <w:spacing w:before="0" w:after="0"/>
              <w:jc w:val="right"/>
              <w:rPr>
                <w:sz w:val="16"/>
                <w:szCs w:val="16"/>
              </w:rPr>
            </w:pPr>
            <w:r w:rsidRPr="00BD097B">
              <w:rPr>
                <w:sz w:val="16"/>
                <w:szCs w:val="16"/>
              </w:rPr>
              <w:t>167 025</w:t>
            </w:r>
          </w:p>
        </w:tc>
        <w:tc>
          <w:tcPr>
            <w:tcW w:w="1055" w:type="dxa"/>
          </w:tcPr>
          <w:p w:rsidR="00BD097B" w:rsidRPr="00BD097B" w:rsidRDefault="00BD097B" w:rsidP="00BD097B">
            <w:pPr>
              <w:spacing w:before="0" w:after="0"/>
              <w:jc w:val="right"/>
              <w:rPr>
                <w:sz w:val="16"/>
                <w:szCs w:val="16"/>
              </w:rPr>
            </w:pPr>
            <w:r w:rsidRPr="00BD097B">
              <w:rPr>
                <w:sz w:val="16"/>
                <w:szCs w:val="16"/>
              </w:rPr>
              <w:t>166 226</w:t>
            </w:r>
          </w:p>
        </w:tc>
        <w:tc>
          <w:tcPr>
            <w:tcW w:w="870" w:type="dxa"/>
          </w:tcPr>
          <w:p w:rsidR="00BD097B" w:rsidRPr="00BD097B" w:rsidRDefault="00BD097B" w:rsidP="00BD097B">
            <w:pPr>
              <w:spacing w:before="0" w:after="0"/>
              <w:jc w:val="right"/>
              <w:rPr>
                <w:sz w:val="16"/>
                <w:szCs w:val="16"/>
              </w:rPr>
            </w:pPr>
            <w:r w:rsidRPr="00BD097B">
              <w:rPr>
                <w:sz w:val="16"/>
                <w:szCs w:val="16"/>
              </w:rPr>
              <w:t>99,5</w:t>
            </w:r>
          </w:p>
        </w:tc>
      </w:tr>
      <w:tr w:rsidR="00BD097B" w:rsidRPr="00EF7EBB" w:rsidTr="00396EA3">
        <w:trPr>
          <w:trHeight w:val="57"/>
        </w:trPr>
        <w:tc>
          <w:tcPr>
            <w:tcW w:w="5208" w:type="dxa"/>
            <w:vAlign w:val="center"/>
          </w:tcPr>
          <w:p w:rsidR="00BD097B" w:rsidRPr="00EF7EBB" w:rsidRDefault="00BD097B" w:rsidP="00BD097B">
            <w:pPr>
              <w:keepNext/>
              <w:tabs>
                <w:tab w:val="left" w:leader="dot" w:pos="6237"/>
              </w:tabs>
              <w:spacing w:before="0" w:after="0"/>
              <w:outlineLvl w:val="0"/>
              <w:rPr>
                <w:rFonts w:eastAsia="Times New Roman" w:cs="Arial"/>
                <w:kern w:val="36"/>
                <w:sz w:val="16"/>
                <w:szCs w:val="16"/>
              </w:rPr>
            </w:pPr>
            <w:r w:rsidRPr="00EF7EBB">
              <w:rPr>
                <w:rFonts w:eastAsia="Times New Roman" w:cs="Arial"/>
                <w:b/>
                <w:kern w:val="36"/>
                <w:sz w:val="16"/>
                <w:szCs w:val="16"/>
              </w:rPr>
              <w:t>Sektor instytucji rządowych i samorządowych</w:t>
            </w:r>
          </w:p>
        </w:tc>
        <w:tc>
          <w:tcPr>
            <w:tcW w:w="1055" w:type="dxa"/>
          </w:tcPr>
          <w:p w:rsidR="00BD097B" w:rsidRPr="00BD097B" w:rsidRDefault="00BD097B" w:rsidP="00BD097B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BD097B">
              <w:rPr>
                <w:b/>
                <w:sz w:val="16"/>
                <w:szCs w:val="16"/>
              </w:rPr>
              <w:t>88 002</w:t>
            </w:r>
          </w:p>
        </w:tc>
        <w:tc>
          <w:tcPr>
            <w:tcW w:w="1055" w:type="dxa"/>
          </w:tcPr>
          <w:p w:rsidR="00BD097B" w:rsidRPr="00BD097B" w:rsidRDefault="00BD097B" w:rsidP="00BD097B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BD097B">
              <w:rPr>
                <w:b/>
                <w:sz w:val="16"/>
                <w:szCs w:val="16"/>
              </w:rPr>
              <w:t>94 041</w:t>
            </w:r>
          </w:p>
        </w:tc>
        <w:tc>
          <w:tcPr>
            <w:tcW w:w="870" w:type="dxa"/>
          </w:tcPr>
          <w:p w:rsidR="00BD097B" w:rsidRPr="00BD097B" w:rsidRDefault="00BD097B" w:rsidP="00BD097B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BD097B">
              <w:rPr>
                <w:b/>
                <w:sz w:val="16"/>
                <w:szCs w:val="16"/>
              </w:rPr>
              <w:t>106,9</w:t>
            </w:r>
          </w:p>
        </w:tc>
      </w:tr>
    </w:tbl>
    <w:p w:rsidR="001E25F5" w:rsidRDefault="001E25F5">
      <w:pPr>
        <w:spacing w:before="0" w:after="160" w:line="259" w:lineRule="auto"/>
        <w:rPr>
          <w:rFonts w:eastAsia="Fira Sans Light" w:cs="Times New Roman"/>
          <w:spacing w:val="-2"/>
          <w:szCs w:val="19"/>
          <w:shd w:val="clear" w:color="auto" w:fill="FFFFFF"/>
        </w:rPr>
      </w:pPr>
      <w:r>
        <w:rPr>
          <w:rFonts w:eastAsia="Fira Sans Light" w:cs="Times New Roman"/>
          <w:spacing w:val="-2"/>
          <w:szCs w:val="19"/>
          <w:shd w:val="clear" w:color="auto" w:fill="FFFFFF"/>
        </w:rPr>
        <w:br w:type="page"/>
      </w:r>
    </w:p>
    <w:p w:rsidR="00A55AAF" w:rsidRDefault="00A55AAF">
      <w:pPr>
        <w:jc w:val="both"/>
        <w:rPr>
          <w:rFonts w:eastAsia="Fira Sans Light" w:cs="Times New Roman"/>
          <w:spacing w:val="-2"/>
          <w:szCs w:val="19"/>
          <w:shd w:val="clear" w:color="auto" w:fill="FFFFFF"/>
        </w:rPr>
      </w:pPr>
    </w:p>
    <w:p w:rsidR="00EF7EBB" w:rsidRPr="00EF7EBB" w:rsidRDefault="004F6D4E" w:rsidP="00EF7EBB">
      <w:pPr>
        <w:rPr>
          <w:rFonts w:eastAsia="Fira Sans Light" w:cs="Times New Roman"/>
          <w:spacing w:val="-2"/>
          <w:szCs w:val="19"/>
          <w:shd w:val="clear" w:color="auto" w:fill="FFFFFF"/>
        </w:rPr>
      </w:pPr>
      <w:r w:rsidRPr="004F6D4E">
        <w:rPr>
          <w:rFonts w:eastAsia="Fira Sans Light" w:cs="Times New Roman"/>
          <w:spacing w:val="-2"/>
          <w:szCs w:val="19"/>
          <w:shd w:val="clear" w:color="auto" w:fill="FFFFFF"/>
        </w:rPr>
        <w:t xml:space="preserve">Według stanu w dniu 31 grudnia 2020 r. </w:t>
      </w:r>
      <w:r>
        <w:rPr>
          <w:rFonts w:eastAsia="Fira Sans Light" w:cs="Times New Roman"/>
          <w:spacing w:val="-2"/>
          <w:szCs w:val="19"/>
          <w:shd w:val="clear" w:color="auto" w:fill="FFFFFF"/>
        </w:rPr>
        <w:t>k</w:t>
      </w:r>
      <w:r w:rsidR="00EF7EBB" w:rsidRPr="00EF7EBB">
        <w:rPr>
          <w:rFonts w:eastAsia="Fira Sans Light" w:cs="Times New Roman"/>
          <w:spacing w:val="-2"/>
          <w:szCs w:val="19"/>
          <w:shd w:val="clear" w:color="auto" w:fill="FFFFFF"/>
        </w:rPr>
        <w:t>redyty dla przedsiębi</w:t>
      </w:r>
      <w:r w:rsidR="00AC342C">
        <w:rPr>
          <w:rFonts w:eastAsia="Fira Sans Light" w:cs="Times New Roman"/>
          <w:spacing w:val="-2"/>
          <w:szCs w:val="19"/>
          <w:shd w:val="clear" w:color="auto" w:fill="FFFFFF"/>
        </w:rPr>
        <w:t xml:space="preserve">orstw </w:t>
      </w:r>
      <w:r>
        <w:rPr>
          <w:rFonts w:eastAsia="Fira Sans Light" w:cs="Times New Roman"/>
          <w:spacing w:val="-2"/>
          <w:szCs w:val="19"/>
          <w:shd w:val="clear" w:color="auto" w:fill="FFFFFF"/>
        </w:rPr>
        <w:t>należ</w:t>
      </w:r>
      <w:r w:rsidR="00AC342C">
        <w:rPr>
          <w:rFonts w:eastAsia="Fira Sans Light" w:cs="Times New Roman"/>
          <w:spacing w:val="-2"/>
          <w:szCs w:val="19"/>
          <w:shd w:val="clear" w:color="auto" w:fill="FFFFFF"/>
        </w:rPr>
        <w:t>ały w większości (53,8</w:t>
      </w:r>
      <w:r w:rsidR="00EF7EBB" w:rsidRPr="00EF7EBB">
        <w:rPr>
          <w:rFonts w:eastAsia="Fira Sans Light" w:cs="Times New Roman"/>
          <w:spacing w:val="-2"/>
          <w:szCs w:val="19"/>
          <w:shd w:val="clear" w:color="auto" w:fill="FFFFFF"/>
        </w:rPr>
        <w:t>%</w:t>
      </w:r>
      <w:r>
        <w:rPr>
          <w:rFonts w:eastAsia="Fira Sans Light" w:cs="Times New Roman"/>
          <w:spacing w:val="-2"/>
          <w:szCs w:val="19"/>
          <w:shd w:val="clear" w:color="auto" w:fill="FFFFFF"/>
        </w:rPr>
        <w:t>, o 0,2 p. proc. więcej niż rok wcześniej</w:t>
      </w:r>
      <w:r w:rsidR="00EF7EBB" w:rsidRPr="00EF7EBB">
        <w:rPr>
          <w:rFonts w:eastAsia="Fira Sans Light" w:cs="Times New Roman"/>
          <w:spacing w:val="-2"/>
          <w:szCs w:val="19"/>
          <w:shd w:val="clear" w:color="auto" w:fill="FFFFFF"/>
        </w:rPr>
        <w:t xml:space="preserve">) </w:t>
      </w:r>
      <w:r>
        <w:rPr>
          <w:rFonts w:eastAsia="Fira Sans Light" w:cs="Times New Roman"/>
          <w:spacing w:val="-2"/>
          <w:szCs w:val="19"/>
          <w:shd w:val="clear" w:color="auto" w:fill="FFFFFF"/>
        </w:rPr>
        <w:t>do</w:t>
      </w:r>
      <w:r w:rsidR="00EF7EBB" w:rsidRPr="00EF7EBB">
        <w:rPr>
          <w:rFonts w:eastAsia="Fira Sans Light" w:cs="Times New Roman"/>
          <w:spacing w:val="-2"/>
          <w:szCs w:val="19"/>
          <w:shd w:val="clear" w:color="auto" w:fill="FFFFFF"/>
        </w:rPr>
        <w:t xml:space="preserve"> MŚP. </w:t>
      </w:r>
      <w:r>
        <w:rPr>
          <w:rFonts w:eastAsia="Fira Sans Light" w:cs="Times New Roman"/>
          <w:spacing w:val="-2"/>
          <w:szCs w:val="19"/>
          <w:shd w:val="clear" w:color="auto" w:fill="FFFFFF"/>
        </w:rPr>
        <w:t>Natomiast, k</w:t>
      </w:r>
      <w:r w:rsidR="00EF7EBB" w:rsidRPr="00EF7EBB">
        <w:rPr>
          <w:rFonts w:eastAsia="Fira Sans Light" w:cs="Times New Roman"/>
          <w:spacing w:val="-2"/>
          <w:szCs w:val="19"/>
          <w:shd w:val="clear" w:color="auto" w:fill="FFFFFF"/>
        </w:rPr>
        <w:t xml:space="preserve">redyty na nieruchomości mieszkaniowe (w </w:t>
      </w:r>
      <w:r w:rsidR="00C7184A">
        <w:rPr>
          <w:rFonts w:eastAsia="Fira Sans Light" w:cs="Times New Roman"/>
          <w:spacing w:val="-2"/>
          <w:szCs w:val="19"/>
          <w:shd w:val="clear" w:color="auto" w:fill="FFFFFF"/>
        </w:rPr>
        <w:t>tym 9</w:t>
      </w:r>
      <w:r w:rsidR="00AC342C">
        <w:rPr>
          <w:rFonts w:eastAsia="Fira Sans Light" w:cs="Times New Roman"/>
          <w:spacing w:val="-2"/>
          <w:szCs w:val="19"/>
          <w:shd w:val="clear" w:color="auto" w:fill="FFFFFF"/>
        </w:rPr>
        <w:t>7</w:t>
      </w:r>
      <w:r w:rsidR="00C7184A">
        <w:rPr>
          <w:rFonts w:eastAsia="Fira Sans Light" w:cs="Times New Roman"/>
          <w:spacing w:val="-2"/>
          <w:szCs w:val="19"/>
          <w:shd w:val="clear" w:color="auto" w:fill="FFFFFF"/>
        </w:rPr>
        <w:t>,</w:t>
      </w:r>
      <w:r w:rsidR="00AC342C">
        <w:rPr>
          <w:rFonts w:eastAsia="Fira Sans Light" w:cs="Times New Roman"/>
          <w:spacing w:val="-2"/>
          <w:szCs w:val="19"/>
          <w:shd w:val="clear" w:color="auto" w:fill="FFFFFF"/>
        </w:rPr>
        <w:t>0</w:t>
      </w:r>
      <w:r w:rsidR="00C7184A">
        <w:rPr>
          <w:rFonts w:eastAsia="Fira Sans Light" w:cs="Times New Roman"/>
          <w:spacing w:val="-2"/>
          <w:szCs w:val="19"/>
          <w:shd w:val="clear" w:color="auto" w:fill="FFFFFF"/>
        </w:rPr>
        <w:t> mld zł powiązane z kursem</w:t>
      </w:r>
      <w:r w:rsidR="00EF7EBB" w:rsidRPr="00EF7EBB">
        <w:rPr>
          <w:rFonts w:eastAsia="Fira Sans Light" w:cs="Times New Roman"/>
          <w:spacing w:val="-2"/>
          <w:szCs w:val="19"/>
          <w:shd w:val="clear" w:color="auto" w:fill="FFFFFF"/>
        </w:rPr>
        <w:t xml:space="preserve"> CHF</w:t>
      </w:r>
      <w:r w:rsidR="00AC342C">
        <w:rPr>
          <w:rFonts w:eastAsia="Fira Sans Light" w:cs="Times New Roman"/>
          <w:spacing w:val="-2"/>
          <w:szCs w:val="19"/>
          <w:shd w:val="clear" w:color="auto" w:fill="FFFFFF"/>
        </w:rPr>
        <w:t>/PLN</w:t>
      </w:r>
      <w:r w:rsidR="00EF7EBB" w:rsidRPr="00EF7EBB">
        <w:rPr>
          <w:rFonts w:eastAsia="Fira Sans Light" w:cs="Times New Roman"/>
          <w:spacing w:val="-2"/>
          <w:szCs w:val="19"/>
          <w:shd w:val="clear" w:color="auto" w:fill="FFFFFF"/>
        </w:rPr>
        <w:t>) oraz kredyty konsumpcyjne osób prywatnych stanowiły łącznie 8</w:t>
      </w:r>
      <w:r w:rsidR="00AC342C">
        <w:rPr>
          <w:rFonts w:eastAsia="Fira Sans Light" w:cs="Times New Roman"/>
          <w:spacing w:val="-2"/>
          <w:szCs w:val="19"/>
          <w:shd w:val="clear" w:color="auto" w:fill="FFFFFF"/>
        </w:rPr>
        <w:t>4</w:t>
      </w:r>
      <w:r w:rsidR="00EF7EBB" w:rsidRPr="00EF7EBB">
        <w:rPr>
          <w:rFonts w:eastAsia="Fira Sans Light" w:cs="Times New Roman"/>
          <w:spacing w:val="-2"/>
          <w:szCs w:val="19"/>
          <w:shd w:val="clear" w:color="auto" w:fill="FFFFFF"/>
        </w:rPr>
        <w:t>,</w:t>
      </w:r>
      <w:r w:rsidR="00AC342C">
        <w:rPr>
          <w:rFonts w:eastAsia="Fira Sans Light" w:cs="Times New Roman"/>
          <w:spacing w:val="-2"/>
          <w:szCs w:val="19"/>
          <w:shd w:val="clear" w:color="auto" w:fill="FFFFFF"/>
        </w:rPr>
        <w:t>2</w:t>
      </w:r>
      <w:r w:rsidR="00EF7EBB" w:rsidRPr="00EF7EBB">
        <w:rPr>
          <w:rFonts w:eastAsia="Fira Sans Light" w:cs="Times New Roman"/>
          <w:spacing w:val="-2"/>
          <w:szCs w:val="19"/>
          <w:shd w:val="clear" w:color="auto" w:fill="FFFFFF"/>
        </w:rPr>
        <w:t xml:space="preserve">% </w:t>
      </w:r>
      <w:r>
        <w:rPr>
          <w:rFonts w:eastAsia="Fira Sans Light" w:cs="Times New Roman"/>
          <w:spacing w:val="-2"/>
          <w:szCs w:val="19"/>
          <w:shd w:val="clear" w:color="auto" w:fill="FFFFFF"/>
        </w:rPr>
        <w:t xml:space="preserve">(wzrost o 1,5 p. proc.) </w:t>
      </w:r>
      <w:r w:rsidR="00EF7EBB" w:rsidRPr="00EF7EBB">
        <w:rPr>
          <w:rFonts w:eastAsia="Fira Sans Light" w:cs="Times New Roman"/>
          <w:spacing w:val="-2"/>
          <w:szCs w:val="19"/>
          <w:shd w:val="clear" w:color="auto" w:fill="FFFFFF"/>
        </w:rPr>
        <w:t>kredytów gospodarstw domowych.</w:t>
      </w:r>
    </w:p>
    <w:p w:rsidR="00EF7EBB" w:rsidRPr="00EF7EBB" w:rsidRDefault="00EF7EBB" w:rsidP="00EF7EBB">
      <w:pPr>
        <w:spacing w:before="240"/>
        <w:rPr>
          <w:rFonts w:eastAsia="Fira Sans Light" w:cs="Times New Roman"/>
          <w:sz w:val="18"/>
        </w:rPr>
      </w:pPr>
      <w:r w:rsidRPr="00EF7EBB">
        <w:rPr>
          <w:rFonts w:eastAsia="Times New Roman" w:cs="Times New Roman"/>
          <w:b/>
          <w:bCs/>
          <w:noProof/>
          <w:color w:val="001D77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65760" behindDoc="1" locked="0" layoutInCell="1" allowOverlap="1" wp14:anchorId="4D7181F6" wp14:editId="16938AD8">
                <wp:simplePos x="0" y="0"/>
                <wp:positionH relativeFrom="column">
                  <wp:posOffset>5400648</wp:posOffset>
                </wp:positionH>
                <wp:positionV relativeFrom="paragraph">
                  <wp:posOffset>1621263</wp:posOffset>
                </wp:positionV>
                <wp:extent cx="1593850" cy="1184275"/>
                <wp:effectExtent l="0" t="0" r="0" b="0"/>
                <wp:wrapTight wrapText="bothSides">
                  <wp:wrapPolygon edited="0">
                    <wp:start x="775" y="0"/>
                    <wp:lineTo x="775" y="21195"/>
                    <wp:lineTo x="20653" y="21195"/>
                    <wp:lineTo x="20653" y="0"/>
                    <wp:lineTo x="775" y="0"/>
                  </wp:wrapPolygon>
                </wp:wrapTight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1184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EBB" w:rsidRDefault="004D1D64" w:rsidP="00EF7EBB">
                            <w:pPr>
                              <w:pStyle w:val="tekstzboku"/>
                              <w:spacing w:before="0"/>
                            </w:pPr>
                            <w:r>
                              <w:t>Wartość</w:t>
                            </w:r>
                            <w:r w:rsidR="00EF7EBB">
                              <w:t xml:space="preserve"> depozytów sektora niefinansowego </w:t>
                            </w:r>
                            <w:r>
                              <w:t xml:space="preserve">zwiększyła się </w:t>
                            </w:r>
                            <w:r w:rsidR="00EF7EBB">
                              <w:t>o</w:t>
                            </w:r>
                            <w:r>
                              <w:t> </w:t>
                            </w:r>
                            <w:r w:rsidR="00EF7EBB">
                              <w:t>1</w:t>
                            </w:r>
                            <w:r w:rsidR="00C24142">
                              <w:t>62</w:t>
                            </w:r>
                            <w:r w:rsidR="00EF7EBB">
                              <w:t>,1 mld zł</w:t>
                            </w:r>
                            <w:r>
                              <w:t>, a</w:t>
                            </w:r>
                            <w:r w:rsidR="00EF7EBB">
                              <w:t xml:space="preserve"> </w:t>
                            </w:r>
                            <w:r w:rsidR="00EF7EBB" w:rsidRPr="00B91DD1">
                              <w:t xml:space="preserve">depozytów </w:t>
                            </w:r>
                            <w:r w:rsidR="00EF7EBB">
                              <w:t>sektora instytucji rządowych i samorządowych o </w:t>
                            </w:r>
                            <w:r w:rsidR="00C24142">
                              <w:t>35</w:t>
                            </w:r>
                            <w:r w:rsidR="00EF7EBB">
                              <w:t>,</w:t>
                            </w:r>
                            <w:r w:rsidR="000B6F4B">
                              <w:t>1</w:t>
                            </w:r>
                            <w:r w:rsidR="00EF7EBB">
                              <w:t> mld 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181F6" id="Pole tekstowe 17" o:spid="_x0000_s1032" type="#_x0000_t202" style="position:absolute;margin-left:425.25pt;margin-top:127.65pt;width:125.5pt;height:93.25pt;z-index:-251550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" filled="f" stroked="f">
                <v:textbox>
                  <w:txbxContent>
                    <w:p w:rsidR="00EF7EBB" w:rsidRDefault="004D1D64" w:rsidP="00EF7EBB">
                      <w:pPr>
                        <w:pStyle w:val="tekstzboku"/>
                        <w:spacing w:before="0"/>
                      </w:pPr>
                      <w:r>
                        <w:t>Wartość</w:t>
                      </w:r>
                      <w:r w:rsidR="00EF7EBB">
                        <w:t xml:space="preserve"> depozytów sektora niefinansowego </w:t>
                      </w:r>
                      <w:r>
                        <w:t xml:space="preserve">zwiększyła się </w:t>
                      </w:r>
                      <w:r w:rsidR="00EF7EBB">
                        <w:t>o</w:t>
                      </w:r>
                      <w:r>
                        <w:t> </w:t>
                      </w:r>
                      <w:r w:rsidR="00EF7EBB">
                        <w:t>1</w:t>
                      </w:r>
                      <w:r w:rsidR="00C24142">
                        <w:t>62</w:t>
                      </w:r>
                      <w:r w:rsidR="00EF7EBB">
                        <w:t>,1 mld zł</w:t>
                      </w:r>
                      <w:r>
                        <w:t>, a</w:t>
                      </w:r>
                      <w:r w:rsidR="00EF7EBB">
                        <w:t xml:space="preserve"> </w:t>
                      </w:r>
                      <w:r w:rsidR="00EF7EBB" w:rsidRPr="00B91DD1">
                        <w:t xml:space="preserve">depozytów </w:t>
                      </w:r>
                      <w:r w:rsidR="00EF7EBB">
                        <w:t>sektora instytucji rządowych i samorządowych o </w:t>
                      </w:r>
                      <w:r w:rsidR="00C24142">
                        <w:t>35</w:t>
                      </w:r>
                      <w:r w:rsidR="00EF7EBB">
                        <w:t>,</w:t>
                      </w:r>
                      <w:r w:rsidR="000B6F4B">
                        <w:t>1</w:t>
                      </w:r>
                      <w:r w:rsidR="00EF7EBB">
                        <w:t> mld zł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F7EBB">
        <w:rPr>
          <w:rFonts w:eastAsia="Fira Sans Light" w:cs="Times New Roman"/>
          <w:b/>
          <w:spacing w:val="-2"/>
          <w:sz w:val="18"/>
          <w:shd w:val="clear" w:color="auto" w:fill="FFFFFF"/>
        </w:rPr>
        <w:t>Tablica 4. Depozyty sektora niefinansowego oraz sektora instytucji rządowych i samorządowych</w:t>
      </w:r>
    </w:p>
    <w:tbl>
      <w:tblPr>
        <w:tblStyle w:val="GridTableLight13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208"/>
        <w:gridCol w:w="1055"/>
        <w:gridCol w:w="1055"/>
        <w:gridCol w:w="870"/>
      </w:tblGrid>
      <w:tr w:rsidR="00EF7EBB" w:rsidRPr="00EF7EBB" w:rsidTr="009C7276">
        <w:trPr>
          <w:trHeight w:val="57"/>
        </w:trPr>
        <w:tc>
          <w:tcPr>
            <w:tcW w:w="5208" w:type="dxa"/>
            <w:vMerge w:val="restart"/>
            <w:vAlign w:val="center"/>
          </w:tcPr>
          <w:p w:rsidR="00EF7EBB" w:rsidRPr="00EF7EBB" w:rsidRDefault="00EF7EBB" w:rsidP="00EF7EBB">
            <w:pPr>
              <w:keepNext/>
              <w:tabs>
                <w:tab w:val="right" w:leader="dot" w:pos="4139"/>
              </w:tabs>
              <w:spacing w:before="240" w:line="240" w:lineRule="auto"/>
              <w:jc w:val="center"/>
              <w:outlineLvl w:val="0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EF7EBB"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1055" w:type="dxa"/>
            <w:vAlign w:val="center"/>
          </w:tcPr>
          <w:p w:rsidR="00EF7EBB" w:rsidRPr="00EF7EBB" w:rsidRDefault="00EF7EBB" w:rsidP="00EF7EBB">
            <w:pPr>
              <w:keepNext/>
              <w:keepLines/>
              <w:spacing w:before="0" w:after="0"/>
              <w:jc w:val="center"/>
              <w:outlineLvl w:val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F7EB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31 XII </w:t>
            </w:r>
            <w:r w:rsidR="003C3EE9">
              <w:rPr>
                <w:rFonts w:eastAsia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925" w:type="dxa"/>
            <w:gridSpan w:val="2"/>
            <w:vAlign w:val="center"/>
          </w:tcPr>
          <w:p w:rsidR="00EF7EBB" w:rsidRPr="00EF7EBB" w:rsidRDefault="00EF7EBB" w:rsidP="00EF7EBB">
            <w:pPr>
              <w:keepNext/>
              <w:keepLines/>
              <w:spacing w:before="0" w:after="0"/>
              <w:jc w:val="center"/>
              <w:outlineLvl w:val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F7EBB">
              <w:rPr>
                <w:rFonts w:eastAsia="Times New Roman" w:cs="Times New Roman"/>
                <w:color w:val="000000"/>
                <w:sz w:val="16"/>
                <w:szCs w:val="16"/>
              </w:rPr>
              <w:t>31 XII</w:t>
            </w:r>
            <w:r w:rsidR="003C3EE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2020</w:t>
            </w:r>
          </w:p>
        </w:tc>
      </w:tr>
      <w:tr w:rsidR="00EF7EBB" w:rsidRPr="00EF7EBB" w:rsidTr="009C7276">
        <w:trPr>
          <w:trHeight w:val="57"/>
        </w:trPr>
        <w:tc>
          <w:tcPr>
            <w:tcW w:w="5208" w:type="dxa"/>
            <w:vMerge/>
            <w:tcBorders>
              <w:bottom w:val="single" w:sz="12" w:space="0" w:color="212492"/>
            </w:tcBorders>
            <w:vAlign w:val="center"/>
          </w:tcPr>
          <w:p w:rsidR="00EF7EBB" w:rsidRPr="00EF7EBB" w:rsidRDefault="00EF7EBB" w:rsidP="00EF7EBB">
            <w:pPr>
              <w:keepNext/>
              <w:tabs>
                <w:tab w:val="right" w:leader="dot" w:pos="4139"/>
              </w:tabs>
              <w:spacing w:before="240" w:line="240" w:lineRule="auto"/>
              <w:jc w:val="center"/>
              <w:outlineLvl w:val="0"/>
              <w:rPr>
                <w:rFonts w:ascii="Fira Sans SemiBold" w:eastAsia="Times New Roman" w:hAnsi="Fira Sans SemiBold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gridSpan w:val="2"/>
            <w:tcBorders>
              <w:bottom w:val="single" w:sz="12" w:space="0" w:color="212492"/>
            </w:tcBorders>
            <w:vAlign w:val="center"/>
          </w:tcPr>
          <w:p w:rsidR="00EF7EBB" w:rsidRPr="00EF7EBB" w:rsidRDefault="00EF7EBB" w:rsidP="00EF7EBB">
            <w:pPr>
              <w:spacing w:before="0" w:after="0"/>
              <w:jc w:val="center"/>
              <w:rPr>
                <w:rFonts w:eastAsia="Fira Sans Light" w:cs="Times New Roman"/>
                <w:color w:val="000000"/>
                <w:sz w:val="16"/>
                <w:szCs w:val="16"/>
              </w:rPr>
            </w:pPr>
            <w:r w:rsidRPr="00EF7EBB">
              <w:rPr>
                <w:rFonts w:eastAsia="Fira Sans Light" w:cs="Times New Roman"/>
                <w:color w:val="000000"/>
                <w:sz w:val="16"/>
                <w:szCs w:val="16"/>
              </w:rPr>
              <w:t>w mln zł</w:t>
            </w:r>
          </w:p>
        </w:tc>
        <w:tc>
          <w:tcPr>
            <w:tcW w:w="870" w:type="dxa"/>
            <w:tcBorders>
              <w:bottom w:val="single" w:sz="12" w:space="0" w:color="212492"/>
            </w:tcBorders>
            <w:vAlign w:val="center"/>
          </w:tcPr>
          <w:p w:rsidR="00EF7EBB" w:rsidRPr="00EF7EBB" w:rsidRDefault="00EF7EBB" w:rsidP="00EF7EBB">
            <w:pPr>
              <w:spacing w:before="0" w:after="0"/>
              <w:jc w:val="center"/>
              <w:rPr>
                <w:rFonts w:eastAsia="Fira Sans Light" w:cs="Times New Roman"/>
                <w:color w:val="000000"/>
                <w:sz w:val="16"/>
                <w:szCs w:val="16"/>
              </w:rPr>
            </w:pPr>
            <w:r w:rsidRPr="00EF7EBB">
              <w:rPr>
                <w:rFonts w:eastAsia="Fira Sans Light" w:cs="Times New Roman"/>
                <w:color w:val="000000"/>
                <w:sz w:val="16"/>
                <w:szCs w:val="16"/>
              </w:rPr>
              <w:t xml:space="preserve">31 XII </w:t>
            </w:r>
            <w:r w:rsidR="003C3EE9">
              <w:rPr>
                <w:rFonts w:eastAsia="Fira Sans Light" w:cs="Times New Roman"/>
                <w:color w:val="000000"/>
                <w:sz w:val="16"/>
                <w:szCs w:val="16"/>
              </w:rPr>
              <w:t>2019</w:t>
            </w:r>
            <w:r w:rsidRPr="00EF7EBB">
              <w:rPr>
                <w:rFonts w:eastAsia="Fira Sans Light" w:cs="Times New Roman"/>
                <w:color w:val="000000"/>
                <w:sz w:val="16"/>
                <w:szCs w:val="16"/>
              </w:rPr>
              <w:t>=100</w:t>
            </w:r>
          </w:p>
        </w:tc>
      </w:tr>
      <w:tr w:rsidR="006E00A1" w:rsidRPr="00EF7EBB" w:rsidTr="00072B1C">
        <w:trPr>
          <w:trHeight w:val="57"/>
        </w:trPr>
        <w:tc>
          <w:tcPr>
            <w:tcW w:w="5208" w:type="dxa"/>
            <w:tcBorders>
              <w:top w:val="single" w:sz="12" w:space="0" w:color="212492"/>
            </w:tcBorders>
            <w:vAlign w:val="center"/>
          </w:tcPr>
          <w:p w:rsidR="006E00A1" w:rsidRPr="00EF7EBB" w:rsidRDefault="006E00A1" w:rsidP="006E00A1">
            <w:pPr>
              <w:keepNext/>
              <w:tabs>
                <w:tab w:val="left" w:leader="dot" w:pos="6237"/>
              </w:tabs>
              <w:spacing w:before="0" w:after="0"/>
              <w:outlineLvl w:val="0"/>
              <w:rPr>
                <w:rFonts w:eastAsia="Times New Roman" w:cs="Arial"/>
                <w:b/>
                <w:bCs/>
                <w:kern w:val="36"/>
                <w:sz w:val="16"/>
                <w:szCs w:val="16"/>
              </w:rPr>
            </w:pPr>
            <w:r w:rsidRPr="00EF7EBB">
              <w:rPr>
                <w:rFonts w:eastAsia="Times New Roman" w:cs="Arial"/>
                <w:b/>
                <w:bCs/>
                <w:kern w:val="36"/>
                <w:sz w:val="16"/>
                <w:szCs w:val="16"/>
              </w:rPr>
              <w:t>Razem</w:t>
            </w:r>
          </w:p>
        </w:tc>
        <w:tc>
          <w:tcPr>
            <w:tcW w:w="1055" w:type="dxa"/>
            <w:tcBorders>
              <w:top w:val="single" w:sz="12" w:space="0" w:color="212492"/>
            </w:tcBorders>
          </w:tcPr>
          <w:p w:rsidR="006E00A1" w:rsidRPr="006E00A1" w:rsidRDefault="006E00A1" w:rsidP="006E00A1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6E00A1">
              <w:rPr>
                <w:b/>
                <w:sz w:val="16"/>
                <w:szCs w:val="16"/>
              </w:rPr>
              <w:t>1 347 527</w:t>
            </w:r>
          </w:p>
        </w:tc>
        <w:tc>
          <w:tcPr>
            <w:tcW w:w="1055" w:type="dxa"/>
            <w:tcBorders>
              <w:top w:val="single" w:sz="12" w:space="0" w:color="212492"/>
            </w:tcBorders>
          </w:tcPr>
          <w:p w:rsidR="006E00A1" w:rsidRPr="006E00A1" w:rsidRDefault="006E00A1" w:rsidP="006E00A1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6E00A1">
              <w:rPr>
                <w:b/>
                <w:sz w:val="16"/>
                <w:szCs w:val="16"/>
              </w:rPr>
              <w:t>1 544 652</w:t>
            </w:r>
          </w:p>
        </w:tc>
        <w:tc>
          <w:tcPr>
            <w:tcW w:w="870" w:type="dxa"/>
            <w:tcBorders>
              <w:top w:val="single" w:sz="12" w:space="0" w:color="212492"/>
            </w:tcBorders>
          </w:tcPr>
          <w:p w:rsidR="006E00A1" w:rsidRPr="006E00A1" w:rsidRDefault="006E00A1" w:rsidP="006E00A1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6E00A1">
              <w:rPr>
                <w:b/>
                <w:sz w:val="16"/>
                <w:szCs w:val="16"/>
              </w:rPr>
              <w:t>114,6</w:t>
            </w:r>
          </w:p>
        </w:tc>
      </w:tr>
      <w:tr w:rsidR="006E00A1" w:rsidRPr="00EF7EBB" w:rsidTr="00072B1C">
        <w:trPr>
          <w:trHeight w:val="57"/>
        </w:trPr>
        <w:tc>
          <w:tcPr>
            <w:tcW w:w="5208" w:type="dxa"/>
            <w:vAlign w:val="bottom"/>
          </w:tcPr>
          <w:p w:rsidR="006E00A1" w:rsidRPr="00EF7EBB" w:rsidRDefault="006E00A1" w:rsidP="006E00A1">
            <w:pPr>
              <w:keepNext/>
              <w:tabs>
                <w:tab w:val="left" w:leader="dot" w:pos="6237"/>
              </w:tabs>
              <w:spacing w:before="0" w:after="0"/>
              <w:ind w:left="170"/>
              <w:outlineLvl w:val="0"/>
              <w:rPr>
                <w:rFonts w:eastAsia="Times New Roman" w:cs="Arial"/>
                <w:kern w:val="36"/>
                <w:sz w:val="16"/>
                <w:szCs w:val="16"/>
              </w:rPr>
            </w:pPr>
            <w:r w:rsidRPr="00EF7EBB">
              <w:rPr>
                <w:rFonts w:eastAsia="Times New Roman" w:cs="Arial"/>
                <w:kern w:val="36"/>
                <w:sz w:val="16"/>
                <w:szCs w:val="16"/>
              </w:rPr>
              <w:t>bieżące</w:t>
            </w:r>
          </w:p>
        </w:tc>
        <w:tc>
          <w:tcPr>
            <w:tcW w:w="1055" w:type="dxa"/>
          </w:tcPr>
          <w:p w:rsidR="006E00A1" w:rsidRPr="006E00A1" w:rsidRDefault="006E00A1" w:rsidP="006E00A1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899 131</w:t>
            </w:r>
          </w:p>
        </w:tc>
        <w:tc>
          <w:tcPr>
            <w:tcW w:w="1055" w:type="dxa"/>
          </w:tcPr>
          <w:p w:rsidR="006E00A1" w:rsidRPr="006E00A1" w:rsidRDefault="006E00A1" w:rsidP="006E00A1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1 208 425</w:t>
            </w:r>
          </w:p>
        </w:tc>
        <w:tc>
          <w:tcPr>
            <w:tcW w:w="870" w:type="dxa"/>
          </w:tcPr>
          <w:p w:rsidR="006E00A1" w:rsidRPr="006E00A1" w:rsidRDefault="006E00A1" w:rsidP="006E00A1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134,4</w:t>
            </w:r>
          </w:p>
        </w:tc>
      </w:tr>
      <w:tr w:rsidR="006E00A1" w:rsidRPr="00EF7EBB" w:rsidTr="00072B1C">
        <w:trPr>
          <w:trHeight w:val="57"/>
        </w:trPr>
        <w:tc>
          <w:tcPr>
            <w:tcW w:w="5208" w:type="dxa"/>
            <w:vAlign w:val="bottom"/>
          </w:tcPr>
          <w:p w:rsidR="006E00A1" w:rsidRPr="00EF7EBB" w:rsidRDefault="006E00A1" w:rsidP="006E00A1">
            <w:pPr>
              <w:keepNext/>
              <w:tabs>
                <w:tab w:val="left" w:leader="dot" w:pos="6237"/>
              </w:tabs>
              <w:spacing w:before="0" w:after="0"/>
              <w:ind w:left="170"/>
              <w:outlineLvl w:val="0"/>
              <w:rPr>
                <w:rFonts w:eastAsia="Times New Roman" w:cs="Arial"/>
                <w:kern w:val="36"/>
                <w:sz w:val="16"/>
                <w:szCs w:val="16"/>
              </w:rPr>
            </w:pPr>
            <w:r w:rsidRPr="00EF7EBB">
              <w:rPr>
                <w:rFonts w:eastAsia="Times New Roman" w:cs="Arial"/>
                <w:kern w:val="36"/>
                <w:sz w:val="16"/>
                <w:szCs w:val="16"/>
              </w:rPr>
              <w:t>terminowe</w:t>
            </w:r>
          </w:p>
        </w:tc>
        <w:tc>
          <w:tcPr>
            <w:tcW w:w="1055" w:type="dxa"/>
          </w:tcPr>
          <w:p w:rsidR="006E00A1" w:rsidRPr="006E00A1" w:rsidRDefault="006E00A1" w:rsidP="006E00A1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448 396</w:t>
            </w:r>
          </w:p>
        </w:tc>
        <w:tc>
          <w:tcPr>
            <w:tcW w:w="1055" w:type="dxa"/>
          </w:tcPr>
          <w:p w:rsidR="006E00A1" w:rsidRPr="006E00A1" w:rsidRDefault="006E00A1" w:rsidP="006E00A1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336 227</w:t>
            </w:r>
          </w:p>
        </w:tc>
        <w:tc>
          <w:tcPr>
            <w:tcW w:w="870" w:type="dxa"/>
          </w:tcPr>
          <w:p w:rsidR="006E00A1" w:rsidRPr="006E00A1" w:rsidRDefault="006E00A1" w:rsidP="006E00A1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75,0</w:t>
            </w:r>
          </w:p>
        </w:tc>
      </w:tr>
      <w:tr w:rsidR="006E00A1" w:rsidRPr="00EF7EBB" w:rsidTr="00072B1C">
        <w:trPr>
          <w:trHeight w:val="57"/>
        </w:trPr>
        <w:tc>
          <w:tcPr>
            <w:tcW w:w="5208" w:type="dxa"/>
            <w:vAlign w:val="bottom"/>
          </w:tcPr>
          <w:p w:rsidR="006E00A1" w:rsidRPr="00EF7EBB" w:rsidRDefault="006E00A1" w:rsidP="006E00A1">
            <w:pPr>
              <w:keepNext/>
              <w:tabs>
                <w:tab w:val="left" w:leader="dot" w:pos="6237"/>
              </w:tabs>
              <w:spacing w:before="0" w:after="0"/>
              <w:ind w:left="57"/>
              <w:outlineLvl w:val="0"/>
              <w:rPr>
                <w:rFonts w:eastAsia="Times New Roman" w:cs="Arial"/>
                <w:kern w:val="36"/>
                <w:sz w:val="16"/>
                <w:szCs w:val="16"/>
              </w:rPr>
            </w:pPr>
            <w:r w:rsidRPr="00EF7EBB">
              <w:rPr>
                <w:rFonts w:eastAsia="Times New Roman" w:cs="Arial"/>
                <w:kern w:val="36"/>
                <w:sz w:val="16"/>
                <w:szCs w:val="16"/>
              </w:rPr>
              <w:t xml:space="preserve">Sektor niefinansowy </w:t>
            </w:r>
          </w:p>
        </w:tc>
        <w:tc>
          <w:tcPr>
            <w:tcW w:w="1055" w:type="dxa"/>
          </w:tcPr>
          <w:p w:rsidR="006E00A1" w:rsidRPr="006E00A1" w:rsidRDefault="006E00A1" w:rsidP="006E00A1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1 262 287</w:t>
            </w:r>
          </w:p>
        </w:tc>
        <w:tc>
          <w:tcPr>
            <w:tcW w:w="1055" w:type="dxa"/>
          </w:tcPr>
          <w:p w:rsidR="006E00A1" w:rsidRPr="006E00A1" w:rsidRDefault="006E00A1" w:rsidP="006E00A1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1 424 344</w:t>
            </w:r>
          </w:p>
        </w:tc>
        <w:tc>
          <w:tcPr>
            <w:tcW w:w="870" w:type="dxa"/>
          </w:tcPr>
          <w:p w:rsidR="006E00A1" w:rsidRPr="006E00A1" w:rsidRDefault="006E00A1" w:rsidP="006E00A1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112,8</w:t>
            </w:r>
          </w:p>
        </w:tc>
      </w:tr>
      <w:tr w:rsidR="006E00A1" w:rsidRPr="00EF7EBB" w:rsidTr="00072B1C">
        <w:trPr>
          <w:trHeight w:val="57"/>
        </w:trPr>
        <w:tc>
          <w:tcPr>
            <w:tcW w:w="5208" w:type="dxa"/>
            <w:vAlign w:val="bottom"/>
          </w:tcPr>
          <w:p w:rsidR="006E00A1" w:rsidRPr="00EF7EBB" w:rsidRDefault="006E00A1" w:rsidP="006E00A1">
            <w:pPr>
              <w:keepNext/>
              <w:tabs>
                <w:tab w:val="left" w:leader="dot" w:pos="6237"/>
              </w:tabs>
              <w:spacing w:before="0" w:after="0"/>
              <w:ind w:left="227"/>
              <w:outlineLvl w:val="0"/>
              <w:rPr>
                <w:rFonts w:eastAsia="Times New Roman" w:cs="Arial"/>
                <w:kern w:val="36"/>
                <w:sz w:val="16"/>
                <w:szCs w:val="16"/>
              </w:rPr>
            </w:pPr>
            <w:r w:rsidRPr="00EF7EBB">
              <w:rPr>
                <w:rFonts w:eastAsia="Times New Roman" w:cs="Arial"/>
                <w:kern w:val="36"/>
                <w:sz w:val="16"/>
                <w:szCs w:val="16"/>
              </w:rPr>
              <w:t>bieżące</w:t>
            </w:r>
          </w:p>
        </w:tc>
        <w:tc>
          <w:tcPr>
            <w:tcW w:w="1055" w:type="dxa"/>
          </w:tcPr>
          <w:p w:rsidR="006E00A1" w:rsidRPr="006E00A1" w:rsidRDefault="006E00A1" w:rsidP="006E00A1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833 605</w:t>
            </w:r>
          </w:p>
        </w:tc>
        <w:tc>
          <w:tcPr>
            <w:tcW w:w="1055" w:type="dxa"/>
          </w:tcPr>
          <w:p w:rsidR="006E00A1" w:rsidRPr="006E00A1" w:rsidRDefault="006E00A1" w:rsidP="006E00A1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1 122 488</w:t>
            </w:r>
          </w:p>
        </w:tc>
        <w:tc>
          <w:tcPr>
            <w:tcW w:w="870" w:type="dxa"/>
          </w:tcPr>
          <w:p w:rsidR="006E00A1" w:rsidRPr="006E00A1" w:rsidRDefault="006E00A1" w:rsidP="006E00A1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134,7</w:t>
            </w:r>
          </w:p>
        </w:tc>
      </w:tr>
      <w:tr w:rsidR="006E00A1" w:rsidRPr="00EF7EBB" w:rsidTr="00072B1C">
        <w:trPr>
          <w:trHeight w:val="57"/>
        </w:trPr>
        <w:tc>
          <w:tcPr>
            <w:tcW w:w="5208" w:type="dxa"/>
            <w:vAlign w:val="bottom"/>
          </w:tcPr>
          <w:p w:rsidR="006E00A1" w:rsidRPr="00EF7EBB" w:rsidRDefault="006E00A1" w:rsidP="006E00A1">
            <w:pPr>
              <w:keepNext/>
              <w:tabs>
                <w:tab w:val="left" w:leader="dot" w:pos="6237"/>
              </w:tabs>
              <w:spacing w:before="0" w:after="0"/>
              <w:ind w:left="227"/>
              <w:outlineLvl w:val="0"/>
              <w:rPr>
                <w:rFonts w:eastAsia="Times New Roman" w:cs="Arial"/>
                <w:kern w:val="36"/>
                <w:sz w:val="16"/>
                <w:szCs w:val="16"/>
              </w:rPr>
            </w:pPr>
            <w:r w:rsidRPr="00EF7EBB">
              <w:rPr>
                <w:rFonts w:eastAsia="Times New Roman" w:cs="Arial"/>
                <w:kern w:val="36"/>
                <w:sz w:val="16"/>
                <w:szCs w:val="16"/>
              </w:rPr>
              <w:t>terminowe</w:t>
            </w:r>
          </w:p>
        </w:tc>
        <w:tc>
          <w:tcPr>
            <w:tcW w:w="1055" w:type="dxa"/>
          </w:tcPr>
          <w:p w:rsidR="006E00A1" w:rsidRPr="006E00A1" w:rsidRDefault="006E00A1" w:rsidP="006E00A1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428 682</w:t>
            </w:r>
          </w:p>
        </w:tc>
        <w:tc>
          <w:tcPr>
            <w:tcW w:w="1055" w:type="dxa"/>
          </w:tcPr>
          <w:p w:rsidR="006E00A1" w:rsidRPr="006E00A1" w:rsidRDefault="006E00A1" w:rsidP="006E00A1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301 856</w:t>
            </w:r>
          </w:p>
        </w:tc>
        <w:tc>
          <w:tcPr>
            <w:tcW w:w="870" w:type="dxa"/>
          </w:tcPr>
          <w:p w:rsidR="006E00A1" w:rsidRPr="006E00A1" w:rsidRDefault="006E00A1" w:rsidP="006E00A1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70,4</w:t>
            </w:r>
          </w:p>
        </w:tc>
      </w:tr>
      <w:tr w:rsidR="006E00A1" w:rsidRPr="00EF7EBB" w:rsidTr="00072B1C">
        <w:trPr>
          <w:trHeight w:val="57"/>
        </w:trPr>
        <w:tc>
          <w:tcPr>
            <w:tcW w:w="5208" w:type="dxa"/>
            <w:vAlign w:val="bottom"/>
          </w:tcPr>
          <w:p w:rsidR="006E00A1" w:rsidRPr="00EF7EBB" w:rsidRDefault="006E00A1" w:rsidP="006E00A1">
            <w:pPr>
              <w:keepNext/>
              <w:tabs>
                <w:tab w:val="left" w:leader="dot" w:pos="6237"/>
              </w:tabs>
              <w:spacing w:before="0" w:after="0"/>
              <w:ind w:left="57"/>
              <w:outlineLvl w:val="0"/>
              <w:rPr>
                <w:rFonts w:eastAsia="Times New Roman" w:cs="Arial"/>
                <w:kern w:val="36"/>
                <w:sz w:val="16"/>
                <w:szCs w:val="16"/>
              </w:rPr>
            </w:pPr>
            <w:r w:rsidRPr="00EF7EBB">
              <w:rPr>
                <w:rFonts w:eastAsia="Times New Roman" w:cs="Arial"/>
                <w:kern w:val="36"/>
                <w:sz w:val="16"/>
                <w:szCs w:val="16"/>
              </w:rPr>
              <w:t>Sektor instytucji rządowych i samorządowych</w:t>
            </w:r>
          </w:p>
        </w:tc>
        <w:tc>
          <w:tcPr>
            <w:tcW w:w="1055" w:type="dxa"/>
          </w:tcPr>
          <w:p w:rsidR="006E00A1" w:rsidRPr="006E00A1" w:rsidRDefault="006E00A1" w:rsidP="006E00A1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85 240</w:t>
            </w:r>
          </w:p>
        </w:tc>
        <w:tc>
          <w:tcPr>
            <w:tcW w:w="1055" w:type="dxa"/>
          </w:tcPr>
          <w:p w:rsidR="006E00A1" w:rsidRPr="006E00A1" w:rsidRDefault="006E00A1" w:rsidP="006E00A1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120 308</w:t>
            </w:r>
          </w:p>
        </w:tc>
        <w:tc>
          <w:tcPr>
            <w:tcW w:w="870" w:type="dxa"/>
          </w:tcPr>
          <w:p w:rsidR="006E00A1" w:rsidRPr="006E00A1" w:rsidRDefault="006E00A1" w:rsidP="006E00A1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141,1</w:t>
            </w:r>
          </w:p>
        </w:tc>
      </w:tr>
      <w:tr w:rsidR="006E00A1" w:rsidRPr="00EF7EBB" w:rsidTr="00072B1C">
        <w:trPr>
          <w:trHeight w:val="57"/>
        </w:trPr>
        <w:tc>
          <w:tcPr>
            <w:tcW w:w="5208" w:type="dxa"/>
            <w:vAlign w:val="bottom"/>
          </w:tcPr>
          <w:p w:rsidR="006E00A1" w:rsidRPr="00EF7EBB" w:rsidRDefault="006E00A1" w:rsidP="006E00A1">
            <w:pPr>
              <w:keepNext/>
              <w:tabs>
                <w:tab w:val="left" w:leader="dot" w:pos="6237"/>
              </w:tabs>
              <w:spacing w:before="0" w:after="0"/>
              <w:ind w:left="227"/>
              <w:outlineLvl w:val="0"/>
              <w:rPr>
                <w:rFonts w:eastAsia="Times New Roman" w:cs="Arial"/>
                <w:kern w:val="36"/>
                <w:sz w:val="16"/>
                <w:szCs w:val="16"/>
              </w:rPr>
            </w:pPr>
            <w:r w:rsidRPr="00EF7EBB">
              <w:rPr>
                <w:rFonts w:eastAsia="Times New Roman" w:cs="Arial"/>
                <w:kern w:val="36"/>
                <w:sz w:val="16"/>
                <w:szCs w:val="16"/>
              </w:rPr>
              <w:t>bieżące</w:t>
            </w:r>
          </w:p>
        </w:tc>
        <w:tc>
          <w:tcPr>
            <w:tcW w:w="1055" w:type="dxa"/>
          </w:tcPr>
          <w:p w:rsidR="006E00A1" w:rsidRPr="006E00A1" w:rsidRDefault="006E00A1" w:rsidP="006E00A1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65 526</w:t>
            </w:r>
          </w:p>
        </w:tc>
        <w:tc>
          <w:tcPr>
            <w:tcW w:w="1055" w:type="dxa"/>
          </w:tcPr>
          <w:p w:rsidR="006E00A1" w:rsidRPr="006E00A1" w:rsidRDefault="006E00A1" w:rsidP="006E00A1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85 937</w:t>
            </w:r>
          </w:p>
        </w:tc>
        <w:tc>
          <w:tcPr>
            <w:tcW w:w="870" w:type="dxa"/>
          </w:tcPr>
          <w:p w:rsidR="006E00A1" w:rsidRPr="006E00A1" w:rsidRDefault="006E00A1" w:rsidP="006E00A1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131,1</w:t>
            </w:r>
          </w:p>
        </w:tc>
      </w:tr>
      <w:tr w:rsidR="006E00A1" w:rsidRPr="00EF7EBB" w:rsidTr="00072B1C">
        <w:trPr>
          <w:trHeight w:val="57"/>
        </w:trPr>
        <w:tc>
          <w:tcPr>
            <w:tcW w:w="5208" w:type="dxa"/>
            <w:vAlign w:val="bottom"/>
          </w:tcPr>
          <w:p w:rsidR="006E00A1" w:rsidRPr="00EF7EBB" w:rsidRDefault="006E00A1" w:rsidP="006E00A1">
            <w:pPr>
              <w:keepNext/>
              <w:tabs>
                <w:tab w:val="left" w:leader="dot" w:pos="6237"/>
              </w:tabs>
              <w:spacing w:before="0" w:after="0"/>
              <w:ind w:left="227"/>
              <w:outlineLvl w:val="0"/>
              <w:rPr>
                <w:rFonts w:eastAsia="Times New Roman" w:cs="Arial"/>
                <w:kern w:val="36"/>
                <w:sz w:val="16"/>
                <w:szCs w:val="16"/>
              </w:rPr>
            </w:pPr>
            <w:r w:rsidRPr="00EF7EBB">
              <w:rPr>
                <w:rFonts w:eastAsia="Times New Roman" w:cs="Arial"/>
                <w:kern w:val="36"/>
                <w:sz w:val="16"/>
                <w:szCs w:val="16"/>
              </w:rPr>
              <w:t xml:space="preserve">terminowe </w:t>
            </w:r>
          </w:p>
        </w:tc>
        <w:tc>
          <w:tcPr>
            <w:tcW w:w="1055" w:type="dxa"/>
          </w:tcPr>
          <w:p w:rsidR="006E00A1" w:rsidRPr="006E00A1" w:rsidRDefault="006E00A1" w:rsidP="006E00A1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19 714</w:t>
            </w:r>
          </w:p>
        </w:tc>
        <w:tc>
          <w:tcPr>
            <w:tcW w:w="1055" w:type="dxa"/>
          </w:tcPr>
          <w:p w:rsidR="006E00A1" w:rsidRPr="006E00A1" w:rsidRDefault="006E00A1" w:rsidP="006E00A1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34 371</w:t>
            </w:r>
          </w:p>
        </w:tc>
        <w:tc>
          <w:tcPr>
            <w:tcW w:w="870" w:type="dxa"/>
          </w:tcPr>
          <w:p w:rsidR="006E00A1" w:rsidRPr="006E00A1" w:rsidRDefault="006E00A1" w:rsidP="006E00A1">
            <w:pPr>
              <w:spacing w:before="0" w:after="0"/>
              <w:jc w:val="right"/>
              <w:rPr>
                <w:sz w:val="16"/>
                <w:szCs w:val="16"/>
              </w:rPr>
            </w:pPr>
            <w:r w:rsidRPr="006E00A1">
              <w:rPr>
                <w:sz w:val="16"/>
                <w:szCs w:val="16"/>
              </w:rPr>
              <w:t>174,3</w:t>
            </w:r>
          </w:p>
        </w:tc>
      </w:tr>
    </w:tbl>
    <w:p w:rsidR="00EF7EBB" w:rsidRPr="00EF7EBB" w:rsidRDefault="00EF7EBB" w:rsidP="00EF7EBB">
      <w:pPr>
        <w:jc w:val="both"/>
        <w:rPr>
          <w:rFonts w:eastAsia="Fira Sans Light" w:cs="Times New Roman"/>
          <w:spacing w:val="-2"/>
          <w:szCs w:val="19"/>
          <w:shd w:val="clear" w:color="auto" w:fill="FFFFFF"/>
        </w:rPr>
      </w:pPr>
    </w:p>
    <w:p w:rsidR="00EF7EBB" w:rsidRDefault="00EF7EBB" w:rsidP="00EF7EBB">
      <w:pPr>
        <w:rPr>
          <w:rFonts w:eastAsia="Fira Sans Light" w:cs="Times New Roman"/>
          <w:spacing w:val="-2"/>
          <w:szCs w:val="19"/>
          <w:shd w:val="clear" w:color="auto" w:fill="FFFFFF"/>
        </w:rPr>
      </w:pPr>
      <w:r w:rsidRPr="00EF7EBB">
        <w:rPr>
          <w:rFonts w:eastAsia="Fira Sans Light" w:cs="Times New Roman"/>
          <w:spacing w:val="-2"/>
          <w:szCs w:val="19"/>
          <w:shd w:val="clear" w:color="auto" w:fill="FFFFFF"/>
        </w:rPr>
        <w:t>Udział depozytów terminowych w łącznej kwocie depozytów sektora niefinansowego oraz sektora instytucji rządowych i samorządowych zmniejszył się w skali roku o </w:t>
      </w:r>
      <w:r w:rsidR="00273AD8" w:rsidRPr="00273AD8">
        <w:rPr>
          <w:rFonts w:eastAsia="Fira Sans Light" w:cs="Times New Roman"/>
          <w:spacing w:val="-2"/>
          <w:szCs w:val="19"/>
          <w:shd w:val="clear" w:color="auto" w:fill="FFFFFF"/>
        </w:rPr>
        <w:t xml:space="preserve">11,5 p. proc. (do 21,8%). </w:t>
      </w:r>
      <w:r w:rsidR="00273AD8">
        <w:rPr>
          <w:rFonts w:eastAsia="Fira Sans Light" w:cs="Times New Roman"/>
          <w:spacing w:val="-2"/>
          <w:szCs w:val="19"/>
          <w:shd w:val="clear" w:color="auto" w:fill="FFFFFF"/>
        </w:rPr>
        <w:t>Zmiany u</w:t>
      </w:r>
      <w:r w:rsidR="00273AD8" w:rsidRPr="00273AD8">
        <w:rPr>
          <w:rFonts w:eastAsia="Fira Sans Light" w:cs="Times New Roman"/>
          <w:spacing w:val="-2"/>
          <w:szCs w:val="19"/>
          <w:shd w:val="clear" w:color="auto" w:fill="FFFFFF"/>
        </w:rPr>
        <w:t>dział</w:t>
      </w:r>
      <w:r w:rsidR="00273AD8">
        <w:rPr>
          <w:rFonts w:eastAsia="Fira Sans Light" w:cs="Times New Roman"/>
          <w:spacing w:val="-2"/>
          <w:szCs w:val="19"/>
          <w:shd w:val="clear" w:color="auto" w:fill="FFFFFF"/>
        </w:rPr>
        <w:t>ów</w:t>
      </w:r>
      <w:r w:rsidR="00273AD8" w:rsidRPr="00273AD8">
        <w:rPr>
          <w:rFonts w:eastAsia="Fira Sans Light" w:cs="Times New Roman"/>
          <w:spacing w:val="-2"/>
          <w:szCs w:val="19"/>
          <w:shd w:val="clear" w:color="auto" w:fill="FFFFFF"/>
        </w:rPr>
        <w:t xml:space="preserve"> depozytów terminowych w depozytach </w:t>
      </w:r>
      <w:r w:rsidR="00273AD8">
        <w:rPr>
          <w:rFonts w:eastAsia="Fira Sans Light" w:cs="Times New Roman"/>
          <w:spacing w:val="-2"/>
          <w:szCs w:val="19"/>
          <w:shd w:val="clear" w:color="auto" w:fill="FFFFFF"/>
        </w:rPr>
        <w:t xml:space="preserve">tych dwóch </w:t>
      </w:r>
      <w:r w:rsidR="00273AD8" w:rsidRPr="00273AD8">
        <w:rPr>
          <w:rFonts w:eastAsia="Fira Sans Light" w:cs="Times New Roman"/>
          <w:spacing w:val="-2"/>
          <w:szCs w:val="19"/>
          <w:shd w:val="clear" w:color="auto" w:fill="FFFFFF"/>
        </w:rPr>
        <w:t>sektor</w:t>
      </w:r>
      <w:r w:rsidR="00273AD8">
        <w:rPr>
          <w:rFonts w:eastAsia="Fira Sans Light" w:cs="Times New Roman"/>
          <w:spacing w:val="-2"/>
          <w:szCs w:val="19"/>
          <w:shd w:val="clear" w:color="auto" w:fill="FFFFFF"/>
        </w:rPr>
        <w:t>ów oddzielnie miały przeciwny kierunek. Podczas, gdy u</w:t>
      </w:r>
      <w:r w:rsidR="00273AD8" w:rsidRPr="00273AD8">
        <w:rPr>
          <w:rFonts w:eastAsia="Fira Sans Light" w:cs="Times New Roman"/>
          <w:spacing w:val="-2"/>
          <w:szCs w:val="19"/>
          <w:shd w:val="clear" w:color="auto" w:fill="FFFFFF"/>
        </w:rPr>
        <w:t>dział depozytów terminowych w depozytach sektora niefinansowego obniżył się o 12,</w:t>
      </w:r>
      <w:r w:rsidR="00273AD8">
        <w:rPr>
          <w:rFonts w:eastAsia="Fira Sans Light" w:cs="Times New Roman"/>
          <w:spacing w:val="-2"/>
          <w:szCs w:val="19"/>
          <w:shd w:val="clear" w:color="auto" w:fill="FFFFFF"/>
        </w:rPr>
        <w:t>8</w:t>
      </w:r>
      <w:r w:rsidR="00273AD8" w:rsidRPr="00273AD8">
        <w:t xml:space="preserve"> </w:t>
      </w:r>
      <w:r w:rsidR="00273AD8" w:rsidRPr="00273AD8">
        <w:rPr>
          <w:rFonts w:eastAsia="Fira Sans Light" w:cs="Times New Roman"/>
          <w:spacing w:val="-2"/>
          <w:szCs w:val="19"/>
          <w:shd w:val="clear" w:color="auto" w:fill="FFFFFF"/>
        </w:rPr>
        <w:t>p. proc. (do 21,</w:t>
      </w:r>
      <w:r w:rsidR="00273AD8">
        <w:rPr>
          <w:rFonts w:eastAsia="Fira Sans Light" w:cs="Times New Roman"/>
          <w:spacing w:val="-2"/>
          <w:szCs w:val="19"/>
          <w:shd w:val="clear" w:color="auto" w:fill="FFFFFF"/>
        </w:rPr>
        <w:t>2</w:t>
      </w:r>
      <w:r w:rsidR="00273AD8" w:rsidRPr="00273AD8">
        <w:rPr>
          <w:rFonts w:eastAsia="Fira Sans Light" w:cs="Times New Roman"/>
          <w:spacing w:val="-2"/>
          <w:szCs w:val="19"/>
          <w:shd w:val="clear" w:color="auto" w:fill="FFFFFF"/>
        </w:rPr>
        <w:t>%)</w:t>
      </w:r>
      <w:r w:rsidR="00273AD8">
        <w:rPr>
          <w:rFonts w:eastAsia="Fira Sans Light" w:cs="Times New Roman"/>
          <w:spacing w:val="-2"/>
          <w:szCs w:val="19"/>
          <w:shd w:val="clear" w:color="auto" w:fill="FFFFFF"/>
        </w:rPr>
        <w:t>, udział</w:t>
      </w:r>
      <w:r w:rsidR="00273AD8" w:rsidRPr="00273AD8">
        <w:rPr>
          <w:rFonts w:eastAsia="Fira Sans Light" w:cs="Times New Roman"/>
          <w:spacing w:val="-2"/>
          <w:szCs w:val="19"/>
          <w:shd w:val="clear" w:color="auto" w:fill="FFFFFF"/>
        </w:rPr>
        <w:t xml:space="preserve"> depozytów terminowych </w:t>
      </w:r>
      <w:r w:rsidR="00273AD8">
        <w:rPr>
          <w:rFonts w:eastAsia="Fira Sans Light" w:cs="Times New Roman"/>
          <w:spacing w:val="-2"/>
          <w:szCs w:val="19"/>
          <w:shd w:val="clear" w:color="auto" w:fill="FFFFFF"/>
        </w:rPr>
        <w:t xml:space="preserve">w depozytach </w:t>
      </w:r>
      <w:r w:rsidR="00273AD8" w:rsidRPr="00EF7EBB">
        <w:rPr>
          <w:rFonts w:eastAsia="Fira Sans Light" w:cs="Times New Roman"/>
          <w:spacing w:val="-2"/>
          <w:szCs w:val="19"/>
          <w:shd w:val="clear" w:color="auto" w:fill="FFFFFF"/>
        </w:rPr>
        <w:t>sektora instytucji rządowych i samorządowych</w:t>
      </w:r>
      <w:r w:rsidR="00273AD8" w:rsidRPr="00273AD8">
        <w:rPr>
          <w:rFonts w:eastAsia="Fira Sans Light" w:cs="Times New Roman"/>
          <w:spacing w:val="-2"/>
          <w:szCs w:val="19"/>
          <w:shd w:val="clear" w:color="auto" w:fill="FFFFFF"/>
        </w:rPr>
        <w:t xml:space="preserve"> </w:t>
      </w:r>
      <w:r w:rsidR="00273AD8">
        <w:rPr>
          <w:rFonts w:eastAsia="Fira Sans Light" w:cs="Times New Roman"/>
          <w:spacing w:val="-2"/>
          <w:szCs w:val="19"/>
          <w:shd w:val="clear" w:color="auto" w:fill="FFFFFF"/>
        </w:rPr>
        <w:t>zwiększył się o 5,4 p. proc. (do 28</w:t>
      </w:r>
      <w:r w:rsidRPr="00EF7EBB">
        <w:rPr>
          <w:rFonts w:eastAsia="Fira Sans Light" w:cs="Times New Roman"/>
          <w:spacing w:val="-2"/>
          <w:szCs w:val="19"/>
          <w:shd w:val="clear" w:color="auto" w:fill="FFFFFF"/>
        </w:rPr>
        <w:t>,</w:t>
      </w:r>
      <w:r w:rsidR="00273AD8">
        <w:rPr>
          <w:rFonts w:eastAsia="Fira Sans Light" w:cs="Times New Roman"/>
          <w:spacing w:val="-2"/>
          <w:szCs w:val="19"/>
          <w:shd w:val="clear" w:color="auto" w:fill="FFFFFF"/>
        </w:rPr>
        <w:t>6</w:t>
      </w:r>
      <w:r w:rsidRPr="00EF7EBB">
        <w:rPr>
          <w:rFonts w:eastAsia="Fira Sans Light" w:cs="Times New Roman"/>
          <w:spacing w:val="-2"/>
          <w:szCs w:val="19"/>
          <w:shd w:val="clear" w:color="auto" w:fill="FFFFFF"/>
        </w:rPr>
        <w:t>%)</w:t>
      </w:r>
      <w:r w:rsidR="008A6EA5">
        <w:rPr>
          <w:rFonts w:eastAsia="Fira Sans Light" w:cs="Times New Roman"/>
          <w:spacing w:val="-2"/>
          <w:szCs w:val="19"/>
          <w:shd w:val="clear" w:color="auto" w:fill="FFFFFF"/>
        </w:rPr>
        <w:t>.</w:t>
      </w:r>
    </w:p>
    <w:p w:rsidR="008A6EA5" w:rsidRPr="00EF7EBB" w:rsidRDefault="008A6EA5" w:rsidP="00EF7EBB">
      <w:pPr>
        <w:rPr>
          <w:rFonts w:eastAsia="Fira Sans Light" w:cs="Times New Roman"/>
          <w:spacing w:val="-2"/>
          <w:szCs w:val="19"/>
          <w:u w:val="single"/>
          <w:shd w:val="clear" w:color="auto" w:fill="FFFFFF"/>
        </w:rPr>
      </w:pPr>
    </w:p>
    <w:p w:rsidR="00EF7EBB" w:rsidRPr="00EF7EBB" w:rsidRDefault="00EF7EBB" w:rsidP="004C2197">
      <w:pPr>
        <w:pStyle w:val="tytuwykresu"/>
        <w:ind w:left="826" w:hanging="826"/>
      </w:pPr>
      <w:r w:rsidRPr="00EF7EBB">
        <w:t>Wykres 2. Różnica między wartością należności (w tym z tytułu kredytów), a zobowiązaniami (w tym z tytułu depozytów) sektora bankowego wobec sektora niefinansowego oraz sektora instytucji rządowych i samorządowych (wg stanu w końcu kwartału)</w:t>
      </w:r>
    </w:p>
    <w:p w:rsidR="00EF7EBB" w:rsidRPr="00EF7EBB" w:rsidRDefault="00E65CE3" w:rsidP="00EF7EBB">
      <w:r>
        <w:rPr>
          <w:noProof/>
          <w:lang w:eastAsia="pl-PL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77821</wp:posOffset>
            </wp:positionH>
            <wp:positionV relativeFrom="paragraph">
              <wp:posOffset>57311</wp:posOffset>
            </wp:positionV>
            <wp:extent cx="5227320" cy="3129361"/>
            <wp:effectExtent l="0" t="0" r="0" b="0"/>
            <wp:wrapNone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EBB" w:rsidRPr="00EF7EBB" w:rsidRDefault="00EF7EBB" w:rsidP="00EF7EBB"/>
    <w:p w:rsidR="00EF7EBB" w:rsidRPr="00EF7EBB" w:rsidRDefault="00EF7EBB" w:rsidP="00EF7EBB"/>
    <w:p w:rsidR="00EF7EBB" w:rsidRPr="00EF7EBB" w:rsidRDefault="00EF7EBB" w:rsidP="00EF7EBB"/>
    <w:p w:rsidR="00EF7EBB" w:rsidRPr="00EF7EBB" w:rsidRDefault="00EF7EBB" w:rsidP="00EF7EBB"/>
    <w:p w:rsidR="00EF7EBB" w:rsidRPr="00EF7EBB" w:rsidRDefault="00EF7EBB" w:rsidP="00EF7EBB"/>
    <w:p w:rsidR="00EF7EBB" w:rsidRPr="00EF7EBB" w:rsidRDefault="00EF7EBB" w:rsidP="00EF7EBB"/>
    <w:p w:rsidR="00EF7EBB" w:rsidRPr="00EF7EBB" w:rsidRDefault="00EF7EBB" w:rsidP="00EF7EBB"/>
    <w:p w:rsidR="00EF7EBB" w:rsidRPr="00EF7EBB" w:rsidRDefault="00EF7EBB" w:rsidP="00EF7EBB"/>
    <w:p w:rsidR="00EF7EBB" w:rsidRPr="00EF7EBB" w:rsidRDefault="00EF7EBB" w:rsidP="00EF7EBB"/>
    <w:p w:rsidR="00EF7EBB" w:rsidRPr="00EF7EBB" w:rsidRDefault="00EF7EBB" w:rsidP="00EF7EBB"/>
    <w:p w:rsidR="00EF7EBB" w:rsidRPr="00EF7EBB" w:rsidRDefault="00EF7EBB" w:rsidP="00EF7EBB"/>
    <w:p w:rsidR="009B508E" w:rsidRDefault="009B508E" w:rsidP="00EF7EBB">
      <w:pPr>
        <w:rPr>
          <w:rFonts w:eastAsia="Fira Sans Light" w:cs="Times New Roman"/>
          <w:sz w:val="18"/>
        </w:rPr>
      </w:pPr>
    </w:p>
    <w:p w:rsidR="009B508E" w:rsidRDefault="009B508E" w:rsidP="00EF7EBB">
      <w:pPr>
        <w:rPr>
          <w:rFonts w:eastAsia="Fira Sans Light" w:cs="Times New Roman"/>
          <w:sz w:val="18"/>
        </w:rPr>
      </w:pPr>
    </w:p>
    <w:p w:rsidR="00EF7EBB" w:rsidRDefault="00EF7EBB" w:rsidP="00EF7EBB">
      <w:pPr>
        <w:rPr>
          <w:rFonts w:eastAsia="Fira Sans Light" w:cs="Times New Roman"/>
          <w:sz w:val="18"/>
        </w:rPr>
      </w:pPr>
      <w:r w:rsidRPr="00EF7EBB">
        <w:rPr>
          <w:rFonts w:eastAsia="Fira Sans Light" w:cs="Times New Roman"/>
          <w:sz w:val="18"/>
        </w:rPr>
        <w:br w:type="page"/>
      </w:r>
      <w:r w:rsidR="009B508E">
        <w:rPr>
          <w:noProof/>
          <w:lang w:eastAsia="pl-PL"/>
        </w:rPr>
        <w:lastRenderedPageBreak/>
        <w:drawing>
          <wp:inline distT="0" distB="0" distL="0" distR="0" wp14:anchorId="139453F0" wp14:editId="3C64E7FE">
            <wp:extent cx="5122545" cy="3217401"/>
            <wp:effectExtent l="0" t="0" r="1905" b="254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55AAF" w:rsidRDefault="00126A52" w:rsidP="00730090">
      <w:pPr>
        <w:tabs>
          <w:tab w:val="left" w:pos="3316"/>
        </w:tabs>
        <w:rPr>
          <w:rFonts w:eastAsia="Fira Sans Light" w:cs="Times New Roman"/>
        </w:rPr>
      </w:pPr>
      <w:r>
        <w:rPr>
          <w:rFonts w:eastAsia="Fira Sans Light" w:cs="Times New Roman"/>
          <w:sz w:val="18"/>
        </w:rPr>
        <w:tab/>
      </w:r>
      <w:r w:rsidR="000A33CB">
        <w:rPr>
          <w:rFonts w:eastAsia="Fira Sans Light" w:cs="Times New Roman"/>
          <w:sz w:val="18"/>
        </w:rPr>
        <w:t>***</w:t>
      </w:r>
    </w:p>
    <w:p w:rsidR="001F0B5B" w:rsidRPr="001F0B5B" w:rsidRDefault="001F0B5B" w:rsidP="001F0B5B">
      <w:pPr>
        <w:rPr>
          <w:rFonts w:eastAsia="Fira Sans Light" w:cs="Times New Roman"/>
          <w:b/>
          <w:spacing w:val="-2"/>
          <w:sz w:val="18"/>
          <w:shd w:val="clear" w:color="auto" w:fill="FFFFFF"/>
        </w:rPr>
      </w:pPr>
      <w:r w:rsidRPr="001F0B5B">
        <w:rPr>
          <w:rFonts w:eastAsia="Fira Sans Light" w:cs="Times New Roman"/>
          <w:b/>
          <w:spacing w:val="-2"/>
          <w:sz w:val="18"/>
          <w:shd w:val="clear" w:color="auto" w:fill="FFFFFF"/>
        </w:rPr>
        <w:t>Tablica 5. Liczba banków według formy organizacyjnej i struktury własności</w:t>
      </w:r>
    </w:p>
    <w:tbl>
      <w:tblPr>
        <w:tblStyle w:val="GridTableLight14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211"/>
        <w:gridCol w:w="1055"/>
        <w:gridCol w:w="1055"/>
        <w:gridCol w:w="867"/>
      </w:tblGrid>
      <w:tr w:rsidR="001F0B5B" w:rsidRPr="001F0B5B" w:rsidTr="009C7276">
        <w:trPr>
          <w:trHeight w:val="508"/>
        </w:trPr>
        <w:tc>
          <w:tcPr>
            <w:tcW w:w="5211" w:type="dxa"/>
            <w:vMerge w:val="restart"/>
            <w:vAlign w:val="center"/>
          </w:tcPr>
          <w:p w:rsidR="001F0B5B" w:rsidRPr="001F0B5B" w:rsidRDefault="001F0B5B" w:rsidP="001F0B5B">
            <w:pPr>
              <w:keepNext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1F0B5B"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1055" w:type="dxa"/>
            <w:vAlign w:val="center"/>
          </w:tcPr>
          <w:p w:rsidR="001F0B5B" w:rsidRPr="001F0B5B" w:rsidRDefault="003C3EE9" w:rsidP="001F0B5B">
            <w:pPr>
              <w:keepNext/>
              <w:keepLines/>
              <w:spacing w:before="0" w:after="0"/>
              <w:jc w:val="center"/>
              <w:outlineLvl w:val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055" w:type="dxa"/>
            <w:vAlign w:val="center"/>
          </w:tcPr>
          <w:p w:rsidR="001F0B5B" w:rsidRPr="001F0B5B" w:rsidRDefault="003C3EE9" w:rsidP="001F0B5B">
            <w:pPr>
              <w:keepNext/>
              <w:keepLines/>
              <w:spacing w:before="0" w:after="0"/>
              <w:jc w:val="center"/>
              <w:outlineLvl w:val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67" w:type="dxa"/>
            <w:vAlign w:val="center"/>
          </w:tcPr>
          <w:p w:rsidR="001F0B5B" w:rsidRPr="001F0B5B" w:rsidRDefault="001F0B5B" w:rsidP="001F0B5B">
            <w:pPr>
              <w:keepNext/>
              <w:keepLines/>
              <w:spacing w:before="0" w:after="0"/>
              <w:jc w:val="center"/>
              <w:outlineLvl w:val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F0B5B">
              <w:rPr>
                <w:rFonts w:eastAsia="Times New Roman" w:cs="Times New Roman"/>
                <w:color w:val="000000"/>
                <w:sz w:val="16"/>
                <w:szCs w:val="16"/>
              </w:rPr>
              <w:t>Zmiana</w:t>
            </w:r>
          </w:p>
        </w:tc>
      </w:tr>
      <w:tr w:rsidR="001F0B5B" w:rsidRPr="001F0B5B" w:rsidTr="009C7276">
        <w:trPr>
          <w:trHeight w:val="295"/>
        </w:trPr>
        <w:tc>
          <w:tcPr>
            <w:tcW w:w="5211" w:type="dxa"/>
            <w:vMerge/>
            <w:tcBorders>
              <w:bottom w:val="single" w:sz="12" w:space="0" w:color="212492"/>
            </w:tcBorders>
            <w:vAlign w:val="center"/>
          </w:tcPr>
          <w:p w:rsidR="001F0B5B" w:rsidRPr="001F0B5B" w:rsidRDefault="001F0B5B" w:rsidP="001F0B5B">
            <w:pPr>
              <w:keepNext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ascii="Fira Sans SemiBold" w:eastAsia="Times New Roman" w:hAnsi="Fira Sans SemiBold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gridSpan w:val="3"/>
            <w:tcBorders>
              <w:bottom w:val="single" w:sz="12" w:space="0" w:color="212492"/>
            </w:tcBorders>
            <w:vAlign w:val="center"/>
          </w:tcPr>
          <w:p w:rsidR="001F0B5B" w:rsidRPr="001F0B5B" w:rsidRDefault="001F0B5B" w:rsidP="001F0B5B">
            <w:pPr>
              <w:spacing w:before="0" w:after="0"/>
              <w:jc w:val="center"/>
              <w:rPr>
                <w:rFonts w:eastAsia="Fira Sans Light" w:cs="Times New Roman"/>
                <w:color w:val="000000"/>
                <w:sz w:val="16"/>
                <w:szCs w:val="16"/>
              </w:rPr>
            </w:pPr>
            <w:r w:rsidRPr="001F0B5B">
              <w:rPr>
                <w:rFonts w:eastAsia="Fira Sans Light" w:cs="Times New Roman"/>
                <w:color w:val="000000"/>
                <w:sz w:val="16"/>
                <w:szCs w:val="16"/>
              </w:rPr>
              <w:t>stan na 31 grudnia</w:t>
            </w:r>
          </w:p>
        </w:tc>
      </w:tr>
      <w:tr w:rsidR="003F533D" w:rsidRPr="001F0B5B" w:rsidTr="009C7276">
        <w:trPr>
          <w:trHeight w:val="57"/>
        </w:trPr>
        <w:tc>
          <w:tcPr>
            <w:tcW w:w="5211" w:type="dxa"/>
            <w:tcBorders>
              <w:top w:val="single" w:sz="12" w:space="0" w:color="212492"/>
            </w:tcBorders>
            <w:vAlign w:val="bottom"/>
          </w:tcPr>
          <w:p w:rsidR="003F533D" w:rsidRPr="001F0B5B" w:rsidRDefault="003F533D" w:rsidP="003F533D">
            <w:pPr>
              <w:tabs>
                <w:tab w:val="left" w:leader="dot" w:pos="6521"/>
              </w:tabs>
              <w:spacing w:before="0" w:after="0"/>
              <w:jc w:val="both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1F0B5B">
              <w:rPr>
                <w:rFonts w:eastAsia="Times New Roman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1055" w:type="dxa"/>
            <w:tcBorders>
              <w:top w:val="single" w:sz="12" w:space="0" w:color="212492"/>
            </w:tcBorders>
            <w:vAlign w:val="center"/>
          </w:tcPr>
          <w:p w:rsidR="003F533D" w:rsidRPr="001F0B5B" w:rsidRDefault="003F533D" w:rsidP="003F533D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1F0B5B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single" w:sz="12" w:space="0" w:color="212492"/>
            </w:tcBorders>
            <w:vAlign w:val="center"/>
          </w:tcPr>
          <w:p w:rsidR="003F533D" w:rsidRPr="001F0B5B" w:rsidRDefault="003F533D" w:rsidP="003F533D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</w:t>
            </w:r>
            <w:r w:rsidRPr="001F0B5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67" w:type="dxa"/>
            <w:tcBorders>
              <w:top w:val="single" w:sz="12" w:space="0" w:color="212492"/>
            </w:tcBorders>
            <w:vAlign w:val="center"/>
          </w:tcPr>
          <w:p w:rsidR="003F533D" w:rsidRPr="001F0B5B" w:rsidRDefault="003F533D" w:rsidP="00DD182F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1F0B5B">
              <w:rPr>
                <w:b/>
                <w:sz w:val="16"/>
                <w:szCs w:val="16"/>
              </w:rPr>
              <w:t>-</w:t>
            </w:r>
            <w:r w:rsidR="00DD182F">
              <w:rPr>
                <w:b/>
                <w:sz w:val="16"/>
                <w:szCs w:val="16"/>
              </w:rPr>
              <w:t>4</w:t>
            </w:r>
          </w:p>
        </w:tc>
      </w:tr>
      <w:tr w:rsidR="003F533D" w:rsidRPr="001F0B5B" w:rsidTr="009C7276">
        <w:trPr>
          <w:trHeight w:val="57"/>
        </w:trPr>
        <w:tc>
          <w:tcPr>
            <w:tcW w:w="5211" w:type="dxa"/>
            <w:vAlign w:val="bottom"/>
          </w:tcPr>
          <w:p w:rsidR="003F533D" w:rsidRPr="001F0B5B" w:rsidRDefault="003F533D" w:rsidP="003F533D">
            <w:pPr>
              <w:tabs>
                <w:tab w:val="left" w:leader="dot" w:pos="6521"/>
              </w:tabs>
              <w:spacing w:before="0" w:after="0"/>
              <w:ind w:left="170"/>
              <w:rPr>
                <w:rFonts w:eastAsia="Times New Roman" w:cs="Arial"/>
                <w:sz w:val="16"/>
                <w:szCs w:val="16"/>
              </w:rPr>
            </w:pPr>
            <w:r w:rsidRPr="001F0B5B">
              <w:rPr>
                <w:rFonts w:eastAsia="Times New Roman" w:cs="Arial"/>
                <w:sz w:val="16"/>
                <w:szCs w:val="16"/>
              </w:rPr>
              <w:t>Komercyjne</w:t>
            </w:r>
          </w:p>
        </w:tc>
        <w:tc>
          <w:tcPr>
            <w:tcW w:w="1055" w:type="dxa"/>
            <w:vAlign w:val="center"/>
          </w:tcPr>
          <w:p w:rsidR="003F533D" w:rsidRPr="001F0B5B" w:rsidRDefault="003F533D" w:rsidP="003F533D">
            <w:pPr>
              <w:spacing w:before="0" w:after="0"/>
              <w:jc w:val="right"/>
              <w:rPr>
                <w:sz w:val="16"/>
                <w:szCs w:val="16"/>
              </w:rPr>
            </w:pPr>
            <w:r w:rsidRPr="001F0B5B">
              <w:rPr>
                <w:sz w:val="16"/>
                <w:szCs w:val="16"/>
              </w:rPr>
              <w:t>62</w:t>
            </w:r>
          </w:p>
        </w:tc>
        <w:tc>
          <w:tcPr>
            <w:tcW w:w="1055" w:type="dxa"/>
            <w:vAlign w:val="center"/>
          </w:tcPr>
          <w:p w:rsidR="003F533D" w:rsidRPr="001F0B5B" w:rsidRDefault="003F533D" w:rsidP="003F533D">
            <w:pPr>
              <w:spacing w:before="0" w:after="0"/>
              <w:jc w:val="right"/>
              <w:rPr>
                <w:sz w:val="16"/>
                <w:szCs w:val="16"/>
              </w:rPr>
            </w:pPr>
            <w:r w:rsidRPr="001F0B5B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67" w:type="dxa"/>
            <w:vAlign w:val="center"/>
          </w:tcPr>
          <w:p w:rsidR="003F533D" w:rsidRPr="001F0B5B" w:rsidRDefault="00DD182F" w:rsidP="00DD182F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</w:t>
            </w:r>
          </w:p>
        </w:tc>
      </w:tr>
      <w:tr w:rsidR="003F533D" w:rsidRPr="001F0B5B" w:rsidTr="009C7276">
        <w:trPr>
          <w:trHeight w:val="57"/>
        </w:trPr>
        <w:tc>
          <w:tcPr>
            <w:tcW w:w="5211" w:type="dxa"/>
            <w:vAlign w:val="bottom"/>
          </w:tcPr>
          <w:p w:rsidR="003F533D" w:rsidRPr="001F0B5B" w:rsidRDefault="003F533D" w:rsidP="002E6795">
            <w:pPr>
              <w:tabs>
                <w:tab w:val="left" w:leader="dot" w:pos="6521"/>
              </w:tabs>
              <w:spacing w:before="0" w:after="0"/>
              <w:ind w:left="340"/>
              <w:rPr>
                <w:rFonts w:eastAsia="Times New Roman" w:cs="Arial"/>
                <w:sz w:val="16"/>
                <w:szCs w:val="16"/>
              </w:rPr>
            </w:pPr>
            <w:r w:rsidRPr="001F0B5B">
              <w:rPr>
                <w:rFonts w:eastAsia="Times New Roman" w:cs="Arial"/>
                <w:sz w:val="16"/>
                <w:szCs w:val="16"/>
              </w:rPr>
              <w:t>z przeważającym udziałem kapitału polskiego</w:t>
            </w:r>
          </w:p>
        </w:tc>
        <w:tc>
          <w:tcPr>
            <w:tcW w:w="1055" w:type="dxa"/>
            <w:vAlign w:val="center"/>
          </w:tcPr>
          <w:p w:rsidR="003F533D" w:rsidRPr="001F0B5B" w:rsidRDefault="003F533D" w:rsidP="003F533D">
            <w:pPr>
              <w:spacing w:before="0" w:after="0"/>
              <w:jc w:val="right"/>
              <w:rPr>
                <w:sz w:val="16"/>
                <w:szCs w:val="16"/>
              </w:rPr>
            </w:pPr>
            <w:r w:rsidRPr="001F0B5B">
              <w:rPr>
                <w:sz w:val="16"/>
                <w:szCs w:val="16"/>
              </w:rPr>
              <w:t>13</w:t>
            </w:r>
          </w:p>
        </w:tc>
        <w:tc>
          <w:tcPr>
            <w:tcW w:w="1055" w:type="dxa"/>
            <w:vAlign w:val="center"/>
          </w:tcPr>
          <w:p w:rsidR="003F533D" w:rsidRPr="001F0B5B" w:rsidRDefault="003F533D" w:rsidP="003F533D">
            <w:pPr>
              <w:spacing w:before="0" w:after="0"/>
              <w:jc w:val="right"/>
              <w:rPr>
                <w:sz w:val="16"/>
                <w:szCs w:val="16"/>
              </w:rPr>
            </w:pPr>
            <w:r w:rsidRPr="001F0B5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67" w:type="dxa"/>
            <w:vAlign w:val="center"/>
          </w:tcPr>
          <w:p w:rsidR="003F533D" w:rsidRPr="001F0B5B" w:rsidRDefault="00DD182F" w:rsidP="003F533D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</w:t>
            </w:r>
          </w:p>
        </w:tc>
      </w:tr>
      <w:tr w:rsidR="003F533D" w:rsidRPr="001F0B5B" w:rsidTr="009C7276">
        <w:trPr>
          <w:trHeight w:val="57"/>
        </w:trPr>
        <w:tc>
          <w:tcPr>
            <w:tcW w:w="5211" w:type="dxa"/>
            <w:vAlign w:val="bottom"/>
          </w:tcPr>
          <w:p w:rsidR="003F533D" w:rsidRPr="001F0B5B" w:rsidRDefault="003F533D" w:rsidP="002E6795">
            <w:pPr>
              <w:tabs>
                <w:tab w:val="left" w:leader="dot" w:pos="6521"/>
              </w:tabs>
              <w:spacing w:before="0" w:after="0"/>
              <w:ind w:left="340"/>
              <w:rPr>
                <w:rFonts w:eastAsia="Times New Roman" w:cs="Arial"/>
                <w:sz w:val="16"/>
                <w:szCs w:val="16"/>
              </w:rPr>
            </w:pPr>
            <w:r w:rsidRPr="001F0B5B">
              <w:rPr>
                <w:rFonts w:eastAsia="Times New Roman" w:cs="Arial"/>
                <w:sz w:val="16"/>
                <w:szCs w:val="16"/>
              </w:rPr>
              <w:t xml:space="preserve">z przeważającym udziałem kapitału zagranicznego </w:t>
            </w:r>
          </w:p>
        </w:tc>
        <w:tc>
          <w:tcPr>
            <w:tcW w:w="1055" w:type="dxa"/>
            <w:vAlign w:val="center"/>
          </w:tcPr>
          <w:p w:rsidR="003F533D" w:rsidRPr="001F0B5B" w:rsidRDefault="003F533D" w:rsidP="003F533D">
            <w:pPr>
              <w:spacing w:before="0" w:after="0"/>
              <w:jc w:val="right"/>
              <w:rPr>
                <w:sz w:val="16"/>
                <w:szCs w:val="16"/>
              </w:rPr>
            </w:pPr>
            <w:r w:rsidRPr="001F0B5B">
              <w:rPr>
                <w:sz w:val="16"/>
                <w:szCs w:val="16"/>
              </w:rPr>
              <w:t>49</w:t>
            </w:r>
          </w:p>
        </w:tc>
        <w:tc>
          <w:tcPr>
            <w:tcW w:w="1055" w:type="dxa"/>
            <w:vAlign w:val="center"/>
          </w:tcPr>
          <w:p w:rsidR="003F533D" w:rsidRPr="001F0B5B" w:rsidRDefault="003F533D" w:rsidP="003F533D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867" w:type="dxa"/>
            <w:vAlign w:val="center"/>
          </w:tcPr>
          <w:p w:rsidR="003F533D" w:rsidRPr="001F0B5B" w:rsidRDefault="00DD182F" w:rsidP="00DD182F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</w:t>
            </w:r>
          </w:p>
        </w:tc>
      </w:tr>
      <w:tr w:rsidR="003F533D" w:rsidRPr="001F0B5B" w:rsidTr="009C7276">
        <w:trPr>
          <w:trHeight w:val="57"/>
        </w:trPr>
        <w:tc>
          <w:tcPr>
            <w:tcW w:w="5211" w:type="dxa"/>
            <w:vAlign w:val="bottom"/>
          </w:tcPr>
          <w:p w:rsidR="003F533D" w:rsidRPr="001F0B5B" w:rsidRDefault="002E6795" w:rsidP="002E6795">
            <w:pPr>
              <w:tabs>
                <w:tab w:val="left" w:leader="dot" w:pos="6521"/>
              </w:tabs>
              <w:spacing w:before="0" w:after="0"/>
              <w:ind w:left="510"/>
              <w:rPr>
                <w:rFonts w:eastAsia="Times New Roman" w:cs="Arial"/>
                <w:iCs/>
                <w:sz w:val="16"/>
                <w:szCs w:val="16"/>
              </w:rPr>
            </w:pPr>
            <w:r w:rsidRPr="001F0B5B">
              <w:rPr>
                <w:rFonts w:eastAsia="Times New Roman" w:cs="Arial"/>
                <w:iCs/>
                <w:sz w:val="16"/>
                <w:szCs w:val="16"/>
              </w:rPr>
              <w:t xml:space="preserve">w tym </w:t>
            </w:r>
            <w:r w:rsidR="003F533D" w:rsidRPr="001F0B5B">
              <w:rPr>
                <w:rFonts w:eastAsia="Times New Roman" w:cs="Arial"/>
                <w:iCs/>
                <w:sz w:val="16"/>
                <w:szCs w:val="16"/>
              </w:rPr>
              <w:t>ze 100% udziałem kapitału zagranicznego</w:t>
            </w:r>
          </w:p>
        </w:tc>
        <w:tc>
          <w:tcPr>
            <w:tcW w:w="1055" w:type="dxa"/>
            <w:vAlign w:val="center"/>
          </w:tcPr>
          <w:p w:rsidR="003F533D" w:rsidRPr="001F0B5B" w:rsidRDefault="003F533D" w:rsidP="003F533D">
            <w:pPr>
              <w:spacing w:before="0" w:after="0"/>
              <w:jc w:val="right"/>
              <w:rPr>
                <w:sz w:val="16"/>
                <w:szCs w:val="16"/>
              </w:rPr>
            </w:pPr>
            <w:r w:rsidRPr="001F0B5B">
              <w:rPr>
                <w:sz w:val="16"/>
                <w:szCs w:val="16"/>
              </w:rPr>
              <w:t>39</w:t>
            </w:r>
          </w:p>
        </w:tc>
        <w:tc>
          <w:tcPr>
            <w:tcW w:w="1055" w:type="dxa"/>
            <w:vAlign w:val="center"/>
          </w:tcPr>
          <w:p w:rsidR="003F533D" w:rsidRPr="001F0B5B" w:rsidRDefault="003F533D" w:rsidP="003F533D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1F0B5B">
              <w:rPr>
                <w:sz w:val="16"/>
                <w:szCs w:val="16"/>
              </w:rPr>
              <w:t>3</w:t>
            </w:r>
          </w:p>
        </w:tc>
        <w:tc>
          <w:tcPr>
            <w:tcW w:w="867" w:type="dxa"/>
            <w:vAlign w:val="center"/>
          </w:tcPr>
          <w:p w:rsidR="003F533D" w:rsidRPr="001F0B5B" w:rsidRDefault="00DD182F" w:rsidP="00DD182F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</w:t>
            </w:r>
          </w:p>
        </w:tc>
      </w:tr>
      <w:tr w:rsidR="003F533D" w:rsidRPr="001F0B5B" w:rsidTr="009C7276">
        <w:trPr>
          <w:trHeight w:val="57"/>
        </w:trPr>
        <w:tc>
          <w:tcPr>
            <w:tcW w:w="5211" w:type="dxa"/>
            <w:vAlign w:val="bottom"/>
          </w:tcPr>
          <w:p w:rsidR="003F533D" w:rsidRPr="001F0B5B" w:rsidRDefault="002E6795" w:rsidP="003F533D">
            <w:pPr>
              <w:tabs>
                <w:tab w:val="left" w:leader="dot" w:pos="6521"/>
              </w:tabs>
              <w:spacing w:before="0" w:after="0"/>
              <w:ind w:left="680"/>
              <w:rPr>
                <w:rFonts w:eastAsia="Times New Roman" w:cs="Arial"/>
                <w:iCs/>
                <w:sz w:val="16"/>
                <w:szCs w:val="16"/>
              </w:rPr>
            </w:pPr>
            <w:r w:rsidRPr="002E6795">
              <w:rPr>
                <w:rFonts w:eastAsia="Times New Roman" w:cs="Arial"/>
                <w:iCs/>
                <w:sz w:val="16"/>
                <w:szCs w:val="16"/>
              </w:rPr>
              <w:t xml:space="preserve">w tym </w:t>
            </w:r>
            <w:r w:rsidR="003F533D" w:rsidRPr="001F0B5B">
              <w:rPr>
                <w:rFonts w:eastAsia="Times New Roman" w:cs="Arial"/>
                <w:iCs/>
                <w:sz w:val="16"/>
                <w:szCs w:val="16"/>
              </w:rPr>
              <w:t>oddziały instytucji kredytowych</w:t>
            </w:r>
          </w:p>
        </w:tc>
        <w:tc>
          <w:tcPr>
            <w:tcW w:w="1055" w:type="dxa"/>
            <w:vAlign w:val="center"/>
          </w:tcPr>
          <w:p w:rsidR="003F533D" w:rsidRPr="001F0B5B" w:rsidRDefault="003F533D" w:rsidP="003F533D">
            <w:pPr>
              <w:spacing w:before="0" w:after="0"/>
              <w:jc w:val="right"/>
              <w:rPr>
                <w:sz w:val="16"/>
                <w:szCs w:val="16"/>
              </w:rPr>
            </w:pPr>
            <w:r w:rsidRPr="001F0B5B">
              <w:rPr>
                <w:sz w:val="16"/>
                <w:szCs w:val="16"/>
              </w:rPr>
              <w:t>32</w:t>
            </w:r>
          </w:p>
        </w:tc>
        <w:tc>
          <w:tcPr>
            <w:tcW w:w="1055" w:type="dxa"/>
            <w:vAlign w:val="center"/>
          </w:tcPr>
          <w:p w:rsidR="003F533D" w:rsidRPr="001F0B5B" w:rsidRDefault="003F533D" w:rsidP="003F533D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867" w:type="dxa"/>
            <w:vAlign w:val="center"/>
          </w:tcPr>
          <w:p w:rsidR="003F533D" w:rsidRPr="001F0B5B" w:rsidRDefault="00DD182F" w:rsidP="003F533D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</w:t>
            </w:r>
          </w:p>
        </w:tc>
      </w:tr>
      <w:tr w:rsidR="003F533D" w:rsidRPr="001F0B5B" w:rsidTr="009C7276">
        <w:trPr>
          <w:trHeight w:val="57"/>
        </w:trPr>
        <w:tc>
          <w:tcPr>
            <w:tcW w:w="5211" w:type="dxa"/>
            <w:vAlign w:val="bottom"/>
          </w:tcPr>
          <w:p w:rsidR="003F533D" w:rsidRPr="001F0B5B" w:rsidRDefault="003F533D" w:rsidP="003F533D">
            <w:pPr>
              <w:tabs>
                <w:tab w:val="left" w:leader="dot" w:pos="6521"/>
              </w:tabs>
              <w:spacing w:before="0" w:after="0"/>
              <w:ind w:left="170"/>
              <w:rPr>
                <w:rFonts w:eastAsia="Times New Roman" w:cs="Arial"/>
                <w:sz w:val="16"/>
                <w:szCs w:val="16"/>
              </w:rPr>
            </w:pPr>
            <w:r w:rsidRPr="001F0B5B">
              <w:rPr>
                <w:rFonts w:eastAsia="Times New Roman" w:cs="Arial"/>
                <w:sz w:val="16"/>
                <w:szCs w:val="16"/>
              </w:rPr>
              <w:t>Spółdzielcze</w:t>
            </w:r>
          </w:p>
        </w:tc>
        <w:tc>
          <w:tcPr>
            <w:tcW w:w="1055" w:type="dxa"/>
            <w:vAlign w:val="center"/>
          </w:tcPr>
          <w:p w:rsidR="003F533D" w:rsidRPr="001F0B5B" w:rsidRDefault="003F533D" w:rsidP="003F533D">
            <w:pPr>
              <w:spacing w:before="0" w:after="0"/>
              <w:jc w:val="right"/>
              <w:rPr>
                <w:sz w:val="16"/>
                <w:szCs w:val="16"/>
              </w:rPr>
            </w:pPr>
            <w:r w:rsidRPr="001F0B5B">
              <w:rPr>
                <w:sz w:val="16"/>
                <w:szCs w:val="16"/>
              </w:rPr>
              <w:t>538</w:t>
            </w:r>
          </w:p>
        </w:tc>
        <w:tc>
          <w:tcPr>
            <w:tcW w:w="1055" w:type="dxa"/>
            <w:vAlign w:val="center"/>
          </w:tcPr>
          <w:p w:rsidR="003F533D" w:rsidRPr="001F0B5B" w:rsidRDefault="003F533D" w:rsidP="003F533D">
            <w:pPr>
              <w:spacing w:before="0" w:after="0"/>
              <w:jc w:val="right"/>
              <w:rPr>
                <w:sz w:val="16"/>
                <w:szCs w:val="16"/>
              </w:rPr>
            </w:pPr>
            <w:r w:rsidRPr="001F0B5B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vAlign w:val="center"/>
          </w:tcPr>
          <w:p w:rsidR="003F533D" w:rsidRPr="001F0B5B" w:rsidRDefault="003F533D" w:rsidP="00DD182F">
            <w:pPr>
              <w:spacing w:before="0" w:after="0"/>
              <w:jc w:val="right"/>
              <w:rPr>
                <w:sz w:val="16"/>
                <w:szCs w:val="16"/>
              </w:rPr>
            </w:pPr>
            <w:r w:rsidRPr="001F0B5B">
              <w:rPr>
                <w:sz w:val="16"/>
                <w:szCs w:val="16"/>
              </w:rPr>
              <w:t>-</w:t>
            </w:r>
            <w:r w:rsidR="00DD182F">
              <w:rPr>
                <w:sz w:val="16"/>
                <w:szCs w:val="16"/>
              </w:rPr>
              <w:t>8</w:t>
            </w:r>
          </w:p>
        </w:tc>
      </w:tr>
    </w:tbl>
    <w:p w:rsidR="0078457C" w:rsidRDefault="0078457C" w:rsidP="001F0B5B">
      <w:pPr>
        <w:rPr>
          <w:rFonts w:eastAsia="Fira Sans Light" w:cs="Times New Roman"/>
          <w:szCs w:val="19"/>
        </w:rPr>
      </w:pPr>
    </w:p>
    <w:p w:rsidR="003B1BC0" w:rsidRDefault="001F0B5B" w:rsidP="001F0B5B">
      <w:pPr>
        <w:rPr>
          <w:rFonts w:eastAsia="Fira Sans Light" w:cs="Times New Roman"/>
          <w:szCs w:val="19"/>
        </w:rPr>
      </w:pPr>
      <w:r w:rsidRPr="001F0B5B">
        <w:rPr>
          <w:rFonts w:eastAsia="Fira Sans Light" w:cs="Times New Roman"/>
          <w:szCs w:val="19"/>
        </w:rPr>
        <w:t>W</w:t>
      </w:r>
      <w:r w:rsidR="003C3EE9">
        <w:rPr>
          <w:rFonts w:eastAsia="Fira Sans Light" w:cs="Times New Roman"/>
          <w:szCs w:val="19"/>
        </w:rPr>
        <w:t xml:space="preserve"> 2020</w:t>
      </w:r>
      <w:r w:rsidRPr="001F0B5B">
        <w:rPr>
          <w:rFonts w:eastAsia="Fira Sans Light" w:cs="Times New Roman"/>
          <w:szCs w:val="19"/>
        </w:rPr>
        <w:t> r. działalność</w:t>
      </w:r>
      <w:r w:rsidR="00206DBC">
        <w:rPr>
          <w:rFonts w:eastAsia="Fira Sans Light" w:cs="Times New Roman"/>
          <w:szCs w:val="19"/>
        </w:rPr>
        <w:t xml:space="preserve"> operacyjną</w:t>
      </w:r>
      <w:r w:rsidRPr="001F0B5B">
        <w:rPr>
          <w:rFonts w:eastAsia="Fira Sans Light" w:cs="Times New Roman"/>
          <w:szCs w:val="19"/>
        </w:rPr>
        <w:t xml:space="preserve"> </w:t>
      </w:r>
      <w:r w:rsidR="007F35E1" w:rsidRPr="001F0B5B">
        <w:rPr>
          <w:rFonts w:eastAsia="Fira Sans Light" w:cs="Times New Roman"/>
          <w:szCs w:val="19"/>
        </w:rPr>
        <w:t>rozpoczęł</w:t>
      </w:r>
      <w:r w:rsidR="007F35E1">
        <w:rPr>
          <w:rFonts w:eastAsia="Fira Sans Light" w:cs="Times New Roman"/>
          <w:szCs w:val="19"/>
        </w:rPr>
        <w:t xml:space="preserve">y </w:t>
      </w:r>
      <w:r w:rsidR="00493EDE">
        <w:rPr>
          <w:rFonts w:eastAsia="Fira Sans Light" w:cs="Times New Roman"/>
          <w:szCs w:val="19"/>
        </w:rPr>
        <w:t>cztery</w:t>
      </w:r>
      <w:r w:rsidR="00206DBC" w:rsidRPr="001F0B5B">
        <w:rPr>
          <w:rFonts w:eastAsia="Fira Sans Light" w:cs="Times New Roman"/>
          <w:szCs w:val="19"/>
        </w:rPr>
        <w:t xml:space="preserve"> </w:t>
      </w:r>
      <w:r w:rsidR="007F35E1">
        <w:rPr>
          <w:rFonts w:eastAsia="Fira Sans Light" w:cs="Times New Roman"/>
          <w:szCs w:val="19"/>
        </w:rPr>
        <w:t>nowe banki komercyjne,</w:t>
      </w:r>
      <w:r w:rsidR="007F35E1" w:rsidRPr="001F0B5B">
        <w:rPr>
          <w:rFonts w:eastAsia="Fira Sans Light" w:cs="Times New Roman"/>
          <w:szCs w:val="19"/>
        </w:rPr>
        <w:t xml:space="preserve"> </w:t>
      </w:r>
      <w:r w:rsidRPr="001F0B5B">
        <w:rPr>
          <w:rFonts w:eastAsia="Fira Sans Light" w:cs="Times New Roman"/>
          <w:szCs w:val="19"/>
        </w:rPr>
        <w:t xml:space="preserve">jeden </w:t>
      </w:r>
      <w:r w:rsidR="00DA41F6">
        <w:rPr>
          <w:rFonts w:eastAsia="Fira Sans Light" w:cs="Times New Roman"/>
          <w:szCs w:val="19"/>
        </w:rPr>
        <w:t xml:space="preserve">w formie spółki akcyjnej </w:t>
      </w:r>
      <w:r w:rsidRPr="001F0B5B">
        <w:rPr>
          <w:rFonts w:eastAsia="Fira Sans Light" w:cs="Times New Roman"/>
          <w:szCs w:val="19"/>
        </w:rPr>
        <w:t xml:space="preserve">z większościowym udziałem kapitału </w:t>
      </w:r>
      <w:r w:rsidR="00493EDE">
        <w:rPr>
          <w:rFonts w:eastAsia="Fira Sans Light" w:cs="Times New Roman"/>
          <w:szCs w:val="19"/>
        </w:rPr>
        <w:t>polski</w:t>
      </w:r>
      <w:r w:rsidRPr="001F0B5B">
        <w:rPr>
          <w:rFonts w:eastAsia="Fira Sans Light" w:cs="Times New Roman"/>
          <w:szCs w:val="19"/>
        </w:rPr>
        <w:t xml:space="preserve">ego </w:t>
      </w:r>
      <w:r w:rsidR="00BC476C">
        <w:rPr>
          <w:rFonts w:eastAsia="Fira Sans Light" w:cs="Times New Roman"/>
          <w:szCs w:val="19"/>
        </w:rPr>
        <w:t>(</w:t>
      </w:r>
      <w:r w:rsidR="00BC476C" w:rsidRPr="00BC476C">
        <w:rPr>
          <w:rFonts w:eastAsia="Fira Sans Light" w:cs="Times New Roman"/>
          <w:szCs w:val="19"/>
        </w:rPr>
        <w:t>bank pomostowy</w:t>
      </w:r>
      <w:r w:rsidR="004F6D4E">
        <w:rPr>
          <w:rStyle w:val="Odwoanieprzypisudolnego"/>
          <w:rFonts w:eastAsia="Fira Sans Light" w:cs="Times New Roman"/>
          <w:szCs w:val="19"/>
        </w:rPr>
        <w:footnoteReference w:id="4"/>
      </w:r>
      <w:r w:rsidR="00BC476C">
        <w:rPr>
          <w:rFonts w:eastAsia="Fira Sans Light" w:cs="Times New Roman"/>
          <w:szCs w:val="19"/>
        </w:rPr>
        <w:t>)</w:t>
      </w:r>
      <w:r w:rsidR="00BC476C" w:rsidRPr="00BC476C">
        <w:rPr>
          <w:rFonts w:eastAsia="Fira Sans Light" w:cs="Times New Roman"/>
          <w:szCs w:val="19"/>
        </w:rPr>
        <w:t xml:space="preserve"> </w:t>
      </w:r>
      <w:r w:rsidRPr="001F0B5B">
        <w:rPr>
          <w:rFonts w:eastAsia="Fira Sans Light" w:cs="Times New Roman"/>
          <w:szCs w:val="19"/>
        </w:rPr>
        <w:t xml:space="preserve">oraz </w:t>
      </w:r>
      <w:r w:rsidR="00493EDE">
        <w:rPr>
          <w:rFonts w:eastAsia="Fira Sans Light" w:cs="Times New Roman"/>
          <w:szCs w:val="19"/>
        </w:rPr>
        <w:t>trzy</w:t>
      </w:r>
      <w:r w:rsidRPr="001F0B5B">
        <w:rPr>
          <w:rFonts w:eastAsia="Fira Sans Light" w:cs="Times New Roman"/>
          <w:szCs w:val="19"/>
        </w:rPr>
        <w:t xml:space="preserve"> oddział</w:t>
      </w:r>
      <w:r w:rsidR="00493EDE">
        <w:rPr>
          <w:rFonts w:eastAsia="Fira Sans Light" w:cs="Times New Roman"/>
          <w:szCs w:val="19"/>
        </w:rPr>
        <w:t>y</w:t>
      </w:r>
      <w:r w:rsidRPr="001F0B5B">
        <w:rPr>
          <w:rFonts w:eastAsia="Fira Sans Light" w:cs="Times New Roman"/>
          <w:szCs w:val="19"/>
        </w:rPr>
        <w:t xml:space="preserve"> instytucji kredytow</w:t>
      </w:r>
      <w:r w:rsidR="00493EDE">
        <w:rPr>
          <w:rFonts w:eastAsia="Fira Sans Light" w:cs="Times New Roman"/>
          <w:szCs w:val="19"/>
        </w:rPr>
        <w:t>ych</w:t>
      </w:r>
      <w:r w:rsidRPr="001F0B5B">
        <w:rPr>
          <w:rFonts w:eastAsia="Fira Sans Light" w:cs="Times New Roman"/>
          <w:szCs w:val="19"/>
        </w:rPr>
        <w:t xml:space="preserve">. </w:t>
      </w:r>
      <w:r w:rsidR="00120C9F">
        <w:rPr>
          <w:rFonts w:eastAsia="Fira Sans Light" w:cs="Times New Roman"/>
          <w:szCs w:val="19"/>
        </w:rPr>
        <w:t xml:space="preserve">Ponadto, </w:t>
      </w:r>
      <w:r w:rsidR="00120C9F" w:rsidRPr="00D73E4F">
        <w:rPr>
          <w:rFonts w:eastAsia="Fira Sans Light" w:cs="Times New Roman"/>
          <w:szCs w:val="19"/>
        </w:rPr>
        <w:t>j</w:t>
      </w:r>
      <w:r w:rsidRPr="00D73E4F">
        <w:rPr>
          <w:rFonts w:eastAsia="Fira Sans Light" w:cs="Times New Roman"/>
          <w:szCs w:val="19"/>
        </w:rPr>
        <w:t>eden bank ze 100% udziałem kapitału zagranicznego zmienił formę prawną ze spółki akcyjnej na oddział instytucji kredytowej</w:t>
      </w:r>
      <w:r w:rsidR="00493EDE" w:rsidRPr="00D73E4F">
        <w:rPr>
          <w:rFonts w:eastAsia="Fira Sans Light" w:cs="Times New Roman"/>
          <w:szCs w:val="19"/>
        </w:rPr>
        <w:t>, a</w:t>
      </w:r>
      <w:r w:rsidRPr="00D73E4F">
        <w:rPr>
          <w:rFonts w:eastAsia="Fira Sans Light" w:cs="Times New Roman"/>
          <w:szCs w:val="19"/>
        </w:rPr>
        <w:t xml:space="preserve"> jeden oddział instytucji kredytowej z</w:t>
      </w:r>
      <w:r w:rsidR="00F6697E" w:rsidRPr="00D73E4F">
        <w:rPr>
          <w:rFonts w:eastAsia="Fira Sans Light" w:cs="Times New Roman"/>
          <w:szCs w:val="19"/>
        </w:rPr>
        <w:t>o</w:t>
      </w:r>
      <w:r w:rsidRPr="00D73E4F">
        <w:rPr>
          <w:rFonts w:eastAsia="Fira Sans Light" w:cs="Times New Roman"/>
          <w:szCs w:val="19"/>
        </w:rPr>
        <w:t xml:space="preserve">stał </w:t>
      </w:r>
      <w:r w:rsidR="00507599">
        <w:rPr>
          <w:rFonts w:eastAsia="Fira Sans Light" w:cs="Times New Roman"/>
          <w:szCs w:val="19"/>
        </w:rPr>
        <w:t>zastąpiony przez</w:t>
      </w:r>
      <w:r w:rsidRPr="00D73E4F">
        <w:rPr>
          <w:rFonts w:eastAsia="Fira Sans Light" w:cs="Times New Roman"/>
          <w:szCs w:val="19"/>
        </w:rPr>
        <w:t xml:space="preserve"> inny oddział </w:t>
      </w:r>
      <w:r w:rsidR="00507599">
        <w:rPr>
          <w:rFonts w:eastAsia="Fira Sans Light" w:cs="Times New Roman"/>
          <w:szCs w:val="19"/>
        </w:rPr>
        <w:t>z tej samej grupy</w:t>
      </w:r>
      <w:r w:rsidR="00507599" w:rsidRPr="00D73E4F">
        <w:rPr>
          <w:rFonts w:eastAsia="Fira Sans Light" w:cs="Times New Roman"/>
          <w:szCs w:val="19"/>
        </w:rPr>
        <w:t xml:space="preserve"> k</w:t>
      </w:r>
      <w:r w:rsidR="00507599">
        <w:rPr>
          <w:rFonts w:eastAsia="Fira Sans Light" w:cs="Times New Roman"/>
          <w:szCs w:val="19"/>
        </w:rPr>
        <w:t>api</w:t>
      </w:r>
      <w:r w:rsidR="00507599" w:rsidRPr="00D73E4F">
        <w:rPr>
          <w:rFonts w:eastAsia="Fira Sans Light" w:cs="Times New Roman"/>
          <w:szCs w:val="19"/>
        </w:rPr>
        <w:t>t</w:t>
      </w:r>
      <w:r w:rsidR="00507599">
        <w:rPr>
          <w:rFonts w:eastAsia="Fira Sans Light" w:cs="Times New Roman"/>
          <w:szCs w:val="19"/>
        </w:rPr>
        <w:t>ał</w:t>
      </w:r>
      <w:r w:rsidR="00507599" w:rsidRPr="00D73E4F">
        <w:rPr>
          <w:rFonts w:eastAsia="Fira Sans Light" w:cs="Times New Roman"/>
          <w:szCs w:val="19"/>
        </w:rPr>
        <w:t>owej</w:t>
      </w:r>
      <w:r w:rsidRPr="00D73E4F">
        <w:rPr>
          <w:rFonts w:eastAsia="Fira Sans Light" w:cs="Times New Roman"/>
          <w:szCs w:val="19"/>
        </w:rPr>
        <w:t>.</w:t>
      </w:r>
      <w:r w:rsidRPr="001F0B5B">
        <w:rPr>
          <w:rFonts w:eastAsia="Fira Sans Light" w:cs="Times New Roman"/>
          <w:szCs w:val="19"/>
        </w:rPr>
        <w:t xml:space="preserve"> </w:t>
      </w:r>
    </w:p>
    <w:p w:rsidR="001F0B5B" w:rsidRPr="001F0B5B" w:rsidRDefault="001F0B5B" w:rsidP="001F0B5B">
      <w:pPr>
        <w:rPr>
          <w:rFonts w:eastAsia="Fira Sans Light" w:cs="Times New Roman"/>
          <w:szCs w:val="19"/>
        </w:rPr>
      </w:pPr>
      <w:r w:rsidRPr="001F0B5B">
        <w:rPr>
          <w:rFonts w:eastAsia="Fira Sans Light" w:cs="Times New Roman"/>
          <w:szCs w:val="19"/>
        </w:rPr>
        <w:t>Liczba banków spółdzielczych zmnie</w:t>
      </w:r>
      <w:r w:rsidR="003B1BC0">
        <w:rPr>
          <w:rFonts w:eastAsia="Fira Sans Light" w:cs="Times New Roman"/>
          <w:szCs w:val="19"/>
        </w:rPr>
        <w:t xml:space="preserve">jszyła się </w:t>
      </w:r>
      <w:r w:rsidR="00AC7BAA">
        <w:rPr>
          <w:rFonts w:eastAsia="Fira Sans Light" w:cs="Times New Roman"/>
          <w:szCs w:val="19"/>
        </w:rPr>
        <w:t>z powodu</w:t>
      </w:r>
      <w:r w:rsidR="003B1BC0">
        <w:rPr>
          <w:rFonts w:eastAsia="Fira Sans Light" w:cs="Times New Roman"/>
          <w:szCs w:val="19"/>
        </w:rPr>
        <w:t xml:space="preserve"> połączenia </w:t>
      </w:r>
      <w:r w:rsidR="00F65838">
        <w:rPr>
          <w:rFonts w:eastAsia="Fira Sans Light" w:cs="Times New Roman"/>
          <w:szCs w:val="19"/>
        </w:rPr>
        <w:t xml:space="preserve">w 2020 r. </w:t>
      </w:r>
      <w:r w:rsidR="00C23C4A">
        <w:rPr>
          <w:rFonts w:eastAsia="Fira Sans Light" w:cs="Times New Roman"/>
          <w:szCs w:val="19"/>
        </w:rPr>
        <w:t>sześciu</w:t>
      </w:r>
      <w:r w:rsidRPr="001F0B5B">
        <w:rPr>
          <w:rFonts w:eastAsia="Fira Sans Light" w:cs="Times New Roman"/>
          <w:szCs w:val="19"/>
        </w:rPr>
        <w:t xml:space="preserve"> banków spółdzielczych z innymi bankami spółdzielczymi oraz </w:t>
      </w:r>
      <w:r w:rsidR="00FA30E2">
        <w:rPr>
          <w:rFonts w:eastAsia="Fira Sans Light" w:cs="Times New Roman"/>
          <w:szCs w:val="19"/>
        </w:rPr>
        <w:t xml:space="preserve">w wyniku </w:t>
      </w:r>
      <w:r w:rsidR="004E36AC">
        <w:rPr>
          <w:rFonts w:eastAsia="Fira Sans Light" w:cs="Times New Roman"/>
          <w:szCs w:val="19"/>
        </w:rPr>
        <w:t>przymusow</w:t>
      </w:r>
      <w:r w:rsidR="00E956E5">
        <w:rPr>
          <w:rFonts w:eastAsia="Fira Sans Light" w:cs="Times New Roman"/>
          <w:szCs w:val="19"/>
        </w:rPr>
        <w:t>ych</w:t>
      </w:r>
      <w:r w:rsidR="004E36AC">
        <w:rPr>
          <w:rFonts w:eastAsia="Fira Sans Light" w:cs="Times New Roman"/>
          <w:szCs w:val="19"/>
        </w:rPr>
        <w:t xml:space="preserve"> restrukturyzacji</w:t>
      </w:r>
      <w:r w:rsidR="004E36AC">
        <w:rPr>
          <w:rStyle w:val="Odwoanieprzypisudolnego"/>
          <w:rFonts w:eastAsia="Fira Sans Light" w:cs="Times New Roman"/>
          <w:szCs w:val="19"/>
        </w:rPr>
        <w:footnoteReference w:id="5"/>
      </w:r>
      <w:r w:rsidR="004E36AC">
        <w:rPr>
          <w:rFonts w:eastAsia="Fira Sans Light" w:cs="Times New Roman"/>
          <w:szCs w:val="19"/>
        </w:rPr>
        <w:t xml:space="preserve"> </w:t>
      </w:r>
      <w:r w:rsidR="00B268F3">
        <w:rPr>
          <w:rFonts w:eastAsia="Fira Sans Light" w:cs="Times New Roman"/>
          <w:szCs w:val="19"/>
        </w:rPr>
        <w:t xml:space="preserve">dwóch banków </w:t>
      </w:r>
      <w:r w:rsidR="004E36AC">
        <w:rPr>
          <w:rFonts w:eastAsia="Fira Sans Light" w:cs="Times New Roman"/>
          <w:szCs w:val="19"/>
        </w:rPr>
        <w:t>spółdzielczych</w:t>
      </w:r>
      <w:r w:rsidR="003B1BC0">
        <w:rPr>
          <w:rFonts w:eastAsia="Fira Sans Light" w:cs="Times New Roman"/>
          <w:szCs w:val="19"/>
        </w:rPr>
        <w:t xml:space="preserve">, w </w:t>
      </w:r>
      <w:r w:rsidR="00FA30E2">
        <w:rPr>
          <w:rFonts w:eastAsia="Fira Sans Light" w:cs="Times New Roman"/>
          <w:szCs w:val="19"/>
        </w:rPr>
        <w:t>konsekwencji</w:t>
      </w:r>
      <w:r w:rsidR="003B1BC0">
        <w:rPr>
          <w:rFonts w:eastAsia="Fira Sans Light" w:cs="Times New Roman"/>
          <w:szCs w:val="19"/>
        </w:rPr>
        <w:t xml:space="preserve"> których jeden </w:t>
      </w:r>
      <w:r w:rsidR="00850E9B">
        <w:rPr>
          <w:rFonts w:eastAsia="Fira Sans Light" w:cs="Times New Roman"/>
          <w:szCs w:val="19"/>
        </w:rPr>
        <w:t xml:space="preserve">z tych </w:t>
      </w:r>
      <w:r w:rsidR="003B1BC0">
        <w:rPr>
          <w:rFonts w:eastAsia="Fira Sans Light" w:cs="Times New Roman"/>
          <w:szCs w:val="19"/>
        </w:rPr>
        <w:t>bank</w:t>
      </w:r>
      <w:r w:rsidR="00850E9B">
        <w:rPr>
          <w:rFonts w:eastAsia="Fira Sans Light" w:cs="Times New Roman"/>
          <w:szCs w:val="19"/>
        </w:rPr>
        <w:t>ów</w:t>
      </w:r>
      <w:r w:rsidR="003B1BC0">
        <w:rPr>
          <w:rFonts w:eastAsia="Fira Sans Light" w:cs="Times New Roman"/>
          <w:szCs w:val="19"/>
        </w:rPr>
        <w:t xml:space="preserve"> został przejęty przez </w:t>
      </w:r>
      <w:r w:rsidR="00EB0923">
        <w:rPr>
          <w:rFonts w:eastAsia="Fira Sans Light" w:cs="Times New Roman"/>
          <w:szCs w:val="19"/>
        </w:rPr>
        <w:t xml:space="preserve">powołany w tym celu </w:t>
      </w:r>
      <w:r w:rsidR="003B1BC0">
        <w:rPr>
          <w:rFonts w:eastAsia="Fira Sans Light" w:cs="Times New Roman"/>
          <w:szCs w:val="19"/>
        </w:rPr>
        <w:t xml:space="preserve">bank pomostowy, a </w:t>
      </w:r>
      <w:r w:rsidR="00E95493">
        <w:rPr>
          <w:rFonts w:eastAsia="Fira Sans Light" w:cs="Times New Roman"/>
          <w:szCs w:val="19"/>
        </w:rPr>
        <w:t>drugi</w:t>
      </w:r>
      <w:r w:rsidR="003B1BC0">
        <w:rPr>
          <w:rFonts w:eastAsia="Fira Sans Light" w:cs="Times New Roman"/>
          <w:szCs w:val="19"/>
        </w:rPr>
        <w:t xml:space="preserve"> przez bank zrzeszający</w:t>
      </w:r>
      <w:r w:rsidRPr="001F0B5B">
        <w:rPr>
          <w:rFonts w:eastAsia="Fira Sans Light" w:cs="Times New Roman"/>
          <w:szCs w:val="19"/>
        </w:rPr>
        <w:t>.</w:t>
      </w:r>
    </w:p>
    <w:p w:rsidR="008732DA" w:rsidRDefault="008732DA">
      <w:pPr>
        <w:jc w:val="both"/>
        <w:rPr>
          <w:sz w:val="18"/>
        </w:rPr>
      </w:pPr>
      <w:r>
        <w:rPr>
          <w:sz w:val="18"/>
        </w:rPr>
        <w:br w:type="page"/>
      </w:r>
    </w:p>
    <w:p w:rsidR="008732DA" w:rsidRDefault="008732DA">
      <w:pPr>
        <w:jc w:val="both"/>
        <w:rPr>
          <w:sz w:val="18"/>
        </w:rPr>
        <w:sectPr w:rsidR="008732DA" w:rsidSect="00900681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3119" w:bottom="720" w:left="720" w:header="340" w:footer="284" w:gutter="0"/>
          <w:pgNumType w:start="1"/>
          <w:cols w:space="708"/>
          <w:titlePg/>
          <w:docGrid w:linePitch="360"/>
        </w:sectPr>
      </w:pPr>
    </w:p>
    <w:p w:rsidR="00A55AAF" w:rsidRDefault="00A55AAF">
      <w:pPr>
        <w:jc w:val="both"/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2"/>
        <w:gridCol w:w="3825"/>
      </w:tblGrid>
      <w:tr w:rsidR="00703B0B" w:rsidRPr="00703B0B" w:rsidTr="009C7276">
        <w:trPr>
          <w:trHeight w:val="1912"/>
        </w:trPr>
        <w:tc>
          <w:tcPr>
            <w:tcW w:w="4379" w:type="dxa"/>
          </w:tcPr>
          <w:p w:rsidR="00703B0B" w:rsidRPr="00703B0B" w:rsidRDefault="00703B0B" w:rsidP="00703B0B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703B0B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703B0B" w:rsidRPr="00703B0B" w:rsidRDefault="00703B0B" w:rsidP="00703B0B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703B0B">
              <w:rPr>
                <w:rFonts w:cs="Arial"/>
                <w:b/>
                <w:color w:val="000000" w:themeColor="text1"/>
                <w:sz w:val="20"/>
              </w:rPr>
              <w:t>Departament Studiów</w:t>
            </w:r>
          </w:p>
          <w:p w:rsidR="00703B0B" w:rsidRPr="00703B0B" w:rsidRDefault="00703B0B" w:rsidP="00703B0B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703B0B">
              <w:rPr>
                <w:rFonts w:cs="Arial"/>
                <w:b/>
                <w:color w:val="000000" w:themeColor="text1"/>
                <w:sz w:val="20"/>
              </w:rPr>
              <w:t>Makroekonomicznych i Finansów</w:t>
            </w:r>
          </w:p>
          <w:p w:rsidR="00703B0B" w:rsidRPr="00703B0B" w:rsidRDefault="00703B0B" w:rsidP="00703B0B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="Arial"/>
                <w:b/>
                <w:color w:val="000000" w:themeColor="text1"/>
                <w:sz w:val="20"/>
                <w:szCs w:val="28"/>
              </w:rPr>
            </w:pPr>
            <w:r w:rsidRPr="00703B0B">
              <w:rPr>
                <w:rFonts w:eastAsiaTheme="majorEastAsia" w:cs="Arial"/>
                <w:b/>
                <w:color w:val="000000" w:themeColor="text1"/>
                <w:sz w:val="20"/>
                <w:szCs w:val="28"/>
              </w:rPr>
              <w:t>Dyrektor Mirosław Błażej</w:t>
            </w:r>
          </w:p>
          <w:p w:rsidR="00703B0B" w:rsidRPr="00703B0B" w:rsidRDefault="00703B0B" w:rsidP="00703B0B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="Arial"/>
                <w:color w:val="000000" w:themeColor="text1"/>
                <w:sz w:val="20"/>
                <w:szCs w:val="24"/>
                <w:lang w:val="fi-FI"/>
              </w:rPr>
            </w:pPr>
            <w:r w:rsidRPr="00703B0B">
              <w:rPr>
                <w:rFonts w:eastAsiaTheme="majorEastAsia" w:cs="Arial"/>
                <w:color w:val="000000" w:themeColor="text1"/>
                <w:sz w:val="20"/>
                <w:szCs w:val="24"/>
                <w:lang w:val="fi-FI"/>
              </w:rPr>
              <w:t>Tel: 22 608 37 73</w:t>
            </w:r>
          </w:p>
          <w:p w:rsidR="00703B0B" w:rsidRPr="00703B0B" w:rsidRDefault="00703B0B" w:rsidP="00703B0B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theme="majorBidi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3942" w:type="dxa"/>
          </w:tcPr>
          <w:p w:rsidR="00703B0B" w:rsidRPr="00703B0B" w:rsidRDefault="00703B0B" w:rsidP="00703B0B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703B0B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703B0B">
              <w:rPr>
                <w:rFonts w:cs="Arial"/>
                <w:color w:val="000000" w:themeColor="text1"/>
                <w:sz w:val="20"/>
              </w:rPr>
              <w:br/>
            </w:r>
            <w:r w:rsidRPr="00703B0B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703B0B" w:rsidRPr="00703B0B" w:rsidRDefault="00703B0B" w:rsidP="00703B0B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="Arial"/>
                <w:b/>
                <w:color w:val="000000" w:themeColor="text1"/>
                <w:sz w:val="20"/>
                <w:szCs w:val="28"/>
              </w:rPr>
            </w:pPr>
            <w:r w:rsidRPr="00703B0B">
              <w:rPr>
                <w:rFonts w:eastAsiaTheme="majorEastAsia" w:cs="Arial"/>
                <w:b/>
                <w:color w:val="000000" w:themeColor="text1"/>
                <w:sz w:val="20"/>
                <w:szCs w:val="28"/>
              </w:rPr>
              <w:t>Karolina Banaszek</w:t>
            </w:r>
          </w:p>
          <w:p w:rsidR="00703B0B" w:rsidRPr="00703B0B" w:rsidRDefault="00703B0B" w:rsidP="00703B0B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="Arial"/>
                <w:color w:val="000000" w:themeColor="text1"/>
                <w:sz w:val="20"/>
                <w:szCs w:val="24"/>
                <w:lang w:val="fi-FI"/>
              </w:rPr>
            </w:pPr>
            <w:r w:rsidRPr="00703B0B">
              <w:rPr>
                <w:rFonts w:eastAsiaTheme="majorEastAsia" w:cs="Arial"/>
                <w:color w:val="000000" w:themeColor="text1"/>
                <w:sz w:val="20"/>
                <w:szCs w:val="24"/>
                <w:lang w:val="fi-FI"/>
              </w:rPr>
              <w:t>Tel: 695 255 011</w:t>
            </w:r>
          </w:p>
          <w:p w:rsidR="00703B0B" w:rsidRPr="00703B0B" w:rsidRDefault="00703B0B" w:rsidP="00703B0B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703B0B" w:rsidRPr="00703B0B" w:rsidRDefault="00703B0B" w:rsidP="00703B0B">
      <w:pPr>
        <w:rPr>
          <w:sz w:val="20"/>
          <w:lang w:val="en-US"/>
        </w:rPr>
      </w:pPr>
    </w:p>
    <w:p w:rsidR="00703B0B" w:rsidRPr="00703B0B" w:rsidRDefault="00703B0B" w:rsidP="00703B0B">
      <w:pPr>
        <w:rPr>
          <w:sz w:val="18"/>
          <w:lang w:val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703B0B" w:rsidRPr="00703B0B" w:rsidTr="009C7276">
        <w:trPr>
          <w:trHeight w:val="610"/>
        </w:trPr>
        <w:tc>
          <w:tcPr>
            <w:tcW w:w="2721" w:type="pct"/>
            <w:vMerge w:val="restart"/>
            <w:vAlign w:val="center"/>
          </w:tcPr>
          <w:p w:rsidR="00703B0B" w:rsidRPr="00703B0B" w:rsidRDefault="00703B0B" w:rsidP="00703B0B">
            <w:pPr>
              <w:rPr>
                <w:b/>
                <w:sz w:val="20"/>
              </w:rPr>
            </w:pPr>
            <w:r w:rsidRPr="00703B0B">
              <w:rPr>
                <w:b/>
                <w:sz w:val="20"/>
              </w:rPr>
              <w:t xml:space="preserve">Wydział Współpracy z Mediami </w:t>
            </w:r>
          </w:p>
          <w:p w:rsidR="00703B0B" w:rsidRPr="00703B0B" w:rsidRDefault="00703B0B" w:rsidP="00703B0B">
            <w:pPr>
              <w:rPr>
                <w:sz w:val="20"/>
              </w:rPr>
            </w:pPr>
            <w:r w:rsidRPr="00703B0B">
              <w:rPr>
                <w:sz w:val="20"/>
              </w:rPr>
              <w:t>Tel</w:t>
            </w:r>
            <w:r w:rsidRPr="00703B0B">
              <w:rPr>
                <w:b/>
                <w:sz w:val="20"/>
              </w:rPr>
              <w:t xml:space="preserve">: </w:t>
            </w:r>
            <w:r w:rsidRPr="00703B0B">
              <w:rPr>
                <w:sz w:val="20"/>
              </w:rPr>
              <w:t xml:space="preserve">22 608 34 91, 22 608 38 04 </w:t>
            </w:r>
          </w:p>
          <w:p w:rsidR="00703B0B" w:rsidRPr="00703B0B" w:rsidRDefault="00703B0B" w:rsidP="00703B0B">
            <w:pPr>
              <w:rPr>
                <w:sz w:val="18"/>
                <w:lang w:val="en-US"/>
              </w:rPr>
            </w:pPr>
            <w:r w:rsidRPr="00703B0B">
              <w:rPr>
                <w:b/>
                <w:sz w:val="20"/>
                <w:lang w:val="en-US"/>
              </w:rPr>
              <w:t>e-mail:</w:t>
            </w:r>
            <w:r w:rsidRPr="00703B0B">
              <w:rPr>
                <w:sz w:val="20"/>
                <w:lang w:val="en-US"/>
              </w:rPr>
              <w:t xml:space="preserve"> </w:t>
            </w:r>
            <w:hyperlink r:id="rId16" w:history="1">
              <w:r w:rsidRPr="00703B0B">
                <w:rPr>
                  <w:b/>
                  <w:sz w:val="20"/>
                  <w:u w:val="single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703B0B" w:rsidRPr="00703B0B" w:rsidRDefault="00703B0B" w:rsidP="00703B0B">
            <w:pPr>
              <w:rPr>
                <w:sz w:val="18"/>
                <w:lang w:val="en-US"/>
              </w:rPr>
            </w:pPr>
            <w:r w:rsidRPr="00703B0B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0880" behindDoc="0" locked="0" layoutInCell="1" allowOverlap="1" wp14:anchorId="45FB4550" wp14:editId="539EF0D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:rsidR="00703B0B" w:rsidRPr="00703B0B" w:rsidRDefault="00703B0B" w:rsidP="00703B0B">
            <w:pPr>
              <w:rPr>
                <w:sz w:val="18"/>
              </w:rPr>
            </w:pPr>
            <w:r w:rsidRPr="00703B0B">
              <w:rPr>
                <w:sz w:val="20"/>
              </w:rPr>
              <w:t>www.stat.gov.pl</w:t>
            </w:r>
          </w:p>
        </w:tc>
      </w:tr>
      <w:tr w:rsidR="00703B0B" w:rsidRPr="00703B0B" w:rsidTr="009C7276">
        <w:trPr>
          <w:trHeight w:val="436"/>
        </w:trPr>
        <w:tc>
          <w:tcPr>
            <w:tcW w:w="2721" w:type="pct"/>
            <w:vMerge/>
            <w:vAlign w:val="center"/>
          </w:tcPr>
          <w:p w:rsidR="00703B0B" w:rsidRPr="00703B0B" w:rsidRDefault="00703B0B" w:rsidP="00703B0B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703B0B" w:rsidRPr="00703B0B" w:rsidRDefault="00703B0B" w:rsidP="00703B0B">
            <w:pPr>
              <w:rPr>
                <w:sz w:val="18"/>
              </w:rPr>
            </w:pPr>
            <w:r w:rsidRPr="00703B0B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2928" behindDoc="0" locked="0" layoutInCell="1" allowOverlap="1" wp14:anchorId="13896B34" wp14:editId="19E2653D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703B0B" w:rsidRPr="00703B0B" w:rsidRDefault="00703B0B" w:rsidP="00703B0B">
            <w:pPr>
              <w:rPr>
                <w:sz w:val="18"/>
              </w:rPr>
            </w:pPr>
            <w:r w:rsidRPr="00703B0B">
              <w:rPr>
                <w:sz w:val="20"/>
              </w:rPr>
              <w:t>@GUS_STAT</w:t>
            </w:r>
          </w:p>
        </w:tc>
      </w:tr>
      <w:tr w:rsidR="00703B0B" w:rsidRPr="00703B0B" w:rsidTr="009C7276">
        <w:trPr>
          <w:trHeight w:val="436"/>
        </w:trPr>
        <w:tc>
          <w:tcPr>
            <w:tcW w:w="2721" w:type="pct"/>
            <w:vMerge/>
            <w:vAlign w:val="center"/>
          </w:tcPr>
          <w:p w:rsidR="00703B0B" w:rsidRPr="00703B0B" w:rsidRDefault="00703B0B" w:rsidP="00703B0B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703B0B" w:rsidRPr="00703B0B" w:rsidRDefault="00703B0B" w:rsidP="00703B0B">
            <w:pPr>
              <w:rPr>
                <w:sz w:val="18"/>
              </w:rPr>
            </w:pPr>
            <w:r w:rsidRPr="00703B0B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1904" behindDoc="0" locked="0" layoutInCell="1" allowOverlap="1" wp14:anchorId="1D52833E" wp14:editId="0181B034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703B0B" w:rsidRPr="00703B0B" w:rsidRDefault="00703B0B" w:rsidP="00703B0B">
            <w:pPr>
              <w:rPr>
                <w:sz w:val="20"/>
              </w:rPr>
            </w:pPr>
            <w:r w:rsidRPr="00703B0B">
              <w:rPr>
                <w:sz w:val="20"/>
              </w:rPr>
              <w:t>@GlownyUrzadStatystyczny</w:t>
            </w:r>
          </w:p>
        </w:tc>
      </w:tr>
    </w:tbl>
    <w:p w:rsidR="00A55AAF" w:rsidRDefault="000A33CB">
      <w:pPr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13970</wp:posOffset>
                </wp:positionH>
                <wp:positionV relativeFrom="paragraph">
                  <wp:posOffset>424180</wp:posOffset>
                </wp:positionV>
                <wp:extent cx="6236970" cy="3740785"/>
                <wp:effectExtent l="0" t="0" r="11430" b="1206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970" cy="37407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B0B" w:rsidRPr="00703B0B" w:rsidRDefault="00703B0B" w:rsidP="00703B0B">
                            <w:pPr>
                              <w:rPr>
                                <w:b/>
                              </w:rPr>
                            </w:pPr>
                            <w:r w:rsidRPr="00703B0B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703B0B" w:rsidRPr="00703B0B" w:rsidRDefault="00703B0B" w:rsidP="00703B0B">
                            <w:pPr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</w:pPr>
                            <w:r w:rsidRPr="00703B0B"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  <w:fldChar w:fldCharType="begin"/>
                            </w:r>
                            <w:r w:rsidRPr="00703B0B"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  <w:instrText>HYPERLINK "http://stat.gov.pl/obszary-tematyczne/podmioty-gospodarcze-wyniki-finansowe/przedsiebiorstwa-finansowe/"</w:instrText>
                            </w:r>
                            <w:r w:rsidRPr="00703B0B"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  <w:fldChar w:fldCharType="separate"/>
                            </w:r>
                            <w:r w:rsidRPr="00703B0B"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  <w:t>Informacje sygnalne. Wyniki finansowe banków</w:t>
                            </w:r>
                          </w:p>
                          <w:p w:rsidR="00703B0B" w:rsidRPr="00703B0B" w:rsidRDefault="00703B0B" w:rsidP="00703B0B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703B0B"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  <w:fldChar w:fldCharType="end"/>
                            </w:r>
                            <w:hyperlink r:id="rId20" w:history="1">
                              <w:r w:rsidRPr="00703B0B">
                                <w:rPr>
                                  <w:color w:val="001D77"/>
                                  <w:sz w:val="18"/>
                                  <w:szCs w:val="18"/>
                                  <w:u w:val="single"/>
                                </w:rPr>
                                <w:t>Narodowy Bank Polski. Dane finansowe sektora bankowego</w:t>
                              </w:r>
                            </w:hyperlink>
                          </w:p>
                          <w:p w:rsidR="00703B0B" w:rsidRPr="00703B0B" w:rsidRDefault="0061051F" w:rsidP="00703B0B">
                            <w:pPr>
                              <w:rPr>
                                <w:b/>
                                <w:color w:val="001D77"/>
                                <w:szCs w:val="24"/>
                              </w:rPr>
                            </w:pPr>
                            <w:hyperlink r:id="rId21" w:history="1">
                              <w:r w:rsidR="00703B0B" w:rsidRPr="00703B0B">
                                <w:rPr>
                                  <w:rFonts w:eastAsia="Fira Sans Light" w:cs="Times New Roman"/>
                                  <w:color w:val="001D77"/>
                                  <w:sz w:val="18"/>
                                  <w:szCs w:val="18"/>
                                  <w:u w:val="single"/>
                                </w:rPr>
                                <w:t>Komisja Nadzoru Finansowego. Dane miesięczne sektora bankowego</w:t>
                              </w:r>
                            </w:hyperlink>
                          </w:p>
                          <w:p w:rsidR="00703B0B" w:rsidRPr="00703B0B" w:rsidRDefault="00703B0B" w:rsidP="00703B0B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703B0B" w:rsidRPr="00703B0B" w:rsidRDefault="00703B0B" w:rsidP="00703B0B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703B0B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703B0B" w:rsidRPr="00703B0B" w:rsidRDefault="0061051F" w:rsidP="00703B0B">
                            <w:pPr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</w:pPr>
                            <w:hyperlink r:id="rId22" w:history="1">
                              <w:r w:rsidR="00703B0B" w:rsidRPr="00703B0B">
                                <w:rPr>
                                  <w:rFonts w:cs="Arial"/>
                                  <w:color w:val="001D77"/>
                                  <w:sz w:val="18"/>
                                  <w:szCs w:val="30"/>
                                  <w:u w:val="single"/>
                                  <w:shd w:val="clear" w:color="auto" w:fill="F0F0F0"/>
                                </w:rPr>
                                <w:t>Bank Danych Makroekonomicznych</w:t>
                              </w:r>
                            </w:hyperlink>
                          </w:p>
                          <w:p w:rsidR="00703B0B" w:rsidRPr="00703B0B" w:rsidRDefault="00703B0B" w:rsidP="00703B0B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703B0B" w:rsidRPr="00703B0B" w:rsidRDefault="00703B0B" w:rsidP="00703B0B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703B0B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 pojęcia dostępne w słowniku</w:t>
                            </w:r>
                          </w:p>
                          <w:p w:rsidR="00703B0B" w:rsidRPr="00703B0B" w:rsidRDefault="0061051F" w:rsidP="00703B0B">
                            <w:pPr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</w:pPr>
                            <w:hyperlink r:id="rId23" w:history="1">
                              <w:r w:rsidR="00703B0B" w:rsidRPr="00703B0B">
                                <w:rPr>
                                  <w:rFonts w:cs="Arial"/>
                                  <w:color w:val="001D77"/>
                                  <w:sz w:val="18"/>
                                  <w:szCs w:val="30"/>
                                  <w:u w:val="single"/>
                                  <w:shd w:val="clear" w:color="auto" w:fill="F0F0F0"/>
                                </w:rPr>
                                <w:t>Bank komercyjny</w:t>
                              </w:r>
                            </w:hyperlink>
                          </w:p>
                          <w:p w:rsidR="00703B0B" w:rsidRPr="00703B0B" w:rsidRDefault="0061051F" w:rsidP="00703B0B">
                            <w:pPr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</w:pPr>
                            <w:hyperlink r:id="rId24" w:history="1">
                              <w:r w:rsidR="00703B0B" w:rsidRPr="00703B0B">
                                <w:rPr>
                                  <w:rFonts w:cs="Arial"/>
                                  <w:color w:val="001D77"/>
                                  <w:sz w:val="18"/>
                                  <w:szCs w:val="30"/>
                                  <w:u w:val="single"/>
                                  <w:shd w:val="clear" w:color="auto" w:fill="F0F0F0"/>
                                </w:rPr>
                                <w:t>Bank spółdzielczy</w:t>
                              </w:r>
                            </w:hyperlink>
                          </w:p>
                          <w:p w:rsidR="00703B0B" w:rsidRPr="00703B0B" w:rsidRDefault="0061051F" w:rsidP="00703B0B">
                            <w:pPr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</w:pPr>
                            <w:hyperlink r:id="rId25" w:history="1">
                              <w:r w:rsidR="00703B0B" w:rsidRPr="00703B0B">
                                <w:rPr>
                                  <w:rFonts w:cs="Arial"/>
                                  <w:color w:val="001D77"/>
                                  <w:sz w:val="18"/>
                                  <w:szCs w:val="30"/>
                                  <w:u w:val="single"/>
                                  <w:shd w:val="clear" w:color="auto" w:fill="F0F0F0"/>
                                </w:rPr>
                                <w:t>Kredyt bankowy</w:t>
                              </w:r>
                            </w:hyperlink>
                          </w:p>
                          <w:p w:rsidR="00703B0B" w:rsidRPr="00703B0B" w:rsidRDefault="0061051F" w:rsidP="00703B0B">
                            <w:pPr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</w:pPr>
                            <w:hyperlink r:id="rId26" w:history="1">
                              <w:r w:rsidR="00703B0B" w:rsidRPr="00703B0B">
                                <w:rPr>
                                  <w:rFonts w:cs="Arial"/>
                                  <w:color w:val="001D77"/>
                                  <w:sz w:val="18"/>
                                  <w:szCs w:val="30"/>
                                  <w:u w:val="single"/>
                                  <w:shd w:val="clear" w:color="auto" w:fill="F0F0F0"/>
                                </w:rPr>
                                <w:t>Depozyt bankowy</w:t>
                              </w:r>
                            </w:hyperlink>
                          </w:p>
                          <w:p w:rsidR="006E04F3" w:rsidRPr="00703B0B" w:rsidRDefault="006E04F3" w:rsidP="00946494">
                            <w:pPr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.1pt;margin-top:33.4pt;width:491.1pt;height:294.5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" fillcolor="#f2f2f2 [3052]" strokecolor="white [3212]">
                <v:textbox>
                  <w:txbxContent>
                    <w:p w:rsidR="00703B0B" w:rsidRPr="00703B0B" w:rsidRDefault="00703B0B" w:rsidP="00703B0B">
                      <w:pPr>
                        <w:rPr>
                          <w:b/>
                        </w:rPr>
                      </w:pPr>
                      <w:r w:rsidRPr="00703B0B">
                        <w:rPr>
                          <w:b/>
                        </w:rPr>
                        <w:t>Powiązane opracowania</w:t>
                      </w:r>
                    </w:p>
                    <w:p w:rsidR="00703B0B" w:rsidRPr="00703B0B" w:rsidRDefault="00703B0B" w:rsidP="00703B0B">
                      <w:pPr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</w:rPr>
                      </w:pPr>
                      <w:r w:rsidRPr="00703B0B"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</w:rPr>
                        <w:fldChar w:fldCharType="begin"/>
                      </w:r>
                      <w:r w:rsidRPr="00703B0B"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</w:rPr>
                        <w:instrText>HYPERLINK "http://stat.gov.pl/obszary-tematyczne/podmioty-gospodarcze-wyniki-finansowe/przedsiebiorstwa-finansowe/"</w:instrText>
                      </w:r>
                      <w:r w:rsidRPr="00703B0B"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</w:rPr>
                        <w:fldChar w:fldCharType="separate"/>
                      </w:r>
                      <w:r w:rsidRPr="00703B0B"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</w:rPr>
                        <w:t>Informacje sygnalne. Wyniki finansowe banków</w:t>
                      </w:r>
                    </w:p>
                    <w:p w:rsidR="00703B0B" w:rsidRPr="00703B0B" w:rsidRDefault="00703B0B" w:rsidP="00703B0B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  <w:r w:rsidRPr="00703B0B"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</w:rPr>
                        <w:fldChar w:fldCharType="end"/>
                      </w:r>
                      <w:hyperlink r:id="rId28" w:history="1">
                        <w:r w:rsidRPr="00703B0B">
                          <w:rPr>
                            <w:color w:val="001D77"/>
                            <w:sz w:val="18"/>
                            <w:szCs w:val="18"/>
                            <w:u w:val="single"/>
                          </w:rPr>
                          <w:t>Narodowy Bank Polski. Dane finansowe sektora bankowego</w:t>
                        </w:r>
                      </w:hyperlink>
                    </w:p>
                    <w:p w:rsidR="00703B0B" w:rsidRPr="00703B0B" w:rsidRDefault="001A5B47" w:rsidP="00703B0B">
                      <w:pPr>
                        <w:rPr>
                          <w:b/>
                          <w:color w:val="001D77"/>
                          <w:szCs w:val="24"/>
                        </w:rPr>
                      </w:pPr>
                      <w:hyperlink r:id="rId29" w:history="1">
                        <w:r w:rsidR="00703B0B" w:rsidRPr="00703B0B">
                          <w:rPr>
                            <w:rFonts w:eastAsia="Fira Sans Light" w:cs="Times New Roman"/>
                            <w:color w:val="001D77"/>
                            <w:sz w:val="18"/>
                            <w:szCs w:val="18"/>
                            <w:u w:val="single"/>
                          </w:rPr>
                          <w:t>Komisja Nadzoru Finansowego. Dane miesięczne sektora bankowego</w:t>
                        </w:r>
                      </w:hyperlink>
                    </w:p>
                    <w:p w:rsidR="00703B0B" w:rsidRPr="00703B0B" w:rsidRDefault="00703B0B" w:rsidP="00703B0B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703B0B" w:rsidRPr="00703B0B" w:rsidRDefault="00703B0B" w:rsidP="00703B0B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703B0B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703B0B" w:rsidRPr="00703B0B" w:rsidRDefault="001A5B47" w:rsidP="00703B0B">
                      <w:pPr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</w:rPr>
                      </w:pPr>
                      <w:hyperlink r:id="rId30" w:history="1">
                        <w:r w:rsidR="00703B0B" w:rsidRPr="00703B0B">
                          <w:rPr>
                            <w:rFonts w:cs="Arial"/>
                            <w:color w:val="001D77"/>
                            <w:sz w:val="18"/>
                            <w:szCs w:val="30"/>
                            <w:u w:val="single"/>
                            <w:shd w:val="clear" w:color="auto" w:fill="F0F0F0"/>
                          </w:rPr>
                          <w:t>Bank Danych Makroekonomicznych</w:t>
                        </w:r>
                      </w:hyperlink>
                    </w:p>
                    <w:p w:rsidR="00703B0B" w:rsidRPr="00703B0B" w:rsidRDefault="00703B0B" w:rsidP="00703B0B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703B0B" w:rsidRPr="00703B0B" w:rsidRDefault="00703B0B" w:rsidP="00703B0B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703B0B">
                        <w:rPr>
                          <w:b/>
                          <w:color w:val="000000" w:themeColor="text1"/>
                          <w:szCs w:val="24"/>
                        </w:rPr>
                        <w:t>Ważniejsze pojęcia dostępne w słowniku</w:t>
                      </w:r>
                    </w:p>
                    <w:p w:rsidR="00703B0B" w:rsidRPr="00703B0B" w:rsidRDefault="001A5B47" w:rsidP="00703B0B">
                      <w:pPr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</w:rPr>
                      </w:pPr>
                      <w:hyperlink r:id="rId31" w:history="1">
                        <w:r w:rsidR="00703B0B" w:rsidRPr="00703B0B">
                          <w:rPr>
                            <w:rFonts w:cs="Arial"/>
                            <w:color w:val="001D77"/>
                            <w:sz w:val="18"/>
                            <w:szCs w:val="30"/>
                            <w:u w:val="single"/>
                            <w:shd w:val="clear" w:color="auto" w:fill="F0F0F0"/>
                          </w:rPr>
                          <w:t>Bank komercyjny</w:t>
                        </w:r>
                      </w:hyperlink>
                    </w:p>
                    <w:p w:rsidR="00703B0B" w:rsidRPr="00703B0B" w:rsidRDefault="001A5B47" w:rsidP="00703B0B">
                      <w:pPr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</w:rPr>
                      </w:pPr>
                      <w:hyperlink r:id="rId32" w:history="1">
                        <w:r w:rsidR="00703B0B" w:rsidRPr="00703B0B">
                          <w:rPr>
                            <w:rFonts w:cs="Arial"/>
                            <w:color w:val="001D77"/>
                            <w:sz w:val="18"/>
                            <w:szCs w:val="30"/>
                            <w:u w:val="single"/>
                            <w:shd w:val="clear" w:color="auto" w:fill="F0F0F0"/>
                          </w:rPr>
                          <w:t>Bank spółdzielczy</w:t>
                        </w:r>
                      </w:hyperlink>
                    </w:p>
                    <w:p w:rsidR="00703B0B" w:rsidRPr="00703B0B" w:rsidRDefault="001A5B47" w:rsidP="00703B0B">
                      <w:pPr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</w:rPr>
                      </w:pPr>
                      <w:hyperlink r:id="rId33" w:history="1">
                        <w:r w:rsidR="00703B0B" w:rsidRPr="00703B0B">
                          <w:rPr>
                            <w:rFonts w:cs="Arial"/>
                            <w:color w:val="001D77"/>
                            <w:sz w:val="18"/>
                            <w:szCs w:val="30"/>
                            <w:u w:val="single"/>
                            <w:shd w:val="clear" w:color="auto" w:fill="F0F0F0"/>
                          </w:rPr>
                          <w:t>Kredyt bankowy</w:t>
                        </w:r>
                      </w:hyperlink>
                    </w:p>
                    <w:p w:rsidR="00703B0B" w:rsidRPr="00703B0B" w:rsidRDefault="001A5B47" w:rsidP="00703B0B">
                      <w:pPr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</w:rPr>
                      </w:pPr>
                      <w:hyperlink r:id="rId34" w:history="1">
                        <w:r w:rsidR="00703B0B" w:rsidRPr="00703B0B">
                          <w:rPr>
                            <w:rFonts w:cs="Arial"/>
                            <w:color w:val="001D77"/>
                            <w:sz w:val="18"/>
                            <w:szCs w:val="30"/>
                            <w:u w:val="single"/>
                            <w:shd w:val="clear" w:color="auto" w:fill="F0F0F0"/>
                          </w:rPr>
                          <w:t>Depozyt bankowy</w:t>
                        </w:r>
                      </w:hyperlink>
                    </w:p>
                    <w:p w:rsidR="006E04F3" w:rsidRPr="00703B0B" w:rsidRDefault="006E04F3" w:rsidP="00946494">
                      <w:pPr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55AAF" w:rsidSect="008732DA">
      <w:headerReference w:type="first" r:id="rId35"/>
      <w:pgSz w:w="11906" w:h="16838"/>
      <w:pgMar w:top="720" w:right="3119" w:bottom="720" w:left="720" w:header="170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51F" w:rsidRDefault="0061051F">
      <w:pPr>
        <w:spacing w:after="0" w:line="240" w:lineRule="auto"/>
      </w:pPr>
      <w:r>
        <w:separator/>
      </w:r>
    </w:p>
  </w:endnote>
  <w:endnote w:type="continuationSeparator" w:id="0">
    <w:p w:rsidR="0061051F" w:rsidRDefault="0061051F">
      <w:pPr>
        <w:spacing w:after="0" w:line="240" w:lineRule="auto"/>
      </w:pPr>
      <w:r>
        <w:continuationSeparator/>
      </w:r>
    </w:p>
  </w:endnote>
  <w:endnote w:type="continuationNotice" w:id="1">
    <w:p w:rsidR="0061051F" w:rsidRDefault="0061051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3232400"/>
      <w:docPartObj>
        <w:docPartGallery w:val="Page Numbers (Bottom of Page)"/>
        <w:docPartUnique/>
      </w:docPartObj>
    </w:sdtPr>
    <w:sdtEndPr/>
    <w:sdtContent>
      <w:p w:rsidR="006E04F3" w:rsidRDefault="006E04F3">
        <w:pPr>
          <w:pStyle w:val="Stopka"/>
          <w:spacing w:before="0"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342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4F3" w:rsidRDefault="006E04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51F" w:rsidRDefault="0061051F">
      <w:pPr>
        <w:spacing w:after="0" w:line="240" w:lineRule="auto"/>
      </w:pPr>
      <w:r>
        <w:separator/>
      </w:r>
    </w:p>
  </w:footnote>
  <w:footnote w:type="continuationSeparator" w:id="0">
    <w:p w:rsidR="0061051F" w:rsidRDefault="0061051F">
      <w:pPr>
        <w:spacing w:after="0" w:line="240" w:lineRule="auto"/>
      </w:pPr>
      <w:r>
        <w:continuationSeparator/>
      </w:r>
    </w:p>
  </w:footnote>
  <w:footnote w:type="continuationNotice" w:id="1">
    <w:p w:rsidR="0061051F" w:rsidRDefault="0061051F">
      <w:pPr>
        <w:spacing w:before="0" w:after="0" w:line="240" w:lineRule="auto"/>
      </w:pPr>
    </w:p>
  </w:footnote>
  <w:footnote w:id="2">
    <w:p w:rsidR="00EF7EBB" w:rsidRPr="00C80903" w:rsidRDefault="00EF7EBB" w:rsidP="00EF7EBB">
      <w:pPr>
        <w:pStyle w:val="Tekstprzypisudolnego"/>
        <w:rPr>
          <w:sz w:val="16"/>
          <w:szCs w:val="16"/>
        </w:rPr>
      </w:pPr>
      <w:r w:rsidRPr="00C80903">
        <w:rPr>
          <w:rStyle w:val="Odwoanieprzypisudolnego"/>
          <w:sz w:val="16"/>
          <w:szCs w:val="16"/>
        </w:rPr>
        <w:footnoteRef/>
      </w:r>
      <w:r w:rsidRPr="00C80903">
        <w:rPr>
          <w:sz w:val="16"/>
          <w:szCs w:val="16"/>
        </w:rPr>
        <w:t xml:space="preserve"> Opracowano na podstawie danych Narodowego Banku Polskiego z sektora bankowego za</w:t>
      </w:r>
      <w:r w:rsidR="003C3EE9" w:rsidRPr="00C80903">
        <w:rPr>
          <w:sz w:val="16"/>
          <w:szCs w:val="16"/>
        </w:rPr>
        <w:t xml:space="preserve"> 2020</w:t>
      </w:r>
      <w:r w:rsidR="001A5061" w:rsidRPr="00C80903">
        <w:rPr>
          <w:sz w:val="16"/>
          <w:szCs w:val="16"/>
        </w:rPr>
        <w:t> </w:t>
      </w:r>
      <w:r w:rsidRPr="00C80903">
        <w:rPr>
          <w:sz w:val="16"/>
          <w:szCs w:val="16"/>
        </w:rPr>
        <w:t>r. przekazanych do GUS w dniu 1</w:t>
      </w:r>
      <w:r w:rsidR="002B5EF5" w:rsidRPr="00C80903">
        <w:rPr>
          <w:sz w:val="16"/>
          <w:szCs w:val="16"/>
        </w:rPr>
        <w:t>5</w:t>
      </w:r>
      <w:r w:rsidRPr="00C80903">
        <w:rPr>
          <w:sz w:val="16"/>
          <w:szCs w:val="16"/>
        </w:rPr>
        <w:t>.02.202</w:t>
      </w:r>
      <w:r w:rsidR="002B5EF5" w:rsidRPr="00C80903">
        <w:rPr>
          <w:sz w:val="16"/>
          <w:szCs w:val="16"/>
        </w:rPr>
        <w:t>1</w:t>
      </w:r>
      <w:r w:rsidR="001A5061" w:rsidRPr="00C80903">
        <w:rPr>
          <w:sz w:val="16"/>
          <w:szCs w:val="16"/>
        </w:rPr>
        <w:t> </w:t>
      </w:r>
      <w:r w:rsidRPr="00C80903">
        <w:rPr>
          <w:sz w:val="16"/>
          <w:szCs w:val="16"/>
        </w:rPr>
        <w:t xml:space="preserve">r. Porównawcze dane za </w:t>
      </w:r>
      <w:r w:rsidR="003C3EE9" w:rsidRPr="00C80903">
        <w:rPr>
          <w:sz w:val="16"/>
          <w:szCs w:val="16"/>
        </w:rPr>
        <w:t>2019</w:t>
      </w:r>
      <w:r w:rsidR="001A5061" w:rsidRPr="00C80903">
        <w:rPr>
          <w:sz w:val="16"/>
          <w:szCs w:val="16"/>
        </w:rPr>
        <w:t> </w:t>
      </w:r>
      <w:r w:rsidRPr="00C80903">
        <w:rPr>
          <w:sz w:val="16"/>
          <w:szCs w:val="16"/>
        </w:rPr>
        <w:t xml:space="preserve">r. podano na podstawie danych dostępnych na stronie internetowej NBP (stan w dniu </w:t>
      </w:r>
      <w:r w:rsidR="0085733D" w:rsidRPr="00C80903">
        <w:rPr>
          <w:sz w:val="16"/>
          <w:szCs w:val="16"/>
        </w:rPr>
        <w:t>04.03.2021</w:t>
      </w:r>
      <w:r w:rsidR="001A5061" w:rsidRPr="00C80903">
        <w:rPr>
          <w:sz w:val="16"/>
          <w:szCs w:val="16"/>
        </w:rPr>
        <w:t> </w:t>
      </w:r>
      <w:r w:rsidRPr="00C80903">
        <w:rPr>
          <w:sz w:val="16"/>
          <w:szCs w:val="16"/>
        </w:rPr>
        <w:t xml:space="preserve">r.). Liczba banków została podana według danych UKNF. Niniejsza informacja nie uwzględnia </w:t>
      </w:r>
      <w:r w:rsidR="00386517" w:rsidRPr="00C80903">
        <w:rPr>
          <w:sz w:val="16"/>
          <w:szCs w:val="16"/>
        </w:rPr>
        <w:t>danych</w:t>
      </w:r>
      <w:r w:rsidRPr="00C80903">
        <w:rPr>
          <w:sz w:val="16"/>
          <w:szCs w:val="16"/>
        </w:rPr>
        <w:t xml:space="preserve"> banków w fazie organizacji, upadłości</w:t>
      </w:r>
      <w:r w:rsidR="00C23C4A" w:rsidRPr="00C80903">
        <w:rPr>
          <w:sz w:val="16"/>
          <w:szCs w:val="16"/>
        </w:rPr>
        <w:t>,</w:t>
      </w:r>
      <w:r w:rsidRPr="00C80903">
        <w:rPr>
          <w:sz w:val="16"/>
          <w:szCs w:val="16"/>
        </w:rPr>
        <w:t xml:space="preserve"> likwidacji</w:t>
      </w:r>
      <w:r w:rsidR="00C23C4A" w:rsidRPr="00C80903">
        <w:rPr>
          <w:sz w:val="16"/>
          <w:szCs w:val="16"/>
        </w:rPr>
        <w:t xml:space="preserve"> lub restrukturyzacji</w:t>
      </w:r>
      <w:r w:rsidRPr="00C80903">
        <w:rPr>
          <w:sz w:val="16"/>
          <w:szCs w:val="16"/>
        </w:rPr>
        <w:t>.</w:t>
      </w:r>
    </w:p>
  </w:footnote>
  <w:footnote w:id="3">
    <w:p w:rsidR="00EF7EBB" w:rsidRDefault="00EF7EBB" w:rsidP="00EF7EBB">
      <w:pPr>
        <w:pStyle w:val="Tekstprzypisudolnego"/>
        <w:spacing w:before="0"/>
      </w:pPr>
      <w:r>
        <w:rPr>
          <w:rStyle w:val="Odwoanieprzypisudolnego"/>
        </w:rPr>
        <w:footnoteRef/>
      </w:r>
      <w:r>
        <w:t xml:space="preserve"> </w:t>
      </w:r>
      <w:r w:rsidRPr="007C7560">
        <w:rPr>
          <w:rFonts w:eastAsia="Fira Sans Light" w:cs="Times New Roman"/>
          <w:sz w:val="16"/>
          <w:szCs w:val="16"/>
        </w:rPr>
        <w:t>Należności z portfela B (wartość bilansowa brutto).</w:t>
      </w:r>
    </w:p>
  </w:footnote>
  <w:footnote w:id="4">
    <w:p w:rsidR="004F6D4E" w:rsidRPr="002461C6" w:rsidRDefault="004F6D4E" w:rsidP="004F6D4E">
      <w:pPr>
        <w:pStyle w:val="Tekstprzypisudolnego"/>
        <w:rPr>
          <w:sz w:val="16"/>
          <w:szCs w:val="16"/>
        </w:rPr>
      </w:pPr>
      <w:r w:rsidRPr="002461C6">
        <w:rPr>
          <w:rStyle w:val="Odwoanieprzypisudolnego"/>
          <w:sz w:val="16"/>
          <w:szCs w:val="16"/>
        </w:rPr>
        <w:footnoteRef/>
      </w:r>
      <w:r w:rsidRPr="002461C6">
        <w:rPr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 w:rsidRPr="002461C6">
        <w:rPr>
          <w:sz w:val="16"/>
          <w:szCs w:val="16"/>
        </w:rPr>
        <w:t>nstytucja pomostowa – podmiot, którego jedynym akcjonariuszem lub podmiotem dominującym jest Bankowy Fundusz Gwarancyjny, utworzony w celu przeniesienia na ten podmiot praw udziałowych podmiotu w restrukturyzacji, jego przedsiębiorstwa albo</w:t>
      </w:r>
      <w:r>
        <w:rPr>
          <w:sz w:val="16"/>
          <w:szCs w:val="16"/>
        </w:rPr>
        <w:t xml:space="preserve"> </w:t>
      </w:r>
      <w:r w:rsidRPr="002461C6">
        <w:rPr>
          <w:sz w:val="16"/>
          <w:szCs w:val="16"/>
        </w:rPr>
        <w:t>praw majątkowych lub zobowiąza</w:t>
      </w:r>
      <w:r>
        <w:rPr>
          <w:sz w:val="16"/>
          <w:szCs w:val="16"/>
        </w:rPr>
        <w:t>ń podmiotu w restrukturyzacji w </w:t>
      </w:r>
      <w:r w:rsidRPr="002461C6">
        <w:rPr>
          <w:sz w:val="16"/>
          <w:szCs w:val="16"/>
        </w:rPr>
        <w:t>celu kontynuowania w całości lub części działalności prowadzonej przez podmiot w restrukturyzacji</w:t>
      </w:r>
      <w:r>
        <w:rPr>
          <w:sz w:val="16"/>
          <w:szCs w:val="16"/>
        </w:rPr>
        <w:t xml:space="preserve">. Tworzenie instytucji pomostowych reguluje rozdział 14 ustawy wymienionej w przypisie 4. </w:t>
      </w:r>
    </w:p>
  </w:footnote>
  <w:footnote w:id="5">
    <w:p w:rsidR="004E36AC" w:rsidRPr="00F65838" w:rsidRDefault="004E36AC" w:rsidP="004E36AC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65838">
        <w:rPr>
          <w:sz w:val="16"/>
          <w:szCs w:val="16"/>
        </w:rPr>
        <w:t>Na</w:t>
      </w:r>
      <w:r>
        <w:rPr>
          <w:sz w:val="16"/>
          <w:szCs w:val="16"/>
        </w:rPr>
        <w:t xml:space="preserve"> podstawie ustawy </w:t>
      </w:r>
      <w:r w:rsidRPr="00F65838">
        <w:rPr>
          <w:sz w:val="16"/>
          <w:szCs w:val="16"/>
        </w:rPr>
        <w:t>z dnia 10 czerwca 2016 r.</w:t>
      </w:r>
      <w:r>
        <w:rPr>
          <w:sz w:val="16"/>
          <w:szCs w:val="16"/>
        </w:rPr>
        <w:t xml:space="preserve"> </w:t>
      </w:r>
      <w:r w:rsidRPr="00F65838">
        <w:rPr>
          <w:sz w:val="16"/>
          <w:szCs w:val="16"/>
        </w:rPr>
        <w:t>o Bankowym Funduszu Gwarancyjnym, systemie gwarantowania depozytów</w:t>
      </w:r>
      <w:r>
        <w:rPr>
          <w:sz w:val="16"/>
          <w:szCs w:val="16"/>
        </w:rPr>
        <w:t xml:space="preserve"> </w:t>
      </w:r>
      <w:r w:rsidRPr="00F65838">
        <w:rPr>
          <w:sz w:val="16"/>
          <w:szCs w:val="16"/>
        </w:rPr>
        <w:t>or</w:t>
      </w:r>
      <w:r>
        <w:rPr>
          <w:sz w:val="16"/>
          <w:szCs w:val="16"/>
        </w:rPr>
        <w:t>az przymusowej restrukturyzacji (Dz. U. z 2019 r. poz. 795, z późn. zm.</w:t>
      </w:r>
      <w:r w:rsidRPr="00F65838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4F3" w:rsidRDefault="006E04F3" w:rsidP="00D16D79">
    <w:pPr>
      <w:pStyle w:val="Nagwek"/>
      <w:tabs>
        <w:tab w:val="clear" w:pos="4536"/>
        <w:tab w:val="clear" w:pos="9072"/>
        <w:tab w:val="center" w:pos="4033"/>
        <w:tab w:val="left" w:pos="4574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5372100</wp:posOffset>
              </wp:positionH>
              <wp:positionV relativeFrom="paragraph">
                <wp:posOffset>-210185</wp:posOffset>
              </wp:positionV>
              <wp:extent cx="1871980" cy="23025100"/>
              <wp:effectExtent l="0" t="0" r="0" b="6350"/>
              <wp:wrapTight wrapText="bothSides">
                <wp:wrapPolygon edited="0">
                  <wp:start x="0" y="0"/>
                  <wp:lineTo x="0" y="21588"/>
                  <wp:lineTo x="21322" y="21588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302510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E62CF6" id="Prostokąt 10" o:spid="_x0000_s1026" style="position:absolute;margin-left:423pt;margin-top:-16.55pt;width:147.4pt;height:181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" fillcolor="#f2f2f2" stroked="f" strokeweight="1pt">
              <v:path arrowok="t"/>
              <w10:wrap type="tigh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681" w:rsidRDefault="00DA41F6" w:rsidP="00A30011">
    <w:pPr>
      <w:tabs>
        <w:tab w:val="left" w:pos="6840"/>
      </w:tabs>
      <w:spacing w:after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7" behindDoc="1" locked="0" layoutInCell="1" allowOverlap="1">
              <wp:simplePos x="0" y="0"/>
              <wp:positionH relativeFrom="column">
                <wp:posOffset>5323840</wp:posOffset>
              </wp:positionH>
              <wp:positionV relativeFrom="paragraph">
                <wp:posOffset>205105</wp:posOffset>
              </wp:positionV>
              <wp:extent cx="1871980" cy="25237440"/>
              <wp:effectExtent l="0" t="0" r="0" b="3810"/>
              <wp:wrapTight wrapText="bothSides">
                <wp:wrapPolygon edited="0">
                  <wp:start x="0" y="0"/>
                  <wp:lineTo x="0" y="21587"/>
                  <wp:lineTo x="21322" y="21587"/>
                  <wp:lineTo x="21322" y="0"/>
                  <wp:lineTo x="0" y="0"/>
                </wp:wrapPolygon>
              </wp:wrapTight>
              <wp:docPr id="27" name="Prostokąt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523744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1B6C63" id="Prostokąt 27" o:spid="_x0000_s1026" style="position:absolute;margin-left:419.2pt;margin-top:16.15pt;width:147.4pt;height:1987.2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" fillcolor="#f2f2f2" stroked="f" strokeweight="1pt">
              <v:path arrowok="t"/>
              <w10:wrap type="tigh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5088856</wp:posOffset>
              </wp:positionH>
              <wp:positionV relativeFrom="paragraph">
                <wp:posOffset>204604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6E04F3" w:rsidRDefault="006E04F3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 xml:space="preserve">INFORMACJE </w:t>
                          </w:r>
                          <w:r w:rsidR="004D79CD">
                            <w:rPr>
                              <w:rFonts w:ascii="Fira Sans SemiBold" w:hAnsi="Fira Sans SemiBold"/>
                            </w:rPr>
                            <w:t>S</w:t>
                          </w:r>
                          <w:r>
                            <w:rPr>
                              <w:rFonts w:ascii="Fira Sans SemiBold" w:hAnsi="Fira Sans SemiBold"/>
                            </w:rPr>
                            <w:t>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34" style="position:absolute;margin-left:400.7pt;margin-top:16.1pt;width:162.25pt;height:28.1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6E04F3" w:rsidRDefault="006E04F3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 xml:space="preserve">INFORMACJE </w:t>
                    </w:r>
                    <w:r w:rsidR="004D79CD">
                      <w:rPr>
                        <w:rFonts w:ascii="Fira Sans SemiBold" w:hAnsi="Fira Sans SemiBold"/>
                      </w:rPr>
                      <w:t>S</w:t>
                    </w:r>
                    <w:r>
                      <w:rPr>
                        <w:rFonts w:ascii="Fira Sans SemiBold" w:hAnsi="Fira Sans SemiBold"/>
                      </w:rPr>
                      <w:t>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27038</wp:posOffset>
          </wp:positionV>
          <wp:extent cx="1054800" cy="475200"/>
          <wp:effectExtent l="0" t="0" r="0" b="1270"/>
          <wp:wrapSquare wrapText="bothSides"/>
          <wp:docPr id="13" name="Obraz 13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723" r="8706" b="17183"/>
                  <a:stretch/>
                </pic:blipFill>
                <pic:spPr bwMode="auto">
                  <a:xfrm>
                    <a:off x="0" y="0"/>
                    <a:ext cx="10548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00681" w:rsidRDefault="00900681" w:rsidP="00A30011">
    <w:pPr>
      <w:tabs>
        <w:tab w:val="left" w:pos="6840"/>
      </w:tabs>
      <w:spacing w:after="0"/>
    </w:pPr>
  </w:p>
  <w:p w:rsidR="006E04F3" w:rsidRDefault="006E04F3" w:rsidP="00A30011">
    <w:pPr>
      <w:tabs>
        <w:tab w:val="left" w:pos="6840"/>
      </w:tabs>
      <w:spacing w:after="0"/>
    </w:pPr>
  </w:p>
  <w:p w:rsidR="00DA41F6" w:rsidRDefault="00DA41F6" w:rsidP="00A30011">
    <w:pPr>
      <w:tabs>
        <w:tab w:val="left" w:pos="6840"/>
      </w:tabs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DA" w:rsidRDefault="008732DA">
    <w:pPr>
      <w:pStyle w:val="Nagwek"/>
    </w:pPr>
  </w:p>
  <w:p w:rsidR="008732DA" w:rsidRDefault="008732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69" type="#_x0000_t75" style="width:122.15pt;height:122.15pt;visibility:visible" o:bullet="t">
        <v:imagedata r:id="rId1" o:title=""/>
      </v:shape>
    </w:pict>
  </w:numPicBullet>
  <w:numPicBullet w:numPicBulletId="1">
    <w:pict>
      <v:shape id="_x0000_i1970" type="#_x0000_t75" style="width:122.15pt;height:122.15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removePersonalInformation/>
  <w:removeDateAndTime/>
  <w:proofState w:grammar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AF"/>
    <w:rsid w:val="0000272C"/>
    <w:rsid w:val="00003DA5"/>
    <w:rsid w:val="000143D4"/>
    <w:rsid w:val="000163AF"/>
    <w:rsid w:val="00020946"/>
    <w:rsid w:val="00020B0E"/>
    <w:rsid w:val="00025AEC"/>
    <w:rsid w:val="000301A4"/>
    <w:rsid w:val="000310EE"/>
    <w:rsid w:val="00044D7A"/>
    <w:rsid w:val="000530D1"/>
    <w:rsid w:val="00057E24"/>
    <w:rsid w:val="00060730"/>
    <w:rsid w:val="00062888"/>
    <w:rsid w:val="00062CE0"/>
    <w:rsid w:val="00065D67"/>
    <w:rsid w:val="00070BC7"/>
    <w:rsid w:val="0007147A"/>
    <w:rsid w:val="000753A4"/>
    <w:rsid w:val="00083963"/>
    <w:rsid w:val="000858D2"/>
    <w:rsid w:val="000A1C0B"/>
    <w:rsid w:val="000A2B6C"/>
    <w:rsid w:val="000A33CB"/>
    <w:rsid w:val="000A71C3"/>
    <w:rsid w:val="000A7BED"/>
    <w:rsid w:val="000B3440"/>
    <w:rsid w:val="000B6F4B"/>
    <w:rsid w:val="000C08A2"/>
    <w:rsid w:val="000C43B0"/>
    <w:rsid w:val="000D1DEE"/>
    <w:rsid w:val="000D4330"/>
    <w:rsid w:val="000E6678"/>
    <w:rsid w:val="000F065E"/>
    <w:rsid w:val="000F135E"/>
    <w:rsid w:val="001068F7"/>
    <w:rsid w:val="00110865"/>
    <w:rsid w:val="001121D3"/>
    <w:rsid w:val="00120C9F"/>
    <w:rsid w:val="001210D8"/>
    <w:rsid w:val="001213FC"/>
    <w:rsid w:val="00121444"/>
    <w:rsid w:val="0012663A"/>
    <w:rsid w:val="00126A52"/>
    <w:rsid w:val="00131D90"/>
    <w:rsid w:val="0014178A"/>
    <w:rsid w:val="00157223"/>
    <w:rsid w:val="00162284"/>
    <w:rsid w:val="00165C4B"/>
    <w:rsid w:val="00182354"/>
    <w:rsid w:val="00193932"/>
    <w:rsid w:val="00194445"/>
    <w:rsid w:val="001A5061"/>
    <w:rsid w:val="001A5B47"/>
    <w:rsid w:val="001A72B7"/>
    <w:rsid w:val="001B24B1"/>
    <w:rsid w:val="001B2EA9"/>
    <w:rsid w:val="001C2C89"/>
    <w:rsid w:val="001C3041"/>
    <w:rsid w:val="001D0C12"/>
    <w:rsid w:val="001D54B5"/>
    <w:rsid w:val="001E2342"/>
    <w:rsid w:val="001E25F5"/>
    <w:rsid w:val="001F0B5B"/>
    <w:rsid w:val="001F1021"/>
    <w:rsid w:val="001F7C06"/>
    <w:rsid w:val="00206DBC"/>
    <w:rsid w:val="0021109B"/>
    <w:rsid w:val="0022154B"/>
    <w:rsid w:val="00233E9B"/>
    <w:rsid w:val="002342BA"/>
    <w:rsid w:val="00234FB0"/>
    <w:rsid w:val="002377E1"/>
    <w:rsid w:val="002461C6"/>
    <w:rsid w:val="0025222C"/>
    <w:rsid w:val="00252365"/>
    <w:rsid w:val="00252BCF"/>
    <w:rsid w:val="00255B7C"/>
    <w:rsid w:val="00255FBC"/>
    <w:rsid w:val="00257D7C"/>
    <w:rsid w:val="002652D5"/>
    <w:rsid w:val="00266F75"/>
    <w:rsid w:val="002724B6"/>
    <w:rsid w:val="00273AD8"/>
    <w:rsid w:val="00285362"/>
    <w:rsid w:val="00291440"/>
    <w:rsid w:val="002A3653"/>
    <w:rsid w:val="002B0986"/>
    <w:rsid w:val="002B0F28"/>
    <w:rsid w:val="002B5EF5"/>
    <w:rsid w:val="002C0189"/>
    <w:rsid w:val="002C1576"/>
    <w:rsid w:val="002C735A"/>
    <w:rsid w:val="002D22B8"/>
    <w:rsid w:val="002D4C43"/>
    <w:rsid w:val="002E3FBA"/>
    <w:rsid w:val="002E4036"/>
    <w:rsid w:val="002E6795"/>
    <w:rsid w:val="002E7142"/>
    <w:rsid w:val="002F5929"/>
    <w:rsid w:val="003066E4"/>
    <w:rsid w:val="003075C3"/>
    <w:rsid w:val="003104F2"/>
    <w:rsid w:val="00313545"/>
    <w:rsid w:val="003203F6"/>
    <w:rsid w:val="003312D7"/>
    <w:rsid w:val="00333082"/>
    <w:rsid w:val="0033709B"/>
    <w:rsid w:val="0034599E"/>
    <w:rsid w:val="0034753E"/>
    <w:rsid w:val="00351AB6"/>
    <w:rsid w:val="003542AE"/>
    <w:rsid w:val="00364B4E"/>
    <w:rsid w:val="003776ED"/>
    <w:rsid w:val="00380AB2"/>
    <w:rsid w:val="00384D0D"/>
    <w:rsid w:val="00386232"/>
    <w:rsid w:val="00386517"/>
    <w:rsid w:val="00391CA7"/>
    <w:rsid w:val="00392A0B"/>
    <w:rsid w:val="003A2A73"/>
    <w:rsid w:val="003B1BC0"/>
    <w:rsid w:val="003B3A9E"/>
    <w:rsid w:val="003B75C1"/>
    <w:rsid w:val="003C20AF"/>
    <w:rsid w:val="003C2471"/>
    <w:rsid w:val="003C3EE9"/>
    <w:rsid w:val="003C5E79"/>
    <w:rsid w:val="003D1C2A"/>
    <w:rsid w:val="003D1E59"/>
    <w:rsid w:val="003D2A05"/>
    <w:rsid w:val="003E59AE"/>
    <w:rsid w:val="003F533D"/>
    <w:rsid w:val="00414575"/>
    <w:rsid w:val="00415A03"/>
    <w:rsid w:val="004229C8"/>
    <w:rsid w:val="0043174E"/>
    <w:rsid w:val="00435134"/>
    <w:rsid w:val="004576CC"/>
    <w:rsid w:val="00467F90"/>
    <w:rsid w:val="00474592"/>
    <w:rsid w:val="004750BC"/>
    <w:rsid w:val="004768F4"/>
    <w:rsid w:val="00477C6C"/>
    <w:rsid w:val="004821C2"/>
    <w:rsid w:val="004877C9"/>
    <w:rsid w:val="00491BD2"/>
    <w:rsid w:val="00492AB0"/>
    <w:rsid w:val="00493EDE"/>
    <w:rsid w:val="00494BCB"/>
    <w:rsid w:val="004A0ED3"/>
    <w:rsid w:val="004C2197"/>
    <w:rsid w:val="004D0C40"/>
    <w:rsid w:val="004D1D64"/>
    <w:rsid w:val="004D79CD"/>
    <w:rsid w:val="004E36AC"/>
    <w:rsid w:val="004E54D9"/>
    <w:rsid w:val="004E7353"/>
    <w:rsid w:val="004F6D4E"/>
    <w:rsid w:val="0050005A"/>
    <w:rsid w:val="00500273"/>
    <w:rsid w:val="00500FA8"/>
    <w:rsid w:val="005015CA"/>
    <w:rsid w:val="00503A35"/>
    <w:rsid w:val="00507599"/>
    <w:rsid w:val="00514A30"/>
    <w:rsid w:val="00515DBF"/>
    <w:rsid w:val="00537D12"/>
    <w:rsid w:val="00543D4F"/>
    <w:rsid w:val="00545432"/>
    <w:rsid w:val="00550028"/>
    <w:rsid w:val="00555DD3"/>
    <w:rsid w:val="0056065E"/>
    <w:rsid w:val="005617C1"/>
    <w:rsid w:val="00563CC7"/>
    <w:rsid w:val="0056590A"/>
    <w:rsid w:val="00572499"/>
    <w:rsid w:val="005902D7"/>
    <w:rsid w:val="005A09C2"/>
    <w:rsid w:val="005A2E36"/>
    <w:rsid w:val="005B6046"/>
    <w:rsid w:val="005C2754"/>
    <w:rsid w:val="005D2029"/>
    <w:rsid w:val="005D3035"/>
    <w:rsid w:val="005D50D9"/>
    <w:rsid w:val="005D5BC0"/>
    <w:rsid w:val="005D5C1C"/>
    <w:rsid w:val="005E22A0"/>
    <w:rsid w:val="005F2236"/>
    <w:rsid w:val="005F51A1"/>
    <w:rsid w:val="005F5E37"/>
    <w:rsid w:val="00600BA4"/>
    <w:rsid w:val="006015A7"/>
    <w:rsid w:val="00606E14"/>
    <w:rsid w:val="0061051F"/>
    <w:rsid w:val="0061255A"/>
    <w:rsid w:val="0061716A"/>
    <w:rsid w:val="00617FB9"/>
    <w:rsid w:val="00621BD3"/>
    <w:rsid w:val="00622DAC"/>
    <w:rsid w:val="00623B13"/>
    <w:rsid w:val="006274A5"/>
    <w:rsid w:val="00634989"/>
    <w:rsid w:val="00637452"/>
    <w:rsid w:val="00637DD1"/>
    <w:rsid w:val="00640342"/>
    <w:rsid w:val="00650FDC"/>
    <w:rsid w:val="006550FE"/>
    <w:rsid w:val="0067242B"/>
    <w:rsid w:val="0067346E"/>
    <w:rsid w:val="006850B1"/>
    <w:rsid w:val="00697989"/>
    <w:rsid w:val="006A5F32"/>
    <w:rsid w:val="006A68AF"/>
    <w:rsid w:val="006A68EE"/>
    <w:rsid w:val="006A7876"/>
    <w:rsid w:val="006B146A"/>
    <w:rsid w:val="006B672C"/>
    <w:rsid w:val="006C4807"/>
    <w:rsid w:val="006D081E"/>
    <w:rsid w:val="006D132D"/>
    <w:rsid w:val="006E00A1"/>
    <w:rsid w:val="006E04F3"/>
    <w:rsid w:val="006E2BDD"/>
    <w:rsid w:val="006E2D3C"/>
    <w:rsid w:val="006F1D69"/>
    <w:rsid w:val="006F342E"/>
    <w:rsid w:val="007012FF"/>
    <w:rsid w:val="007013AB"/>
    <w:rsid w:val="00703B0B"/>
    <w:rsid w:val="00710CBA"/>
    <w:rsid w:val="007168A2"/>
    <w:rsid w:val="00717E77"/>
    <w:rsid w:val="007238CE"/>
    <w:rsid w:val="00724B31"/>
    <w:rsid w:val="00730090"/>
    <w:rsid w:val="00733326"/>
    <w:rsid w:val="00783D68"/>
    <w:rsid w:val="0078457C"/>
    <w:rsid w:val="007864E2"/>
    <w:rsid w:val="007B40D4"/>
    <w:rsid w:val="007B57D9"/>
    <w:rsid w:val="007C2440"/>
    <w:rsid w:val="007C5D07"/>
    <w:rsid w:val="007C7247"/>
    <w:rsid w:val="007C7560"/>
    <w:rsid w:val="007E4385"/>
    <w:rsid w:val="007E7C28"/>
    <w:rsid w:val="007F35E1"/>
    <w:rsid w:val="007F693E"/>
    <w:rsid w:val="00802012"/>
    <w:rsid w:val="00802494"/>
    <w:rsid w:val="00806435"/>
    <w:rsid w:val="008305D2"/>
    <w:rsid w:val="00844AAE"/>
    <w:rsid w:val="008454E9"/>
    <w:rsid w:val="00845CEF"/>
    <w:rsid w:val="00850E9B"/>
    <w:rsid w:val="0085546A"/>
    <w:rsid w:val="0085733D"/>
    <w:rsid w:val="008640BD"/>
    <w:rsid w:val="008732DA"/>
    <w:rsid w:val="008775B7"/>
    <w:rsid w:val="00884442"/>
    <w:rsid w:val="00887876"/>
    <w:rsid w:val="008A144D"/>
    <w:rsid w:val="008A6EA5"/>
    <w:rsid w:val="008B7ED0"/>
    <w:rsid w:val="008C02CA"/>
    <w:rsid w:val="008C0435"/>
    <w:rsid w:val="008E74CF"/>
    <w:rsid w:val="008F6C88"/>
    <w:rsid w:val="00900681"/>
    <w:rsid w:val="00903A63"/>
    <w:rsid w:val="00904E41"/>
    <w:rsid w:val="0091390F"/>
    <w:rsid w:val="0092123D"/>
    <w:rsid w:val="00924DF5"/>
    <w:rsid w:val="00933AD5"/>
    <w:rsid w:val="00937B8B"/>
    <w:rsid w:val="0094093F"/>
    <w:rsid w:val="00941B61"/>
    <w:rsid w:val="00946494"/>
    <w:rsid w:val="00952E9D"/>
    <w:rsid w:val="00960F01"/>
    <w:rsid w:val="0096215D"/>
    <w:rsid w:val="00965A22"/>
    <w:rsid w:val="009770E7"/>
    <w:rsid w:val="0099277E"/>
    <w:rsid w:val="00996488"/>
    <w:rsid w:val="009A1EAC"/>
    <w:rsid w:val="009A3434"/>
    <w:rsid w:val="009A3CB0"/>
    <w:rsid w:val="009A59F9"/>
    <w:rsid w:val="009B3E61"/>
    <w:rsid w:val="009B508E"/>
    <w:rsid w:val="009C0131"/>
    <w:rsid w:val="009C4A98"/>
    <w:rsid w:val="009D2202"/>
    <w:rsid w:val="009E5124"/>
    <w:rsid w:val="009F327B"/>
    <w:rsid w:val="009F3934"/>
    <w:rsid w:val="00A02FB2"/>
    <w:rsid w:val="00A0740B"/>
    <w:rsid w:val="00A262F7"/>
    <w:rsid w:val="00A30011"/>
    <w:rsid w:val="00A30062"/>
    <w:rsid w:val="00A31D8F"/>
    <w:rsid w:val="00A333C1"/>
    <w:rsid w:val="00A425D1"/>
    <w:rsid w:val="00A44A1A"/>
    <w:rsid w:val="00A502E3"/>
    <w:rsid w:val="00A55AAF"/>
    <w:rsid w:val="00A56B29"/>
    <w:rsid w:val="00A630A5"/>
    <w:rsid w:val="00A65EA8"/>
    <w:rsid w:val="00A72FEF"/>
    <w:rsid w:val="00A766C9"/>
    <w:rsid w:val="00A76846"/>
    <w:rsid w:val="00A84029"/>
    <w:rsid w:val="00A87E30"/>
    <w:rsid w:val="00A9649A"/>
    <w:rsid w:val="00AA008F"/>
    <w:rsid w:val="00AA36E0"/>
    <w:rsid w:val="00AB32D3"/>
    <w:rsid w:val="00AB6025"/>
    <w:rsid w:val="00AC13E2"/>
    <w:rsid w:val="00AC342C"/>
    <w:rsid w:val="00AC5B37"/>
    <w:rsid w:val="00AC6628"/>
    <w:rsid w:val="00AC7BAA"/>
    <w:rsid w:val="00AD2C8B"/>
    <w:rsid w:val="00AE0CD8"/>
    <w:rsid w:val="00AE20ED"/>
    <w:rsid w:val="00AE64BD"/>
    <w:rsid w:val="00AE7A92"/>
    <w:rsid w:val="00AF5B7C"/>
    <w:rsid w:val="00B02836"/>
    <w:rsid w:val="00B03588"/>
    <w:rsid w:val="00B0640C"/>
    <w:rsid w:val="00B078BE"/>
    <w:rsid w:val="00B14276"/>
    <w:rsid w:val="00B14345"/>
    <w:rsid w:val="00B15B6F"/>
    <w:rsid w:val="00B17E6E"/>
    <w:rsid w:val="00B22C27"/>
    <w:rsid w:val="00B268F3"/>
    <w:rsid w:val="00B27CD5"/>
    <w:rsid w:val="00B27F7C"/>
    <w:rsid w:val="00B32794"/>
    <w:rsid w:val="00B425A1"/>
    <w:rsid w:val="00B47FC4"/>
    <w:rsid w:val="00B526D4"/>
    <w:rsid w:val="00B64A5A"/>
    <w:rsid w:val="00B70B72"/>
    <w:rsid w:val="00B82FD4"/>
    <w:rsid w:val="00B91DD1"/>
    <w:rsid w:val="00B91F7E"/>
    <w:rsid w:val="00BA65FB"/>
    <w:rsid w:val="00BA715D"/>
    <w:rsid w:val="00BB19A0"/>
    <w:rsid w:val="00BB74CE"/>
    <w:rsid w:val="00BB7E24"/>
    <w:rsid w:val="00BC0D2A"/>
    <w:rsid w:val="00BC476C"/>
    <w:rsid w:val="00BD097B"/>
    <w:rsid w:val="00BD3115"/>
    <w:rsid w:val="00BD5F6C"/>
    <w:rsid w:val="00BD71F8"/>
    <w:rsid w:val="00BE00E6"/>
    <w:rsid w:val="00BE139F"/>
    <w:rsid w:val="00BE23F5"/>
    <w:rsid w:val="00BE4185"/>
    <w:rsid w:val="00BF1DC4"/>
    <w:rsid w:val="00C04851"/>
    <w:rsid w:val="00C04E04"/>
    <w:rsid w:val="00C1086A"/>
    <w:rsid w:val="00C12D93"/>
    <w:rsid w:val="00C20040"/>
    <w:rsid w:val="00C23A7A"/>
    <w:rsid w:val="00C23C4A"/>
    <w:rsid w:val="00C24142"/>
    <w:rsid w:val="00C260AC"/>
    <w:rsid w:val="00C302B5"/>
    <w:rsid w:val="00C318BD"/>
    <w:rsid w:val="00C34D92"/>
    <w:rsid w:val="00C47E15"/>
    <w:rsid w:val="00C53530"/>
    <w:rsid w:val="00C6374A"/>
    <w:rsid w:val="00C6753E"/>
    <w:rsid w:val="00C7184A"/>
    <w:rsid w:val="00C71D32"/>
    <w:rsid w:val="00C773B6"/>
    <w:rsid w:val="00C77B2A"/>
    <w:rsid w:val="00C80903"/>
    <w:rsid w:val="00C809BD"/>
    <w:rsid w:val="00C83073"/>
    <w:rsid w:val="00C87CF4"/>
    <w:rsid w:val="00C920E8"/>
    <w:rsid w:val="00C94DDB"/>
    <w:rsid w:val="00C9542C"/>
    <w:rsid w:val="00CA52C2"/>
    <w:rsid w:val="00CA7A64"/>
    <w:rsid w:val="00CB00B6"/>
    <w:rsid w:val="00CB4608"/>
    <w:rsid w:val="00CB53B4"/>
    <w:rsid w:val="00CB6A38"/>
    <w:rsid w:val="00CE0D03"/>
    <w:rsid w:val="00CF0802"/>
    <w:rsid w:val="00CF117E"/>
    <w:rsid w:val="00CF2658"/>
    <w:rsid w:val="00CF7163"/>
    <w:rsid w:val="00D16D79"/>
    <w:rsid w:val="00D2021B"/>
    <w:rsid w:val="00D261E3"/>
    <w:rsid w:val="00D3079F"/>
    <w:rsid w:val="00D32AE2"/>
    <w:rsid w:val="00D33AC8"/>
    <w:rsid w:val="00D35A3B"/>
    <w:rsid w:val="00D40A4C"/>
    <w:rsid w:val="00D415BC"/>
    <w:rsid w:val="00D450CB"/>
    <w:rsid w:val="00D64806"/>
    <w:rsid w:val="00D675D5"/>
    <w:rsid w:val="00D71254"/>
    <w:rsid w:val="00D73E4F"/>
    <w:rsid w:val="00D758CE"/>
    <w:rsid w:val="00D831C9"/>
    <w:rsid w:val="00D91C21"/>
    <w:rsid w:val="00D91C73"/>
    <w:rsid w:val="00D933D6"/>
    <w:rsid w:val="00DA256A"/>
    <w:rsid w:val="00DA41F6"/>
    <w:rsid w:val="00DA4BBA"/>
    <w:rsid w:val="00DA6C90"/>
    <w:rsid w:val="00DB00EB"/>
    <w:rsid w:val="00DC088C"/>
    <w:rsid w:val="00DC22C8"/>
    <w:rsid w:val="00DC49C2"/>
    <w:rsid w:val="00DD0577"/>
    <w:rsid w:val="00DD182F"/>
    <w:rsid w:val="00DD72AE"/>
    <w:rsid w:val="00DD78AF"/>
    <w:rsid w:val="00DE342C"/>
    <w:rsid w:val="00E25685"/>
    <w:rsid w:val="00E260EF"/>
    <w:rsid w:val="00E303D6"/>
    <w:rsid w:val="00E31F90"/>
    <w:rsid w:val="00E361ED"/>
    <w:rsid w:val="00E366FB"/>
    <w:rsid w:val="00E42135"/>
    <w:rsid w:val="00E45B43"/>
    <w:rsid w:val="00E50921"/>
    <w:rsid w:val="00E55572"/>
    <w:rsid w:val="00E648D4"/>
    <w:rsid w:val="00E65CE3"/>
    <w:rsid w:val="00E669D9"/>
    <w:rsid w:val="00E66BE8"/>
    <w:rsid w:val="00E677C7"/>
    <w:rsid w:val="00E84AC8"/>
    <w:rsid w:val="00E867BD"/>
    <w:rsid w:val="00E93205"/>
    <w:rsid w:val="00E95493"/>
    <w:rsid w:val="00E956E5"/>
    <w:rsid w:val="00E95FDA"/>
    <w:rsid w:val="00EA1624"/>
    <w:rsid w:val="00EA2F7F"/>
    <w:rsid w:val="00EA3BCF"/>
    <w:rsid w:val="00EA4E46"/>
    <w:rsid w:val="00EA4F57"/>
    <w:rsid w:val="00EB0923"/>
    <w:rsid w:val="00EB4A24"/>
    <w:rsid w:val="00EB5297"/>
    <w:rsid w:val="00EC096C"/>
    <w:rsid w:val="00EC178B"/>
    <w:rsid w:val="00EC4F88"/>
    <w:rsid w:val="00EC7A6E"/>
    <w:rsid w:val="00ED3D2D"/>
    <w:rsid w:val="00EE0390"/>
    <w:rsid w:val="00EE5621"/>
    <w:rsid w:val="00EF22A8"/>
    <w:rsid w:val="00EF2B38"/>
    <w:rsid w:val="00EF4F05"/>
    <w:rsid w:val="00EF7EBB"/>
    <w:rsid w:val="00F04C23"/>
    <w:rsid w:val="00F1067B"/>
    <w:rsid w:val="00F16394"/>
    <w:rsid w:val="00F23032"/>
    <w:rsid w:val="00F24504"/>
    <w:rsid w:val="00F27C3F"/>
    <w:rsid w:val="00F35CBA"/>
    <w:rsid w:val="00F36A3F"/>
    <w:rsid w:val="00F36B4F"/>
    <w:rsid w:val="00F40448"/>
    <w:rsid w:val="00F428EC"/>
    <w:rsid w:val="00F44CE2"/>
    <w:rsid w:val="00F45825"/>
    <w:rsid w:val="00F518A2"/>
    <w:rsid w:val="00F527C4"/>
    <w:rsid w:val="00F623CC"/>
    <w:rsid w:val="00F63E38"/>
    <w:rsid w:val="00F65838"/>
    <w:rsid w:val="00F6697E"/>
    <w:rsid w:val="00F75D29"/>
    <w:rsid w:val="00F80069"/>
    <w:rsid w:val="00F86BDA"/>
    <w:rsid w:val="00F92DFC"/>
    <w:rsid w:val="00F936BA"/>
    <w:rsid w:val="00F958AE"/>
    <w:rsid w:val="00FA30E2"/>
    <w:rsid w:val="00FA44C3"/>
    <w:rsid w:val="00FA47E9"/>
    <w:rsid w:val="00FA59A8"/>
    <w:rsid w:val="00FB052E"/>
    <w:rsid w:val="00FC3AEA"/>
    <w:rsid w:val="00FC63E8"/>
    <w:rsid w:val="00FD7417"/>
    <w:rsid w:val="00FE0468"/>
    <w:rsid w:val="00FE4A37"/>
    <w:rsid w:val="00FF66CD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ID">
    <w:name w:val="LID"/>
    <w:basedOn w:val="Normalny"/>
    <w:qFormat/>
    <w:rPr>
      <w:b/>
      <w:noProof/>
      <w:szCs w:val="19"/>
      <w:lang w:eastAsia="pl-PL"/>
    </w:rPr>
  </w:style>
  <w:style w:type="table" w:customStyle="1" w:styleId="Tabelasiatki1jasnaakcent11">
    <w:name w:val="Tabela siatki 1 — jasna — akcent 11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customStyle="1" w:styleId="tytuinformacji">
    <w:name w:val="tytuł informacji"/>
    <w:basedOn w:val="Normalny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 w:themeColor="followedHyperlink"/>
      <w:u w:val="single"/>
    </w:rPr>
  </w:style>
  <w:style w:type="table" w:customStyle="1" w:styleId="GridTableLight1">
    <w:name w:val="Grid Table Light1"/>
    <w:basedOn w:val="Standardowy"/>
    <w:uiPriority w:val="40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">
    <w:name w:val="Tabela - Siatka1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37B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GridTableLight11">
    <w:name w:val="Grid Table Light11"/>
    <w:basedOn w:val="Standardowy"/>
    <w:uiPriority w:val="40"/>
    <w:rsid w:val="00EF7EB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Light12">
    <w:name w:val="Grid Table Light12"/>
    <w:basedOn w:val="Standardowy"/>
    <w:uiPriority w:val="40"/>
    <w:rsid w:val="00EF7EB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Light13">
    <w:name w:val="Grid Table Light13"/>
    <w:basedOn w:val="Standardowy"/>
    <w:uiPriority w:val="40"/>
    <w:rsid w:val="00EF7EB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Light14">
    <w:name w:val="Grid Table Light14"/>
    <w:basedOn w:val="Standardowy"/>
    <w:uiPriority w:val="40"/>
    <w:rsid w:val="001F0B5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image" Target="media/image6.png"/><Relationship Id="rId26" Type="http://schemas.openxmlformats.org/officeDocument/2006/relationships/hyperlink" Target="http://stat.gov.pl/metainformacje/slownik-pojec/pojecia-stosowane-w-statystyce-publicznej/1580,pojeci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knf.gov.pl/aktualnosci?articleId=64081&amp;p_id=18" TargetMode="External"/><Relationship Id="rId34" Type="http://schemas.openxmlformats.org/officeDocument/2006/relationships/hyperlink" Target="http://stat.gov.pl/metainformacje/slownik-pojec/pojecia-stosowane-w-statystyce-publicznej/1580,pojecie.html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5.png"/><Relationship Id="rId25" Type="http://schemas.openxmlformats.org/officeDocument/2006/relationships/hyperlink" Target="http://stat.gov.pl/metainformacje/slownik-pojec/pojecia-stosowane-w-statystyce-publicznej/162,pojecie.html" TargetMode="External"/><Relationship Id="rId33" Type="http://schemas.openxmlformats.org/officeDocument/2006/relationships/hyperlink" Target="http://stat.gov.pl/metainformacje/slownik-pojec/pojecia-stosowane-w-statystyce-publicznej/162,pojeci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bslugaprasowa@stat.gov.pl" TargetMode="External"/><Relationship Id="rId20" Type="http://schemas.openxmlformats.org/officeDocument/2006/relationships/hyperlink" Target="http://www.nbp.pl/home.aspx?f=/statystyka/pieniezna_i_bankowa/naleznosci.html" TargetMode="External"/><Relationship Id="rId29" Type="http://schemas.openxmlformats.org/officeDocument/2006/relationships/hyperlink" Target="https://www.knf.gov.pl/aktualnosci?articleId=64081&amp;p_id=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hyperlink" Target="http://stat.gov.pl/metainformacje/slownik-pojec/pojecia-stosowane-w-statystyce-publicznej/1576,pojecie.html" TargetMode="External"/><Relationship Id="rId32" Type="http://schemas.openxmlformats.org/officeDocument/2006/relationships/hyperlink" Target="http://stat.gov.pl/metainformacje/slownik-pojec/pojecia-stosowane-w-statystyce-publicznej/1576,pojecie.htm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stat.gov.pl/metainformacje/slownik-pojec/pojecia-stosowane-w-statystyce-publicznej/1575,pojecie.html" TargetMode="External"/><Relationship Id="rId28" Type="http://schemas.openxmlformats.org/officeDocument/2006/relationships/hyperlink" Target="http://www.nbp.pl/home.aspx?f=/statystyka/pieniezna_i_bankowa/naleznosci.html" TargetMode="External"/><Relationship Id="rId36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image" Target="media/image7.png"/><Relationship Id="rId31" Type="http://schemas.openxmlformats.org/officeDocument/2006/relationships/hyperlink" Target="http://stat.gov.pl/metainformacje/slownik-pojec/pojecia-stosowane-w-statystyce-publicznej/1575,pojecie.html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2.xml"/><Relationship Id="rId22" Type="http://schemas.openxmlformats.org/officeDocument/2006/relationships/hyperlink" Target="https://bdm.stat.gov.pl/" TargetMode="External"/><Relationship Id="rId30" Type="http://schemas.openxmlformats.org/officeDocument/2006/relationships/hyperlink" Target="https://bdm.stat.gov.pl/" TargetMode="External"/><Relationship Id="rId35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5" Type="http://schemas.openxmlformats.org/officeDocument/2006/relationships/chartUserShapes" Target="../drawings/drawing2.xml"/><Relationship Id="rId4" Type="http://schemas.openxmlformats.org/officeDocument/2006/relationships/package" Target="../embeddings/Arkusz_programu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0972601680603876"/>
          <c:y val="4.120195691807263E-2"/>
          <c:w val="0.56231255903138688"/>
          <c:h val="0.8019687225382224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Wykres1!$B$1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1D77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0B2702D0-70AC-4A6F-851E-B969D4691315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12317A0B-2EA0-446A-A388-4B780B85457F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1154CEDA-31A0-4925-AF3D-B0397EDA1BD9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D05DA527-2016-4AB5-9B88-42B92E09A653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BB7A2ECD-CBC4-4E3A-B3B9-72B210B70A39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85000"/>
                        <a:lumOff val="15000"/>
                      </a:schemeClr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Wykres1!$A$2:$A$6</c:f>
              <c:strCache>
                <c:ptCount val="5"/>
                <c:pt idx="0">
                  <c:v>Wynik z tytułu odsetek</c:v>
                </c:pt>
                <c:pt idx="1">
                  <c:v>Wynik z tytułu opłat i prowizji</c:v>
                </c:pt>
                <c:pt idx="2">
                  <c:v>Zyski lub straty z tytułu aktywów i zobowiązań oraz różnic kursowych, netto</c:v>
                </c:pt>
                <c:pt idx="3">
                  <c:v>Przychody z tytułu dywidend</c:v>
                </c:pt>
                <c:pt idx="4">
                  <c:v>Wynik z tytułu pozostałych przychodów i kosztów operacyjnych</c:v>
                </c:pt>
              </c:strCache>
            </c:strRef>
          </c:cat>
          <c:val>
            <c:numRef>
              <c:f>Wykres1!$B$2:$B$6</c:f>
              <c:numCache>
                <c:formatCode>0.0</c:formatCode>
                <c:ptCount val="5"/>
                <c:pt idx="0">
                  <c:v>69.314378794609809</c:v>
                </c:pt>
                <c:pt idx="1">
                  <c:v>21.976899155930699</c:v>
                </c:pt>
                <c:pt idx="2">
                  <c:v>5.7515178439212207</c:v>
                </c:pt>
                <c:pt idx="3">
                  <c:v>1.3564341774026361</c:v>
                </c:pt>
                <c:pt idx="4">
                  <c:v>1.6007700281356436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Wykres1!$D$2:$D$6</c15:f>
                <c15:dlblRangeCache>
                  <c:ptCount val="5"/>
                  <c:pt idx="0">
                    <c:v>69,3 (-0,2)</c:v>
                  </c:pt>
                  <c:pt idx="1">
                    <c:v>22,0 (+3,0)</c:v>
                  </c:pt>
                  <c:pt idx="2">
                    <c:v>5,8 (-0,5)</c:v>
                  </c:pt>
                  <c:pt idx="3">
                    <c:v>1,4 (-1,6)</c:v>
                  </c:pt>
                  <c:pt idx="4">
                    <c:v>1,6 (-0,6)</c:v>
                  </c:pt>
                </c15:dlblRangeCache>
              </c15:datalabelsRange>
            </c:ext>
          </c:extLst>
        </c:ser>
        <c:ser>
          <c:idx val="1"/>
          <c:order val="1"/>
          <c:tx>
            <c:strRef>
              <c:f>Wykres1!$C$1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6677AD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411091018686132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85000"/>
                        <a:lumOff val="15000"/>
                      </a:schemeClr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Wykres1!$A$2:$A$6</c:f>
              <c:strCache>
                <c:ptCount val="5"/>
                <c:pt idx="0">
                  <c:v>Wynik z tytułu odsetek</c:v>
                </c:pt>
                <c:pt idx="1">
                  <c:v>Wynik z tytułu opłat i prowizji</c:v>
                </c:pt>
                <c:pt idx="2">
                  <c:v>Zyski lub straty z tytułu aktywów i zobowiązań oraz różnic kursowych, netto</c:v>
                </c:pt>
                <c:pt idx="3">
                  <c:v>Przychody z tytułu dywidend</c:v>
                </c:pt>
                <c:pt idx="4">
                  <c:v>Wynik z tytułu pozostałych przychodów i kosztów operacyjnych</c:v>
                </c:pt>
              </c:strCache>
            </c:strRef>
          </c:cat>
          <c:val>
            <c:numRef>
              <c:f>Wykres1!$C$2:$C$6</c:f>
              <c:numCache>
                <c:formatCode>0.0</c:formatCode>
                <c:ptCount val="5"/>
                <c:pt idx="0">
                  <c:v>69.516422320718263</c:v>
                </c:pt>
                <c:pt idx="1">
                  <c:v>18.965223320831914</c:v>
                </c:pt>
                <c:pt idx="2">
                  <c:v>6.2890669394249352</c:v>
                </c:pt>
                <c:pt idx="3">
                  <c:v>3.0259120354585751</c:v>
                </c:pt>
                <c:pt idx="4">
                  <c:v>2.2033753835663146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9"/>
        <c:axId val="507713008"/>
        <c:axId val="507713400"/>
      </c:barChart>
      <c:catAx>
        <c:axId val="50771300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" lastClr="FFFFFF">
                <a:lumMod val="50000"/>
              </a:sys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85000"/>
                    <a:lumOff val="15000"/>
                  </a:schemeClr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507713400"/>
        <c:crosses val="autoZero"/>
        <c:auto val="1"/>
        <c:lblAlgn val="ctr"/>
        <c:lblOffset val="100"/>
        <c:noMultiLvlLbl val="0"/>
      </c:catAx>
      <c:valAx>
        <c:axId val="507713400"/>
        <c:scaling>
          <c:orientation val="minMax"/>
          <c:max val="80"/>
        </c:scaling>
        <c:delete val="1"/>
        <c:axPos val="t"/>
        <c:numFmt formatCode="0" sourceLinked="0"/>
        <c:majorTickMark val="none"/>
        <c:minorTickMark val="none"/>
        <c:tickLblPos val="nextTo"/>
        <c:crossAx val="507713008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0106790448662268"/>
          <c:y val="0.71957836197737901"/>
          <c:w val="7.7791858296193991E-2"/>
          <c:h val="0.124952454235835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85000"/>
                  <a:lumOff val="15000"/>
                </a:schemeClr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5172484036510362E-2"/>
          <c:y val="0.12160756958103867"/>
          <c:w val="0.92157320233319007"/>
          <c:h val="0.66394918675951864"/>
        </c:manualLayout>
      </c:layout>
      <c:lineChart>
        <c:grouping val="standard"/>
        <c:varyColors val="0"/>
        <c:ser>
          <c:idx val="0"/>
          <c:order val="0"/>
          <c:tx>
            <c:strRef>
              <c:f>Wykres2!$C$1</c:f>
              <c:strCache>
                <c:ptCount val="1"/>
                <c:pt idx="0">
                  <c:v>Sektor niefinansowy</c:v>
                </c:pt>
              </c:strCache>
            </c:strRef>
          </c:tx>
          <c:spPr>
            <a:ln w="28575" cap="rnd">
              <a:solidFill>
                <a:srgbClr val="99A5C9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6350">
                <a:solidFill>
                  <a:srgbClr val="99A5C9"/>
                </a:solidFill>
              </a:ln>
              <a:effectLst/>
            </c:spPr>
          </c:marker>
          <c:cat>
            <c:multiLvlStrRef>
              <c:f>Wykres2!$A$2:$B$36</c:f>
              <c:multiLvlStrCache>
                <c:ptCount val="35"/>
                <c:lvl>
                  <c:pt idx="0">
                    <c:v>IV</c:v>
                  </c:pt>
                  <c:pt idx="1">
                    <c:v>IV</c:v>
                  </c:pt>
                  <c:pt idx="2">
                    <c:v>IV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I</c:v>
                  </c:pt>
                  <c:pt idx="20">
                    <c:v>II</c:v>
                  </c:pt>
                  <c:pt idx="21">
                    <c:v>III</c:v>
                  </c:pt>
                  <c:pt idx="22">
                    <c:v>IV</c:v>
                  </c:pt>
                  <c:pt idx="23">
                    <c:v>I</c:v>
                  </c:pt>
                  <c:pt idx="24">
                    <c:v>II</c:v>
                  </c:pt>
                  <c:pt idx="25">
                    <c:v>III</c:v>
                  </c:pt>
                  <c:pt idx="26">
                    <c:v>IV</c:v>
                  </c:pt>
                  <c:pt idx="27">
                    <c:v>I</c:v>
                  </c:pt>
                  <c:pt idx="28">
                    <c:v>II</c:v>
                  </c:pt>
                  <c:pt idx="29">
                    <c:v>III</c:v>
                  </c:pt>
                  <c:pt idx="30">
                    <c:v>IV</c:v>
                  </c:pt>
                  <c:pt idx="31">
                    <c:v>I</c:v>
                  </c:pt>
                  <c:pt idx="32">
                    <c:v>II</c:v>
                  </c:pt>
                  <c:pt idx="33">
                    <c:v>III</c:v>
                  </c:pt>
                  <c:pt idx="34">
                    <c:v>IV</c:v>
                  </c:pt>
                </c:lvl>
                <c:lvl>
                  <c:pt idx="3">
                    <c:v>2013</c:v>
                  </c:pt>
                  <c:pt idx="7">
                    <c:v>2014</c:v>
                  </c:pt>
                  <c:pt idx="11">
                    <c:v>2015</c:v>
                  </c:pt>
                  <c:pt idx="15">
                    <c:v>2016</c:v>
                  </c:pt>
                  <c:pt idx="19">
                    <c:v>2017</c:v>
                  </c:pt>
                  <c:pt idx="23">
                    <c:v>2018</c:v>
                  </c:pt>
                  <c:pt idx="27">
                    <c:v>2019</c:v>
                  </c:pt>
                  <c:pt idx="31">
                    <c:v>2020</c:v>
                  </c:pt>
                </c:lvl>
              </c:multiLvlStrCache>
            </c:multiLvlStrRef>
          </c:cat>
          <c:val>
            <c:numRef>
              <c:f>Wykres2!$C$2:$C$36</c:f>
              <c:numCache>
                <c:formatCode>0</c:formatCode>
                <c:ptCount val="35"/>
                <c:pt idx="0">
                  <c:v>38584247301</c:v>
                </c:pt>
                <c:pt idx="1">
                  <c:v>58229274500</c:v>
                </c:pt>
                <c:pt idx="2">
                  <c:v>41080466887</c:v>
                </c:pt>
                <c:pt idx="3">
                  <c:v>36312255117</c:v>
                </c:pt>
                <c:pt idx="4">
                  <c:v>45584440947</c:v>
                </c:pt>
                <c:pt idx="5">
                  <c:v>49008129277</c:v>
                </c:pt>
                <c:pt idx="6">
                  <c:v>19533888776</c:v>
                </c:pt>
                <c:pt idx="7">
                  <c:v>31090131397</c:v>
                </c:pt>
                <c:pt idx="8">
                  <c:v>39572762386</c:v>
                </c:pt>
                <c:pt idx="9">
                  <c:v>39364262257</c:v>
                </c:pt>
                <c:pt idx="10">
                  <c:v>712671396</c:v>
                </c:pt>
                <c:pt idx="11">
                  <c:v>19302917576</c:v>
                </c:pt>
                <c:pt idx="12">
                  <c:v>27739469437</c:v>
                </c:pt>
                <c:pt idx="13">
                  <c:v>20001207898</c:v>
                </c:pt>
                <c:pt idx="14">
                  <c:v>-19443399424</c:v>
                </c:pt>
                <c:pt idx="15">
                  <c:v>-5692708452</c:v>
                </c:pt>
                <c:pt idx="16">
                  <c:v>-16088935574</c:v>
                </c:pt>
                <c:pt idx="17">
                  <c:v>-13286588014</c:v>
                </c:pt>
                <c:pt idx="18">
                  <c:v>-56216237608</c:v>
                </c:pt>
                <c:pt idx="19">
                  <c:v>-35806447541</c:v>
                </c:pt>
                <c:pt idx="20">
                  <c:v>-22719812174</c:v>
                </c:pt>
                <c:pt idx="21">
                  <c:v>-20569157540</c:v>
                </c:pt>
                <c:pt idx="22">
                  <c:v>-69677918321.994507</c:v>
                </c:pt>
                <c:pt idx="23">
                  <c:v>-60644102046</c:v>
                </c:pt>
                <c:pt idx="24">
                  <c:v>-55070302940</c:v>
                </c:pt>
                <c:pt idx="25">
                  <c:v>-58521469723</c:v>
                </c:pt>
                <c:pt idx="26">
                  <c:v>-102347771435</c:v>
                </c:pt>
                <c:pt idx="27">
                  <c:v>-98233636413</c:v>
                </c:pt>
                <c:pt idx="28">
                  <c:v>-106916594777</c:v>
                </c:pt>
                <c:pt idx="29">
                  <c:v>-110685034193</c:v>
                </c:pt>
                <c:pt idx="30">
                  <c:v>-165970628800</c:v>
                </c:pt>
                <c:pt idx="31">
                  <c:v>-170393734363</c:v>
                </c:pt>
                <c:pt idx="32">
                  <c:v>-276849239282</c:v>
                </c:pt>
                <c:pt idx="33">
                  <c:v>-292383872979</c:v>
                </c:pt>
                <c:pt idx="34">
                  <c:v>-332253627968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Wykres2!$D$1</c:f>
              <c:strCache>
                <c:ptCount val="1"/>
                <c:pt idx="0">
                  <c:v>Sektor instytucji rządowych i samorządowych</c:v>
                </c:pt>
              </c:strCache>
            </c:strRef>
          </c:tx>
          <c:spPr>
            <a:ln w="28575" cap="rnd">
              <a:solidFill>
                <a:srgbClr val="001D77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6350">
                <a:solidFill>
                  <a:srgbClr val="001D77"/>
                </a:solidFill>
              </a:ln>
              <a:effectLst/>
            </c:spPr>
          </c:marker>
          <c:cat>
            <c:multiLvlStrRef>
              <c:f>Wykres2!$A$2:$B$36</c:f>
              <c:multiLvlStrCache>
                <c:ptCount val="35"/>
                <c:lvl>
                  <c:pt idx="0">
                    <c:v>IV</c:v>
                  </c:pt>
                  <c:pt idx="1">
                    <c:v>IV</c:v>
                  </c:pt>
                  <c:pt idx="2">
                    <c:v>IV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I</c:v>
                  </c:pt>
                  <c:pt idx="20">
                    <c:v>II</c:v>
                  </c:pt>
                  <c:pt idx="21">
                    <c:v>III</c:v>
                  </c:pt>
                  <c:pt idx="22">
                    <c:v>IV</c:v>
                  </c:pt>
                  <c:pt idx="23">
                    <c:v>I</c:v>
                  </c:pt>
                  <c:pt idx="24">
                    <c:v>II</c:v>
                  </c:pt>
                  <c:pt idx="25">
                    <c:v>III</c:v>
                  </c:pt>
                  <c:pt idx="26">
                    <c:v>IV</c:v>
                  </c:pt>
                  <c:pt idx="27">
                    <c:v>I</c:v>
                  </c:pt>
                  <c:pt idx="28">
                    <c:v>II</c:v>
                  </c:pt>
                  <c:pt idx="29">
                    <c:v>III</c:v>
                  </c:pt>
                  <c:pt idx="30">
                    <c:v>IV</c:v>
                  </c:pt>
                  <c:pt idx="31">
                    <c:v>I</c:v>
                  </c:pt>
                  <c:pt idx="32">
                    <c:v>II</c:v>
                  </c:pt>
                  <c:pt idx="33">
                    <c:v>III</c:v>
                  </c:pt>
                  <c:pt idx="34">
                    <c:v>IV</c:v>
                  </c:pt>
                </c:lvl>
                <c:lvl>
                  <c:pt idx="3">
                    <c:v>2013</c:v>
                  </c:pt>
                  <c:pt idx="7">
                    <c:v>2014</c:v>
                  </c:pt>
                  <c:pt idx="11">
                    <c:v>2015</c:v>
                  </c:pt>
                  <c:pt idx="15">
                    <c:v>2016</c:v>
                  </c:pt>
                  <c:pt idx="19">
                    <c:v>2017</c:v>
                  </c:pt>
                  <c:pt idx="23">
                    <c:v>2018</c:v>
                  </c:pt>
                  <c:pt idx="27">
                    <c:v>2019</c:v>
                  </c:pt>
                  <c:pt idx="31">
                    <c:v>2020</c:v>
                  </c:pt>
                </c:lvl>
              </c:multiLvlStrCache>
            </c:multiLvlStrRef>
          </c:cat>
          <c:val>
            <c:numRef>
              <c:f>Wykres2!$D$2:$D$36</c:f>
              <c:numCache>
                <c:formatCode>0</c:formatCode>
                <c:ptCount val="35"/>
                <c:pt idx="0">
                  <c:v>149192483330</c:v>
                </c:pt>
                <c:pt idx="1">
                  <c:v>166419599839</c:v>
                </c:pt>
                <c:pt idx="2">
                  <c:v>152320265763</c:v>
                </c:pt>
                <c:pt idx="3">
                  <c:v>160864735899</c:v>
                </c:pt>
                <c:pt idx="4">
                  <c:v>163988877285</c:v>
                </c:pt>
                <c:pt idx="5">
                  <c:v>149454516810</c:v>
                </c:pt>
                <c:pt idx="6">
                  <c:v>180609086945</c:v>
                </c:pt>
                <c:pt idx="7">
                  <c:v>174965080995</c:v>
                </c:pt>
                <c:pt idx="8">
                  <c:v>168544130046</c:v>
                </c:pt>
                <c:pt idx="9">
                  <c:v>193075842204</c:v>
                </c:pt>
                <c:pt idx="10">
                  <c:v>219874626013</c:v>
                </c:pt>
                <c:pt idx="11">
                  <c:v>204178098571</c:v>
                </c:pt>
                <c:pt idx="12">
                  <c:v>225638185320</c:v>
                </c:pt>
                <c:pt idx="13">
                  <c:v>223828040928</c:v>
                </c:pt>
                <c:pt idx="14">
                  <c:v>247103047683</c:v>
                </c:pt>
                <c:pt idx="15">
                  <c:v>261003194386</c:v>
                </c:pt>
                <c:pt idx="16">
                  <c:v>271945727988</c:v>
                </c:pt>
                <c:pt idx="17">
                  <c:v>267207358374</c:v>
                </c:pt>
                <c:pt idx="18">
                  <c:v>299054427220</c:v>
                </c:pt>
                <c:pt idx="19">
                  <c:v>270732680913</c:v>
                </c:pt>
                <c:pt idx="20">
                  <c:v>269390896819</c:v>
                </c:pt>
                <c:pt idx="21">
                  <c:v>264633138528</c:v>
                </c:pt>
                <c:pt idx="22">
                  <c:v>304854156193</c:v>
                </c:pt>
                <c:pt idx="23">
                  <c:v>278309565433</c:v>
                </c:pt>
                <c:pt idx="24">
                  <c:v>279521216746</c:v>
                </c:pt>
                <c:pt idx="25">
                  <c:v>297492324752</c:v>
                </c:pt>
                <c:pt idx="26">
                  <c:v>318456780958</c:v>
                </c:pt>
                <c:pt idx="27">
                  <c:v>320977170629</c:v>
                </c:pt>
                <c:pt idx="28">
                  <c:v>318290343720</c:v>
                </c:pt>
                <c:pt idx="29">
                  <c:v>290886168573</c:v>
                </c:pt>
                <c:pt idx="30">
                  <c:v>357485537955</c:v>
                </c:pt>
                <c:pt idx="31">
                  <c:v>352255659275</c:v>
                </c:pt>
                <c:pt idx="32">
                  <c:v>358461784363</c:v>
                </c:pt>
                <c:pt idx="33">
                  <c:v>360522869162</c:v>
                </c:pt>
                <c:pt idx="34">
                  <c:v>415768371131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Wykres2!$E$1</c:f>
              <c:strCache>
                <c:ptCount val="1"/>
                <c:pt idx="0">
                  <c:v>Razem</c:v>
                </c:pt>
              </c:strCache>
            </c:strRef>
          </c:tx>
          <c:spPr>
            <a:ln w="28575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>
                  <a:alpha val="90000"/>
                </a:schemeClr>
              </a:solidFill>
              <a:ln w="6350">
                <a:solidFill>
                  <a:srgbClr val="00682F"/>
                </a:solidFill>
              </a:ln>
              <a:effectLst/>
            </c:spPr>
          </c:marker>
          <c:cat>
            <c:multiLvlStrRef>
              <c:f>Wykres2!$A$2:$B$36</c:f>
              <c:multiLvlStrCache>
                <c:ptCount val="35"/>
                <c:lvl>
                  <c:pt idx="0">
                    <c:v>IV</c:v>
                  </c:pt>
                  <c:pt idx="1">
                    <c:v>IV</c:v>
                  </c:pt>
                  <c:pt idx="2">
                    <c:v>IV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I</c:v>
                  </c:pt>
                  <c:pt idx="20">
                    <c:v>II</c:v>
                  </c:pt>
                  <c:pt idx="21">
                    <c:v>III</c:v>
                  </c:pt>
                  <c:pt idx="22">
                    <c:v>IV</c:v>
                  </c:pt>
                  <c:pt idx="23">
                    <c:v>I</c:v>
                  </c:pt>
                  <c:pt idx="24">
                    <c:v>II</c:v>
                  </c:pt>
                  <c:pt idx="25">
                    <c:v>III</c:v>
                  </c:pt>
                  <c:pt idx="26">
                    <c:v>IV</c:v>
                  </c:pt>
                  <c:pt idx="27">
                    <c:v>I</c:v>
                  </c:pt>
                  <c:pt idx="28">
                    <c:v>II</c:v>
                  </c:pt>
                  <c:pt idx="29">
                    <c:v>III</c:v>
                  </c:pt>
                  <c:pt idx="30">
                    <c:v>IV</c:v>
                  </c:pt>
                  <c:pt idx="31">
                    <c:v>I</c:v>
                  </c:pt>
                  <c:pt idx="32">
                    <c:v>II</c:v>
                  </c:pt>
                  <c:pt idx="33">
                    <c:v>III</c:v>
                  </c:pt>
                  <c:pt idx="34">
                    <c:v>IV</c:v>
                  </c:pt>
                </c:lvl>
                <c:lvl>
                  <c:pt idx="3">
                    <c:v>2013</c:v>
                  </c:pt>
                  <c:pt idx="7">
                    <c:v>2014</c:v>
                  </c:pt>
                  <c:pt idx="11">
                    <c:v>2015</c:v>
                  </c:pt>
                  <c:pt idx="15">
                    <c:v>2016</c:v>
                  </c:pt>
                  <c:pt idx="19">
                    <c:v>2017</c:v>
                  </c:pt>
                  <c:pt idx="23">
                    <c:v>2018</c:v>
                  </c:pt>
                  <c:pt idx="27">
                    <c:v>2019</c:v>
                  </c:pt>
                  <c:pt idx="31">
                    <c:v>2020</c:v>
                  </c:pt>
                </c:lvl>
              </c:multiLvlStrCache>
            </c:multiLvlStrRef>
          </c:cat>
          <c:val>
            <c:numRef>
              <c:f>Wykres2!$E$2:$E$36</c:f>
              <c:numCache>
                <c:formatCode>0</c:formatCode>
                <c:ptCount val="35"/>
                <c:pt idx="0">
                  <c:v>187776730631</c:v>
                </c:pt>
                <c:pt idx="1">
                  <c:v>224648874339</c:v>
                </c:pt>
                <c:pt idx="2">
                  <c:v>193400732650</c:v>
                </c:pt>
                <c:pt idx="3">
                  <c:v>197176991016</c:v>
                </c:pt>
                <c:pt idx="4">
                  <c:v>209573318232</c:v>
                </c:pt>
                <c:pt idx="5">
                  <c:v>198462646087</c:v>
                </c:pt>
                <c:pt idx="6">
                  <c:v>200142975721</c:v>
                </c:pt>
                <c:pt idx="7">
                  <c:v>206055212392</c:v>
                </c:pt>
                <c:pt idx="8">
                  <c:v>208116892432</c:v>
                </c:pt>
                <c:pt idx="9">
                  <c:v>232440104461</c:v>
                </c:pt>
                <c:pt idx="10">
                  <c:v>220587297409</c:v>
                </c:pt>
                <c:pt idx="11">
                  <c:v>223481016147</c:v>
                </c:pt>
                <c:pt idx="12">
                  <c:v>253377654757</c:v>
                </c:pt>
                <c:pt idx="13">
                  <c:v>243829248826</c:v>
                </c:pt>
                <c:pt idx="14">
                  <c:v>227659648259</c:v>
                </c:pt>
                <c:pt idx="15">
                  <c:v>255310485934</c:v>
                </c:pt>
                <c:pt idx="16">
                  <c:v>255856792414</c:v>
                </c:pt>
                <c:pt idx="17">
                  <c:v>253920770360</c:v>
                </c:pt>
                <c:pt idx="18">
                  <c:v>242838189612</c:v>
                </c:pt>
                <c:pt idx="19">
                  <c:v>234926233372</c:v>
                </c:pt>
                <c:pt idx="20">
                  <c:v>246671084645</c:v>
                </c:pt>
                <c:pt idx="21">
                  <c:v>244063980988</c:v>
                </c:pt>
                <c:pt idx="22">
                  <c:v>235176237871.00537</c:v>
                </c:pt>
                <c:pt idx="23">
                  <c:v>217665463387</c:v>
                </c:pt>
                <c:pt idx="24">
                  <c:v>224450913806</c:v>
                </c:pt>
                <c:pt idx="25">
                  <c:v>238970855029</c:v>
                </c:pt>
                <c:pt idx="26">
                  <c:v>216109009523</c:v>
                </c:pt>
                <c:pt idx="27">
                  <c:v>222743534216</c:v>
                </c:pt>
                <c:pt idx="28">
                  <c:v>211373748943</c:v>
                </c:pt>
                <c:pt idx="29">
                  <c:v>180201134380</c:v>
                </c:pt>
                <c:pt idx="30">
                  <c:v>191514909155</c:v>
                </c:pt>
                <c:pt idx="31">
                  <c:v>181861924912</c:v>
                </c:pt>
                <c:pt idx="32">
                  <c:v>81612545081</c:v>
                </c:pt>
                <c:pt idx="33">
                  <c:v>68138996183</c:v>
                </c:pt>
                <c:pt idx="34">
                  <c:v>83514743163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7710656"/>
        <c:axId val="507720456"/>
      </c:lineChart>
      <c:catAx>
        <c:axId val="507710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507720456"/>
        <c:crosses val="autoZero"/>
        <c:auto val="1"/>
        <c:lblAlgn val="ctr"/>
        <c:lblOffset val="1"/>
        <c:tickMarkSkip val="1"/>
        <c:noMultiLvlLbl val="0"/>
      </c:catAx>
      <c:valAx>
        <c:axId val="507720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spPr>
          <a:noFill/>
          <a:ln>
            <a:solidFill>
              <a:schemeClr val="accent1">
                <a:shade val="5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07710656"/>
        <c:crosses val="autoZero"/>
        <c:crossBetween val="between"/>
        <c:dispUnits>
          <c:builtInUnit val="billions"/>
          <c:dispUnitsLbl>
            <c:layout>
              <c:manualLayout>
                <c:xMode val="edge"/>
                <c:yMode val="edge"/>
                <c:x val="1.6849133858267716E-2"/>
                <c:y val="3.3134594903983683E-2"/>
              </c:manualLayout>
            </c:layout>
            <c:tx>
              <c:rich>
                <a:bodyPr rot="0" spcFirstLastPara="1" vertOverflow="ellipsis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r>
                    <a:rPr lang="pl-PL"/>
                    <a:t>mld zł</a:t>
                  </a:r>
                </a:p>
              </c:rich>
            </c:tx>
            <c:spPr>
              <a:noFill/>
              <a:ln>
                <a:noFill/>
              </a:ln>
              <a:effectLst/>
            </c:spPr>
            <c:txPr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  <c:userShapes r:id="rId5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5172484036510362E-2"/>
          <c:y val="0.12160756958103867"/>
          <c:w val="0.92157320233319007"/>
          <c:h val="0.66394918675951864"/>
        </c:manualLayout>
      </c:layout>
      <c:lineChart>
        <c:grouping val="standard"/>
        <c:varyColors val="0"/>
        <c:ser>
          <c:idx val="0"/>
          <c:order val="0"/>
          <c:tx>
            <c:strRef>
              <c:f>Arkusz3!$C$1</c:f>
              <c:strCache>
                <c:ptCount val="1"/>
                <c:pt idx="0">
                  <c:v>Sektor niefinansowy</c:v>
                </c:pt>
              </c:strCache>
            </c:strRef>
          </c:tx>
          <c:spPr>
            <a:ln w="28575" cap="rnd">
              <a:solidFill>
                <a:srgbClr val="99A5C9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accent1">
                    <a:lumMod val="75000"/>
                  </a:schemeClr>
                </a:solidFill>
              </a:ln>
              <a:effectLst/>
            </c:spPr>
          </c:marker>
          <c:cat>
            <c:multiLvlStrRef>
              <c:f>Arkusz3!$A$2:$B$32</c:f>
              <c:multiLvlStrCache>
                <c:ptCount val="31"/>
                <c:lvl>
                  <c:pt idx="0">
                    <c:v>IV</c:v>
                  </c:pt>
                  <c:pt idx="1">
                    <c:v>IV</c:v>
                  </c:pt>
                  <c:pt idx="2">
                    <c:v>IV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I</c:v>
                  </c:pt>
                  <c:pt idx="20">
                    <c:v>II</c:v>
                  </c:pt>
                  <c:pt idx="21">
                    <c:v>III</c:v>
                  </c:pt>
                  <c:pt idx="22">
                    <c:v>IV</c:v>
                  </c:pt>
                  <c:pt idx="23">
                    <c:v>I</c:v>
                  </c:pt>
                  <c:pt idx="24">
                    <c:v>II</c:v>
                  </c:pt>
                  <c:pt idx="25">
                    <c:v>III</c:v>
                  </c:pt>
                  <c:pt idx="26">
                    <c:v>IV</c:v>
                  </c:pt>
                  <c:pt idx="27">
                    <c:v>I</c:v>
                  </c:pt>
                  <c:pt idx="28">
                    <c:v>II</c:v>
                  </c:pt>
                  <c:pt idx="29">
                    <c:v>III</c:v>
                  </c:pt>
                  <c:pt idx="30">
                    <c:v>IV</c:v>
                  </c:pt>
                </c:lvl>
                <c:lvl>
                  <c:pt idx="3">
                    <c:v>2013</c:v>
                  </c:pt>
                  <c:pt idx="7">
                    <c:v>2014</c:v>
                  </c:pt>
                  <c:pt idx="11">
                    <c:v>2015</c:v>
                  </c:pt>
                  <c:pt idx="15">
                    <c:v>2016</c:v>
                  </c:pt>
                  <c:pt idx="19">
                    <c:v>2017</c:v>
                  </c:pt>
                  <c:pt idx="23">
                    <c:v>2018</c:v>
                  </c:pt>
                  <c:pt idx="27">
                    <c:v>2019</c:v>
                  </c:pt>
                </c:lvl>
              </c:multiLvlStrCache>
            </c:multiLvlStrRef>
          </c:cat>
          <c:val>
            <c:numRef>
              <c:f>Arkusz3!$C$2:$C$32</c:f>
              <c:numCache>
                <c:formatCode>#,##0</c:formatCode>
                <c:ptCount val="31"/>
                <c:pt idx="0">
                  <c:v>38584247301</c:v>
                </c:pt>
                <c:pt idx="1">
                  <c:v>58229274500</c:v>
                </c:pt>
                <c:pt idx="2">
                  <c:v>41080466887</c:v>
                </c:pt>
                <c:pt idx="3">
                  <c:v>36312255117</c:v>
                </c:pt>
                <c:pt idx="4">
                  <c:v>45584440947</c:v>
                </c:pt>
                <c:pt idx="5">
                  <c:v>49008129277</c:v>
                </c:pt>
                <c:pt idx="6">
                  <c:v>19533888776</c:v>
                </c:pt>
                <c:pt idx="7">
                  <c:v>31090131397</c:v>
                </c:pt>
                <c:pt idx="8">
                  <c:v>39572762386</c:v>
                </c:pt>
                <c:pt idx="9">
                  <c:v>39364262257</c:v>
                </c:pt>
                <c:pt idx="10">
                  <c:v>712671396</c:v>
                </c:pt>
                <c:pt idx="11">
                  <c:v>19302917576</c:v>
                </c:pt>
                <c:pt idx="12">
                  <c:v>27739469437</c:v>
                </c:pt>
                <c:pt idx="13">
                  <c:v>20001207898</c:v>
                </c:pt>
                <c:pt idx="14">
                  <c:v>-19443399424</c:v>
                </c:pt>
                <c:pt idx="15">
                  <c:v>-5692708452</c:v>
                </c:pt>
                <c:pt idx="16">
                  <c:v>-16088935574</c:v>
                </c:pt>
                <c:pt idx="17">
                  <c:v>-13286588014</c:v>
                </c:pt>
                <c:pt idx="18">
                  <c:v>-56216237608</c:v>
                </c:pt>
                <c:pt idx="19">
                  <c:v>-35806447541</c:v>
                </c:pt>
                <c:pt idx="20">
                  <c:v>-22719812174</c:v>
                </c:pt>
                <c:pt idx="21">
                  <c:v>-20569157540</c:v>
                </c:pt>
                <c:pt idx="22">
                  <c:v>-69677918321.994507</c:v>
                </c:pt>
                <c:pt idx="23">
                  <c:v>-60644102046</c:v>
                </c:pt>
                <c:pt idx="24">
                  <c:v>-55070302940</c:v>
                </c:pt>
                <c:pt idx="25">
                  <c:v>-58521469723</c:v>
                </c:pt>
                <c:pt idx="26">
                  <c:v>-102347771435</c:v>
                </c:pt>
                <c:pt idx="27">
                  <c:v>-98233636413</c:v>
                </c:pt>
                <c:pt idx="28">
                  <c:v>-106916594777</c:v>
                </c:pt>
                <c:pt idx="29">
                  <c:v>-110685034193</c:v>
                </c:pt>
                <c:pt idx="30">
                  <c:v>-165663783567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Arkusz3!$D$1</c:f>
              <c:strCache>
                <c:ptCount val="1"/>
                <c:pt idx="0">
                  <c:v>Sektor instytucji rządowych i samorządowych</c:v>
                </c:pt>
              </c:strCache>
            </c:strRef>
          </c:tx>
          <c:spPr>
            <a:ln w="28575" cap="rnd">
              <a:solidFill>
                <a:srgbClr val="001D77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002060"/>
                </a:solidFill>
              </a:ln>
              <a:effectLst/>
            </c:spPr>
          </c:marker>
          <c:cat>
            <c:multiLvlStrRef>
              <c:f>Arkusz3!$A$2:$B$32</c:f>
              <c:multiLvlStrCache>
                <c:ptCount val="31"/>
                <c:lvl>
                  <c:pt idx="0">
                    <c:v>IV</c:v>
                  </c:pt>
                  <c:pt idx="1">
                    <c:v>IV</c:v>
                  </c:pt>
                  <c:pt idx="2">
                    <c:v>IV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I</c:v>
                  </c:pt>
                  <c:pt idx="20">
                    <c:v>II</c:v>
                  </c:pt>
                  <c:pt idx="21">
                    <c:v>III</c:v>
                  </c:pt>
                  <c:pt idx="22">
                    <c:v>IV</c:v>
                  </c:pt>
                  <c:pt idx="23">
                    <c:v>I</c:v>
                  </c:pt>
                  <c:pt idx="24">
                    <c:v>II</c:v>
                  </c:pt>
                  <c:pt idx="25">
                    <c:v>III</c:v>
                  </c:pt>
                  <c:pt idx="26">
                    <c:v>IV</c:v>
                  </c:pt>
                  <c:pt idx="27">
                    <c:v>I</c:v>
                  </c:pt>
                  <c:pt idx="28">
                    <c:v>II</c:v>
                  </c:pt>
                  <c:pt idx="29">
                    <c:v>III</c:v>
                  </c:pt>
                  <c:pt idx="30">
                    <c:v>IV</c:v>
                  </c:pt>
                </c:lvl>
                <c:lvl>
                  <c:pt idx="3">
                    <c:v>2013</c:v>
                  </c:pt>
                  <c:pt idx="7">
                    <c:v>2014</c:v>
                  </c:pt>
                  <c:pt idx="11">
                    <c:v>2015</c:v>
                  </c:pt>
                  <c:pt idx="15">
                    <c:v>2016</c:v>
                  </c:pt>
                  <c:pt idx="19">
                    <c:v>2017</c:v>
                  </c:pt>
                  <c:pt idx="23">
                    <c:v>2018</c:v>
                  </c:pt>
                  <c:pt idx="27">
                    <c:v>2019</c:v>
                  </c:pt>
                </c:lvl>
              </c:multiLvlStrCache>
            </c:multiLvlStrRef>
          </c:cat>
          <c:val>
            <c:numRef>
              <c:f>Arkusz3!$D$2:$D$32</c:f>
              <c:numCache>
                <c:formatCode>#,##0</c:formatCode>
                <c:ptCount val="31"/>
                <c:pt idx="0">
                  <c:v>149192483330</c:v>
                </c:pt>
                <c:pt idx="1">
                  <c:v>166419599839</c:v>
                </c:pt>
                <c:pt idx="2">
                  <c:v>152320265763</c:v>
                </c:pt>
                <c:pt idx="3">
                  <c:v>160864735899</c:v>
                </c:pt>
                <c:pt idx="4">
                  <c:v>163988877285</c:v>
                </c:pt>
                <c:pt idx="5">
                  <c:v>149454516810</c:v>
                </c:pt>
                <c:pt idx="6">
                  <c:v>180609086945</c:v>
                </c:pt>
                <c:pt idx="7">
                  <c:v>174965080995</c:v>
                </c:pt>
                <c:pt idx="8">
                  <c:v>168544130046</c:v>
                </c:pt>
                <c:pt idx="9">
                  <c:v>193075842204</c:v>
                </c:pt>
                <c:pt idx="10">
                  <c:v>219874626013</c:v>
                </c:pt>
                <c:pt idx="11">
                  <c:v>204178098571</c:v>
                </c:pt>
                <c:pt idx="12">
                  <c:v>225638185320</c:v>
                </c:pt>
                <c:pt idx="13">
                  <c:v>223828040928</c:v>
                </c:pt>
                <c:pt idx="14">
                  <c:v>247103047683</c:v>
                </c:pt>
                <c:pt idx="15">
                  <c:v>261003194386</c:v>
                </c:pt>
                <c:pt idx="16">
                  <c:v>271945727988</c:v>
                </c:pt>
                <c:pt idx="17">
                  <c:v>267207358374</c:v>
                </c:pt>
                <c:pt idx="18">
                  <c:v>299054427220</c:v>
                </c:pt>
                <c:pt idx="19">
                  <c:v>270732680913</c:v>
                </c:pt>
                <c:pt idx="20">
                  <c:v>269390896819</c:v>
                </c:pt>
                <c:pt idx="21">
                  <c:v>264633138528</c:v>
                </c:pt>
                <c:pt idx="22">
                  <c:v>304854156193</c:v>
                </c:pt>
                <c:pt idx="23">
                  <c:v>278309565433</c:v>
                </c:pt>
                <c:pt idx="24">
                  <c:v>279521216746</c:v>
                </c:pt>
                <c:pt idx="25">
                  <c:v>297492324752</c:v>
                </c:pt>
                <c:pt idx="26">
                  <c:v>318456780958</c:v>
                </c:pt>
                <c:pt idx="27">
                  <c:v>320977170629</c:v>
                </c:pt>
                <c:pt idx="28">
                  <c:v>318290343720</c:v>
                </c:pt>
                <c:pt idx="29">
                  <c:v>290886168573</c:v>
                </c:pt>
                <c:pt idx="30">
                  <c:v>357489116611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Arkusz3!$E$1</c:f>
              <c:strCache>
                <c:ptCount val="1"/>
                <c:pt idx="0">
                  <c:v>Razem</c:v>
                </c:pt>
              </c:strCache>
            </c:strRef>
          </c:tx>
          <c:spPr>
            <a:ln w="28575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>
                  <a:alpha val="90000"/>
                </a:schemeClr>
              </a:solidFill>
              <a:ln w="9525">
                <a:solidFill>
                  <a:srgbClr val="00682F"/>
                </a:solidFill>
              </a:ln>
              <a:effectLst/>
            </c:spPr>
          </c:marker>
          <c:cat>
            <c:multiLvlStrRef>
              <c:f>Arkusz3!$A$2:$B$32</c:f>
              <c:multiLvlStrCache>
                <c:ptCount val="31"/>
                <c:lvl>
                  <c:pt idx="0">
                    <c:v>IV</c:v>
                  </c:pt>
                  <c:pt idx="1">
                    <c:v>IV</c:v>
                  </c:pt>
                  <c:pt idx="2">
                    <c:v>IV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I</c:v>
                  </c:pt>
                  <c:pt idx="20">
                    <c:v>II</c:v>
                  </c:pt>
                  <c:pt idx="21">
                    <c:v>III</c:v>
                  </c:pt>
                  <c:pt idx="22">
                    <c:v>IV</c:v>
                  </c:pt>
                  <c:pt idx="23">
                    <c:v>I</c:v>
                  </c:pt>
                  <c:pt idx="24">
                    <c:v>II</c:v>
                  </c:pt>
                  <c:pt idx="25">
                    <c:v>III</c:v>
                  </c:pt>
                  <c:pt idx="26">
                    <c:v>IV</c:v>
                  </c:pt>
                  <c:pt idx="27">
                    <c:v>I</c:v>
                  </c:pt>
                  <c:pt idx="28">
                    <c:v>II</c:v>
                  </c:pt>
                  <c:pt idx="29">
                    <c:v>III</c:v>
                  </c:pt>
                  <c:pt idx="30">
                    <c:v>IV</c:v>
                  </c:pt>
                </c:lvl>
                <c:lvl>
                  <c:pt idx="3">
                    <c:v>2013</c:v>
                  </c:pt>
                  <c:pt idx="7">
                    <c:v>2014</c:v>
                  </c:pt>
                  <c:pt idx="11">
                    <c:v>2015</c:v>
                  </c:pt>
                  <c:pt idx="15">
                    <c:v>2016</c:v>
                  </c:pt>
                  <c:pt idx="19">
                    <c:v>2017</c:v>
                  </c:pt>
                  <c:pt idx="23">
                    <c:v>2018</c:v>
                  </c:pt>
                  <c:pt idx="27">
                    <c:v>2019</c:v>
                  </c:pt>
                </c:lvl>
              </c:multiLvlStrCache>
            </c:multiLvlStrRef>
          </c:cat>
          <c:val>
            <c:numRef>
              <c:f>Arkusz3!$E$2:$E$32</c:f>
              <c:numCache>
                <c:formatCode>#,##0</c:formatCode>
                <c:ptCount val="31"/>
                <c:pt idx="0">
                  <c:v>187776730631</c:v>
                </c:pt>
                <c:pt idx="1">
                  <c:v>224648874339</c:v>
                </c:pt>
                <c:pt idx="2">
                  <c:v>193400732650</c:v>
                </c:pt>
                <c:pt idx="3">
                  <c:v>197176991016</c:v>
                </c:pt>
                <c:pt idx="4">
                  <c:v>209573318232</c:v>
                </c:pt>
                <c:pt idx="5">
                  <c:v>198462646087</c:v>
                </c:pt>
                <c:pt idx="6">
                  <c:v>200142975721</c:v>
                </c:pt>
                <c:pt idx="7">
                  <c:v>206055212392</c:v>
                </c:pt>
                <c:pt idx="8">
                  <c:v>208116892432</c:v>
                </c:pt>
                <c:pt idx="9">
                  <c:v>232440104461</c:v>
                </c:pt>
                <c:pt idx="10">
                  <c:v>220587297409</c:v>
                </c:pt>
                <c:pt idx="11">
                  <c:v>223481016147</c:v>
                </c:pt>
                <c:pt idx="12">
                  <c:v>253377654757</c:v>
                </c:pt>
                <c:pt idx="13">
                  <c:v>243829248826</c:v>
                </c:pt>
                <c:pt idx="14">
                  <c:v>227659648259</c:v>
                </c:pt>
                <c:pt idx="15">
                  <c:v>255310485934</c:v>
                </c:pt>
                <c:pt idx="16">
                  <c:v>255856792414</c:v>
                </c:pt>
                <c:pt idx="17">
                  <c:v>253920770360</c:v>
                </c:pt>
                <c:pt idx="18">
                  <c:v>242838189612</c:v>
                </c:pt>
                <c:pt idx="19">
                  <c:v>234926233372</c:v>
                </c:pt>
                <c:pt idx="20">
                  <c:v>246671084645</c:v>
                </c:pt>
                <c:pt idx="21">
                  <c:v>244063980988</c:v>
                </c:pt>
                <c:pt idx="22">
                  <c:v>235176237871.00537</c:v>
                </c:pt>
                <c:pt idx="23">
                  <c:v>217665463387</c:v>
                </c:pt>
                <c:pt idx="24">
                  <c:v>224450913806</c:v>
                </c:pt>
                <c:pt idx="25">
                  <c:v>238970855029</c:v>
                </c:pt>
                <c:pt idx="26">
                  <c:v>216109009523</c:v>
                </c:pt>
                <c:pt idx="27">
                  <c:v>222743534216</c:v>
                </c:pt>
                <c:pt idx="28">
                  <c:v>211373748943</c:v>
                </c:pt>
                <c:pt idx="29">
                  <c:v>180201134380</c:v>
                </c:pt>
                <c:pt idx="30">
                  <c:v>191825333044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7716144"/>
        <c:axId val="507714576"/>
      </c:lineChart>
      <c:catAx>
        <c:axId val="507716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507714576"/>
        <c:crosses val="autoZero"/>
        <c:auto val="1"/>
        <c:lblAlgn val="ctr"/>
        <c:lblOffset val="1"/>
        <c:tickMarkSkip val="1"/>
        <c:noMultiLvlLbl val="0"/>
      </c:catAx>
      <c:valAx>
        <c:axId val="507714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solidFill>
              <a:schemeClr val="accent1">
                <a:shade val="5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07716144"/>
        <c:crosses val="autoZero"/>
        <c:crossBetween val="between"/>
        <c:dispUnits>
          <c:builtInUnit val="billions"/>
          <c:dispUnitsLbl>
            <c:layout>
              <c:manualLayout>
                <c:xMode val="edge"/>
                <c:yMode val="edge"/>
                <c:x val="1.6849133858267716E-2"/>
                <c:y val="3.3134594903983683E-2"/>
              </c:manualLayout>
            </c:layout>
            <c:tx>
              <c:rich>
                <a:bodyPr rot="0" spcFirstLastPara="1" vertOverflow="ellipsis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r>
                    <a:rPr lang="pl-PL"/>
                    <a:t>mld zł</a:t>
                  </a:r>
                </a:p>
              </c:rich>
            </c:tx>
            <c:spPr>
              <a:noFill/>
              <a:ln>
                <a:noFill/>
              </a:ln>
              <a:effectLst/>
            </c:spPr>
            <c:txPr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0.0702</cdr:x>
      <cdr:y>0.12067</cdr:y>
    </cdr:from>
    <cdr:to>
      <cdr:x>0.14701</cdr:x>
      <cdr:y>0.78297</cdr:y>
    </cdr:to>
    <cdr:sp macro="" textlink="">
      <cdr:nvSpPr>
        <cdr:cNvPr id="2" name="Prostokąt 1"/>
        <cdr:cNvSpPr/>
      </cdr:nvSpPr>
      <cdr:spPr>
        <a:xfrm xmlns:a="http://schemas.openxmlformats.org/drawingml/2006/main">
          <a:off x="366958" y="388185"/>
          <a:ext cx="401527" cy="2130559"/>
        </a:xfrm>
        <a:prstGeom xmlns:a="http://schemas.openxmlformats.org/drawingml/2006/main" prst="rect">
          <a:avLst/>
        </a:prstGeom>
        <a:solidFill xmlns:a="http://schemas.openxmlformats.org/drawingml/2006/main">
          <a:schemeClr val="bg2">
            <a:alpha val="45000"/>
          </a:schemeClr>
        </a:solidFill>
        <a:ln xmlns:a="http://schemas.openxmlformats.org/drawingml/2006/main">
          <a:solidFill>
            <a:schemeClr val="bg2">
              <a:lumMod val="7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0.0685</cdr:x>
      <cdr:y>0.83457</cdr:y>
    </cdr:from>
    <cdr:to>
      <cdr:x>0.15997</cdr:x>
      <cdr:y>0.90698</cdr:y>
    </cdr:to>
    <cdr:sp macro="" textlink="">
      <cdr:nvSpPr>
        <cdr:cNvPr id="3" name="pole tekstowe 2"/>
        <cdr:cNvSpPr txBox="1"/>
      </cdr:nvSpPr>
      <cdr:spPr>
        <a:xfrm xmlns:a="http://schemas.openxmlformats.org/drawingml/2006/main">
          <a:off x="358071" y="2684737"/>
          <a:ext cx="478143" cy="232936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vertOverflow="clip" vert="vert270" wrap="none" lIns="0" tIns="0" rIns="0" bIns="0" spcCol="0" rtlCol="0">
          <a:noAutofit/>
        </a:bodyPr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pl-PL" sz="800">
              <a:solidFill>
                <a:sysClr val="windowText" lastClr="000000"/>
              </a:solidFill>
              <a:latin typeface="Fira Sans Light" panose="020B0403050000020004" pitchFamily="34" charset="0"/>
              <a:ea typeface="Fira Sans Light" panose="020B0403050000020004" pitchFamily="34" charset="0"/>
            </a:rPr>
            <a:t>2010</a:t>
          </a:r>
          <a:endParaRPr lang="pl-PL" sz="800">
            <a:solidFill>
              <a:sysClr val="windowText" lastClr="000000"/>
            </a:solidFill>
            <a:latin typeface="Fira Sans" panose="020B0503050000020004" pitchFamily="34" charset="0"/>
            <a:ea typeface="Fira Sans" panose="020B0503050000020004" pitchFamily="34" charset="0"/>
          </a:endParaRPr>
        </a:p>
        <a:p xmlns:a="http://schemas.openxmlformats.org/drawingml/2006/main">
          <a:pPr algn="ctr">
            <a:lnSpc>
              <a:spcPts val="1200"/>
            </a:lnSpc>
          </a:pPr>
          <a:r>
            <a:rPr lang="pl-PL" sz="80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</a:rPr>
            <a:t>2011</a:t>
          </a:r>
        </a:p>
        <a:p xmlns:a="http://schemas.openxmlformats.org/drawingml/2006/main">
          <a:pPr algn="ctr">
            <a:lnSpc>
              <a:spcPts val="1200"/>
            </a:lnSpc>
          </a:pPr>
          <a:r>
            <a:rPr lang="pl-PL" sz="80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</a:rPr>
            <a:t>2012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0.07467</cdr:x>
      <cdr:y>0.12067</cdr:y>
    </cdr:from>
    <cdr:to>
      <cdr:x>0.17467</cdr:x>
      <cdr:y>0.78297</cdr:y>
    </cdr:to>
    <cdr:sp macro="" textlink="">
      <cdr:nvSpPr>
        <cdr:cNvPr id="2" name="Prostokąt 1"/>
        <cdr:cNvSpPr/>
      </cdr:nvSpPr>
      <cdr:spPr>
        <a:xfrm xmlns:a="http://schemas.openxmlformats.org/drawingml/2006/main">
          <a:off x="533400" y="614364"/>
          <a:ext cx="714375" cy="3371850"/>
        </a:xfrm>
        <a:prstGeom xmlns:a="http://schemas.openxmlformats.org/drawingml/2006/main" prst="rect">
          <a:avLst/>
        </a:prstGeom>
        <a:solidFill xmlns:a="http://schemas.openxmlformats.org/drawingml/2006/main">
          <a:schemeClr val="bg2">
            <a:alpha val="45000"/>
          </a:schemeClr>
        </a:solidFill>
        <a:ln xmlns:a="http://schemas.openxmlformats.org/drawingml/2006/main">
          <a:solidFill>
            <a:schemeClr val="bg2">
              <a:lumMod val="7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0.0685</cdr:x>
      <cdr:y>0.83457</cdr:y>
    </cdr:from>
    <cdr:to>
      <cdr:x>0.16137</cdr:x>
      <cdr:y>0.89105</cdr:y>
    </cdr:to>
    <cdr:sp macro="" textlink="">
      <cdr:nvSpPr>
        <cdr:cNvPr id="3" name="pole tekstowe 2"/>
        <cdr:cNvSpPr txBox="1"/>
      </cdr:nvSpPr>
      <cdr:spPr>
        <a:xfrm xmlns:a="http://schemas.openxmlformats.org/drawingml/2006/main">
          <a:off x="394591" y="3019666"/>
          <a:ext cx="535018" cy="204351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vertOverflow="clip" vert="vert270" wrap="none" lIns="0" tIns="0" rIns="0" bIns="0" spcCol="0" rtlCol="0">
          <a:spAutoFit/>
        </a:bodyPr>
        <a:lstStyle xmlns:a="http://schemas.openxmlformats.org/drawingml/2006/main"/>
        <a:p xmlns:a="http://schemas.openxmlformats.org/drawingml/2006/main">
          <a:pPr>
            <a:lnSpc>
              <a:spcPct val="150000"/>
            </a:lnSpc>
          </a:pPr>
          <a:r>
            <a:rPr lang="pl-PL" sz="800">
              <a:latin typeface="Fira Sans Light" panose="020B0403050000020004" pitchFamily="34" charset="0"/>
              <a:ea typeface="Fira Sans Light" panose="020B0403050000020004" pitchFamily="34" charset="0"/>
            </a:rPr>
            <a:t>2010</a:t>
          </a:r>
          <a:endParaRPr lang="pl-PL" sz="800">
            <a:latin typeface="Fira Sans" panose="020B0503050000020004" pitchFamily="34" charset="0"/>
            <a:ea typeface="Fira Sans" panose="020B0503050000020004" pitchFamily="34" charset="0"/>
          </a:endParaRPr>
        </a:p>
        <a:p xmlns:a="http://schemas.openxmlformats.org/drawingml/2006/main">
          <a:pPr>
            <a:lnSpc>
              <a:spcPct val="150000"/>
            </a:lnSpc>
          </a:pPr>
          <a:r>
            <a:rPr lang="pl-PL" sz="800">
              <a:latin typeface="Fira Sans" panose="020B0503050000020004" pitchFamily="34" charset="0"/>
              <a:ea typeface="Fira Sans" panose="020B0503050000020004" pitchFamily="34" charset="0"/>
            </a:rPr>
            <a:t>2011</a:t>
          </a:r>
        </a:p>
        <a:p xmlns:a="http://schemas.openxmlformats.org/drawingml/2006/main">
          <a:pPr>
            <a:lnSpc>
              <a:spcPct val="150000"/>
            </a:lnSpc>
          </a:pPr>
          <a:r>
            <a:rPr lang="pl-PL" sz="800">
              <a:latin typeface="Fira Sans" panose="020B0503050000020004" pitchFamily="34" charset="0"/>
              <a:ea typeface="Fira Sans" panose="020B0503050000020004" pitchFamily="34" charset="0"/>
            </a:rPr>
            <a:t>2012</a:t>
          </a: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BB5DC-93C0-4DE1-A008-CB36293C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1121</Words>
  <Characters>5239</Characters>
  <Application>Microsoft Office Word</Application>
  <DocSecurity>0</DocSecurity>
  <Lines>349</Lines>
  <Paragraphs>302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2021-03-03T13:01:00Z</dcterms:created>
  <dcterms:modified xsi:type="dcterms:W3CDTF">2021-03-26T13:17:00Z</dcterms:modified>
</cp:coreProperties>
</file>