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1214"/>
        <w:gridCol w:w="5698"/>
        <w:gridCol w:w="2835"/>
      </w:tblGrid>
      <w:tr>
        <w:tc>
          <w:tcPr>
            <w:tcW w:w="1214" w:type="dxa"/>
          </w:tcPr>
          <w:p>
            <w:pPr>
              <w:spacing w:before="120" w:after="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>
            <w:pPr>
              <w:spacing w:before="120" w:after="0" w:line="288" w:lineRule="auto"/>
              <w:ind w:left="62"/>
              <w:jc w:val="both"/>
              <w:rPr>
                <w:rFonts w:cs="Arial"/>
                <w:b/>
                <w:sz w:val="32"/>
                <w:szCs w:val="28"/>
              </w:rPr>
            </w:pPr>
            <w:r>
              <w:rPr>
                <w:rFonts w:cs="Arial"/>
                <w:b/>
                <w:sz w:val="32"/>
                <w:szCs w:val="28"/>
              </w:rPr>
              <w:t>GŁÓWNY URZĄD STATYSTYCZNY</w:t>
            </w:r>
          </w:p>
          <w:p>
            <w:pPr>
              <w:spacing w:before="120" w:after="0" w:line="288" w:lineRule="auto"/>
              <w:ind w:left="62"/>
              <w:rPr>
                <w:rFonts w:cs="Arial"/>
                <w:b/>
              </w:rPr>
            </w:pPr>
            <w:r>
              <w:rPr>
                <w:rFonts w:cs="Arial"/>
                <w:sz w:val="28"/>
                <w:szCs w:val="24"/>
              </w:rPr>
              <w:t>Opracowanie sygnalne</w:t>
            </w:r>
          </w:p>
        </w:tc>
        <w:tc>
          <w:tcPr>
            <w:tcW w:w="2835" w:type="dxa"/>
          </w:tcPr>
          <w:p>
            <w:pPr>
              <w:spacing w:before="120" w:after="0" w:line="288" w:lineRule="auto"/>
              <w:ind w:left="-125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t>Warszawa, 05.04.2017</w:t>
            </w:r>
          </w:p>
        </w:tc>
      </w:tr>
    </w:tbl>
    <w:p/>
    <w:p>
      <w:pPr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Wyniki finansowe banków w 2016 r.</w:t>
      </w:r>
    </w:p>
    <w:p>
      <w:pPr>
        <w:spacing w:after="120" w:line="288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Wynik finansowy netto sektora bankowego</w:t>
      </w:r>
      <w:r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b/>
          <w:sz w:val="24"/>
          <w:szCs w:val="24"/>
        </w:rPr>
        <w:t xml:space="preserve"> w 2016 r. wyniósł 13,9 mld zł, tj. o 8,5% więcej niż w poprzednim roku. Suma bilansowa wzrosła w skali roku o 7,0% i wyniosła 1 706,4 mld zł. Wartość kredytów dla sektora niefinansowego zwiększyła się o 5,3%, do 1 007,4 mld zł, a depozytów o 9,4%, do 1021,1 mld zł.</w:t>
      </w:r>
    </w:p>
    <w:p>
      <w:pPr>
        <w:pStyle w:val="Nagwek1"/>
        <w:spacing w:before="240" w:after="120"/>
        <w:ind w:firstLine="709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Wybrane pozycje rachunku zysków i strat banków:</w:t>
      </w:r>
    </w:p>
    <w:tbl>
      <w:tblPr>
        <w:tblW w:w="4965" w:type="pct"/>
        <w:jc w:val="center"/>
        <w:tblInd w:w="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875"/>
        <w:gridCol w:w="1340"/>
        <w:gridCol w:w="1340"/>
        <w:gridCol w:w="1085"/>
      </w:tblGrid>
      <w:tr>
        <w:trPr>
          <w:cantSplit/>
          <w:trHeight w:val="332"/>
          <w:jc w:val="center"/>
        </w:trPr>
        <w:tc>
          <w:tcPr>
            <w:tcW w:w="3047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0" w:name="OLE_LINK59"/>
            <w:bookmarkStart w:id="1" w:name="OLE_LINK60"/>
            <w:bookmarkStart w:id="2" w:name="OLE_LINK61"/>
            <w:bookmarkStart w:id="3" w:name="OLE_LINK62"/>
            <w:r>
              <w:rPr>
                <w:rFonts w:eastAsia="Times New Roman" w:cs="Arial"/>
                <w:sz w:val="20"/>
                <w:szCs w:val="20"/>
              </w:rPr>
              <w:t>Wyszczególnienie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2015</w:t>
            </w:r>
          </w:p>
        </w:tc>
        <w:tc>
          <w:tcPr>
            <w:tcW w:w="125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2016</w:t>
            </w:r>
          </w:p>
        </w:tc>
      </w:tr>
      <w:tr>
        <w:trPr>
          <w:cantSplit/>
          <w:trHeight w:hRule="exact" w:val="480"/>
          <w:jc w:val="center"/>
        </w:trPr>
        <w:tc>
          <w:tcPr>
            <w:tcW w:w="3047" w:type="pct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 mln zł</w:t>
            </w:r>
          </w:p>
        </w:tc>
        <w:tc>
          <w:tcPr>
            <w:tcW w:w="563" w:type="pct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2015=100</w:t>
            </w:r>
          </w:p>
        </w:tc>
      </w:tr>
      <w:tr>
        <w:trPr>
          <w:cantSplit/>
          <w:trHeight w:val="283"/>
          <w:jc w:val="center"/>
        </w:trPr>
        <w:tc>
          <w:tcPr>
            <w:tcW w:w="3047" w:type="pc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Wynik działalności bankowej</w:t>
            </w:r>
            <w:r>
              <w:rPr>
                <w:rFonts w:eastAsia="Times New Roman" w:cs="Arial"/>
                <w:sz w:val="20"/>
                <w:szCs w:val="20"/>
              </w:rPr>
              <w:t>, w tym: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55 770</w:t>
            </w:r>
          </w:p>
        </w:tc>
        <w:tc>
          <w:tcPr>
            <w:tcW w:w="695" w:type="pct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59 175</w:t>
            </w:r>
          </w:p>
        </w:tc>
        <w:tc>
          <w:tcPr>
            <w:tcW w:w="563" w:type="pct"/>
            <w:tcBorders>
              <w:top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</w:p>
        </w:tc>
      </w:tr>
      <w:tr>
        <w:trPr>
          <w:cantSplit/>
          <w:trHeight w:val="284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ind w:firstLine="17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z tytułu odsetek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37 939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>
        <w:trPr>
          <w:cantSplit/>
          <w:trHeight w:val="284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ind w:firstLine="17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z tytułu opłat i prowizji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13 290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12 587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>
        <w:trPr>
          <w:cantSplit/>
          <w:trHeight w:val="283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Koszty działania banków, z tego: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30 520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31 442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>
        <w:trPr>
          <w:cantSplit/>
          <w:trHeight w:val="284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ind w:left="17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koszty pracownicze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15 147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15 581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>
        <w:trPr>
          <w:cantSplit/>
          <w:trHeight w:val="283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ind w:left="17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koszty ogólnego zarządu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15 373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15 861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>
        <w:trPr>
          <w:cantSplit/>
          <w:trHeight w:val="697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Odpisy aktualizujące z tytułu utraty wartości aktywów finansowych niewycenianych według wartości godziwej poprzez rachunek zysków i strat/wynik z tytułu rezerw celowych, w tym: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7 334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>
        <w:trPr>
          <w:cantSplit/>
          <w:trHeight w:val="460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ind w:left="17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kredytów i pożyczek wycenianych według zamortyzowanego kosztu (łącznie z leasingiem finansowym)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6 995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7 208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>
        <w:trPr>
          <w:cantSplit/>
          <w:trHeight w:hRule="exact" w:val="284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Wynik z działalności operacyjnej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15 706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18 403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117,2</w:t>
            </w:r>
          </w:p>
        </w:tc>
      </w:tr>
      <w:tr>
        <w:trPr>
          <w:cantSplit/>
          <w:trHeight w:hRule="exact" w:val="284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Podatek dochodowy dotyczący działalności kontynuowanej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2 970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4 347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</w:tr>
      <w:tr>
        <w:trPr>
          <w:cantSplit/>
          <w:trHeight w:hRule="exact" w:val="284"/>
          <w:jc w:val="center"/>
        </w:trPr>
        <w:tc>
          <w:tcPr>
            <w:tcW w:w="30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Wynik netto roku bieżącego </w:t>
            </w:r>
          </w:p>
        </w:tc>
        <w:tc>
          <w:tcPr>
            <w:tcW w:w="695" w:type="pct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12 786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13 876</w:t>
            </w:r>
          </w:p>
        </w:tc>
        <w:tc>
          <w:tcPr>
            <w:tcW w:w="563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108,5</w:t>
            </w:r>
          </w:p>
        </w:tc>
      </w:tr>
      <w:bookmarkEnd w:id="0"/>
      <w:bookmarkEnd w:id="1"/>
      <w:bookmarkEnd w:id="2"/>
      <w:bookmarkEnd w:id="3"/>
    </w:tbl>
    <w:p>
      <w:pPr>
        <w:spacing w:after="0" w:line="288" w:lineRule="auto"/>
        <w:jc w:val="both"/>
        <w:rPr>
          <w:rFonts w:cs="Arial"/>
          <w:b/>
        </w:rPr>
      </w:pPr>
    </w:p>
    <w:p>
      <w:pPr>
        <w:spacing w:after="0" w:line="288" w:lineRule="auto"/>
        <w:jc w:val="center"/>
        <w:rPr>
          <w:rFonts w:cs="Arial"/>
          <w:b/>
        </w:rPr>
      </w:pPr>
      <w:r>
        <w:rPr>
          <w:rFonts w:cs="Arial"/>
          <w:b/>
        </w:rPr>
        <w:t>Struktura wyniku działalności bankowej</w:t>
      </w:r>
    </w:p>
    <w:p>
      <w:pPr>
        <w:spacing w:after="0" w:line="288" w:lineRule="auto"/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>
            <wp:extent cx="5972810" cy="2748280"/>
            <wp:effectExtent l="0" t="0" r="889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cs="Arial"/>
          <w:b/>
        </w:rPr>
        <w:t xml:space="preserve"> </w:t>
      </w:r>
    </w:p>
    <w:p>
      <w:pPr>
        <w:spacing w:after="120" w:line="288" w:lineRule="auto"/>
        <w:jc w:val="both"/>
        <w:rPr>
          <w:rFonts w:cs="Arial"/>
        </w:rPr>
      </w:pPr>
      <w:r>
        <w:rPr>
          <w:rFonts w:cs="Arial"/>
          <w:b/>
        </w:rPr>
        <w:lastRenderedPageBreak/>
        <w:t>Wynik działalności bankowej</w:t>
      </w:r>
      <w:r>
        <w:rPr>
          <w:rFonts w:cs="Arial"/>
        </w:rPr>
        <w:t xml:space="preserve"> w 2016 r. zwiększył się o 6,1% do 59,2 mld zł. Wynik z tytułu odsetek zwiększył się o 7,7% do poziomu 37,9 mld zł, a łączny wynik z tytułu aktywów i zobowiązań finansowych oraz z tytułu różnic kursowych netto zwiększył się o 24,4% do 7,3 mld zł. Wynik z tytułu opłat i prowizji zmniejszył się o 5,3% i osiągnął wartość 12,6 mld zł, a przychody banków z tytułu dywidend były niższe o 4,0% i wyniosły 1,3 mld zł.</w:t>
      </w:r>
    </w:p>
    <w:p>
      <w:pPr>
        <w:spacing w:after="120" w:line="288" w:lineRule="auto"/>
        <w:jc w:val="both"/>
        <w:rPr>
          <w:rFonts w:cs="Arial"/>
        </w:rPr>
      </w:pPr>
      <w:r>
        <w:rPr>
          <w:rFonts w:cs="Arial"/>
          <w:b/>
        </w:rPr>
        <w:t>Koszty działania banków</w:t>
      </w:r>
      <w:r>
        <w:rPr>
          <w:rFonts w:cs="Arial"/>
        </w:rPr>
        <w:t xml:space="preserve"> wzrosły o 3,0% do 31,4 mld zł. Koszty pracownicze stanowiły 49,6% tych kosztów, tj. 15,6 mld zł (wzrost o 2,9%). Koszty ogólnego zarządu zwiększyły się o 3,2%, do 15,9 mld zł, głównie z powodu kosztów z tytułu podatku od niektórych instytucji finansowych, którego wpływ został w większości zrekompensowany przez znacznie niższe niż w 2015 r. wpłaty banków na rzecz Bankowego Funduszu Gwarancyjnego z tytułu funduszu ochrony środków gwarantowanych.</w:t>
      </w:r>
    </w:p>
    <w:p>
      <w:pPr>
        <w:spacing w:after="120" w:line="288" w:lineRule="auto"/>
        <w:jc w:val="both"/>
        <w:rPr>
          <w:rFonts w:cs="Arial"/>
        </w:rPr>
      </w:pPr>
      <w:r>
        <w:rPr>
          <w:rFonts w:cs="Arial"/>
        </w:rPr>
        <w:t>Odpisy aktualizujące z tytułu utraty wartości aktywów finansowych wyniosły 7,3 mld zł (o 3,2% więcej niż rok wcześniej), z czego 98,3% tej wartości zostało przeznaczone na pokrycie utraty wartości kredytów i pożyczek. Amortyzacja środków trwałych oraz wartości niematerialnych i prawnych zwiększyła się o 2,3% i wyniosła 2,2 mld zł. Rezerwy wzrosły o 6,3%, do poziomu 0,9 mld zł.</w:t>
      </w:r>
    </w:p>
    <w:p>
      <w:pPr>
        <w:spacing w:after="120" w:line="288" w:lineRule="auto"/>
        <w:jc w:val="both"/>
        <w:rPr>
          <w:rFonts w:cs="Arial"/>
        </w:rPr>
      </w:pPr>
      <w:r>
        <w:rPr>
          <w:rFonts w:cs="Arial"/>
        </w:rPr>
        <w:t>W rezultacie wynik z działalności operacyjnej zwiększył się o 2,7 mld zł (o 17,2%) i osiągnął wartość 18,4 mld zł. Podatek dochodowy dotyczący działalności kontynuowanej wyniósł 4,3 mld zł (o 46,4% więcej niż rok wcześniej).</w:t>
      </w:r>
    </w:p>
    <w:p>
      <w:pPr>
        <w:spacing w:after="120" w:line="288" w:lineRule="auto"/>
        <w:jc w:val="both"/>
        <w:rPr>
          <w:rFonts w:cs="Arial"/>
        </w:rPr>
      </w:pPr>
      <w:r>
        <w:rPr>
          <w:rFonts w:cs="Arial"/>
        </w:rPr>
        <w:t>W 2016 r. zysk netto w kwocie 14,4 mld zł osiągnęło 599 banków, a stratę netto o wartości 0,5 mld zł poniosły 22 banki. Stratę netto wykazało 11 banków komercyjnych (w tym 7 oddziałów instytucji kredytowych) oraz 11 banków spółdzielczych.</w:t>
      </w:r>
    </w:p>
    <w:p>
      <w:pPr>
        <w:spacing w:after="120" w:line="288" w:lineRule="auto"/>
        <w:jc w:val="both"/>
        <w:rPr>
          <w:rFonts w:cs="Arial"/>
        </w:rPr>
      </w:pPr>
      <w:r>
        <w:rPr>
          <w:rFonts w:cs="Arial"/>
        </w:rPr>
        <w:t>Suma bilansowa sektora bankowego w dniu 31 grudnia 2016 r. wyniosła 1 706,4 mld zł i była o 7,0% wyższa niż rok wcześniej. Największą pozycją aktywów były kredyty i inne należności, ich wartość wyniosła 1 194,3 mld zł (wzrost o 5,2%) i stanowiły one 70,0% aktywów. Po stronie pasywów dominującą pozycją były zobowiązania finansowe wyceniane według zamortyzowanego kosztu, osiągnęły one wartość 1 455,0 mld zł (o 8,0% więcej niż rok wcześniej), co stanowiło 85,3% pasywów. Kapitały własne zwiększyły się o 4,9% do 183,8 mld zł, a ich udział w pasywach wyniósł 10,8%.</w:t>
      </w:r>
    </w:p>
    <w:p>
      <w:pPr>
        <w:spacing w:after="120"/>
        <w:ind w:firstLine="709"/>
      </w:pPr>
      <w:r>
        <w:t>Wybrane pozycje bilansu banków:</w:t>
      </w:r>
      <w:bookmarkStart w:id="4" w:name="_GoBack"/>
      <w:bookmarkEnd w:id="4"/>
    </w:p>
    <w:tbl>
      <w:tblPr>
        <w:tblW w:w="9680" w:type="dxa"/>
        <w:jc w:val="center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80"/>
        <w:gridCol w:w="1320"/>
        <w:gridCol w:w="1273"/>
        <w:gridCol w:w="1069"/>
        <w:gridCol w:w="938"/>
      </w:tblGrid>
      <w:tr>
        <w:trPr>
          <w:cantSplit/>
          <w:trHeight w:hRule="exact" w:val="284"/>
          <w:jc w:val="center"/>
        </w:trPr>
        <w:tc>
          <w:tcPr>
            <w:tcW w:w="50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napToGrid w:val="0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  <w:t xml:space="preserve">31 XII </w:t>
            </w:r>
            <w:r>
              <w:rPr>
                <w:color w:val="000000"/>
                <w:kern w:val="36"/>
                <w:sz w:val="20"/>
              </w:rPr>
              <w:t>2015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  <w:t>31 XII 2016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</w:p>
        </w:tc>
      </w:tr>
      <w:tr>
        <w:trPr>
          <w:cantSplit/>
          <w:trHeight w:val="485"/>
          <w:jc w:val="center"/>
        </w:trPr>
        <w:tc>
          <w:tcPr>
            <w:tcW w:w="508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kern w:val="36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>w mln zł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  <w:t>31 XII 2015</w:t>
            </w:r>
            <w:r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  <w:br/>
              <w:t>=100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>Struktura</w:t>
            </w:r>
            <w:r>
              <w:rPr>
                <w:rFonts w:eastAsia="Times New Roman" w:cs="Arial"/>
                <w:kern w:val="36"/>
                <w:sz w:val="20"/>
                <w:szCs w:val="20"/>
              </w:rPr>
              <w:br/>
              <w:t>w %</w:t>
            </w:r>
          </w:p>
        </w:tc>
      </w:tr>
      <w:tr>
        <w:trPr>
          <w:trHeight w:val="283"/>
          <w:jc w:val="center"/>
        </w:trPr>
        <w:tc>
          <w:tcPr>
            <w:tcW w:w="5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right" w:leader="dot" w:pos="5103"/>
                <w:tab w:val="left" w:leader="dot" w:pos="6237"/>
              </w:tabs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Suma bilansowa</w:t>
            </w:r>
            <w:r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bCs/>
                <w:sz w:val="20"/>
                <w:szCs w:val="20"/>
              </w:rPr>
              <w:t xml:space="preserve"> w tym: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1 594 968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1 706 418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38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>
        <w:trPr>
          <w:trHeight w:val="283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tabs>
                <w:tab w:val="right" w:leader="dot" w:pos="5103"/>
                <w:tab w:val="left" w:leader="dot" w:pos="6237"/>
              </w:tabs>
              <w:spacing w:after="0" w:line="240" w:lineRule="auto"/>
              <w:ind w:left="17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kredyty i inne należności (włączając leasing finansowy) 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1 135 251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1 194 289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>
        <w:trPr>
          <w:trHeight w:val="283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right" w:leader="dot" w:pos="5103"/>
                <w:tab w:val="left" w:leader="dot" w:pos="6237"/>
              </w:tabs>
              <w:spacing w:after="0" w:line="240" w:lineRule="auto"/>
              <w:ind w:left="57"/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Zobowiązania finansowe i pozostałe pasywa</w:t>
            </w:r>
            <w:r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bCs/>
                <w:sz w:val="20"/>
                <w:szCs w:val="20"/>
              </w:rPr>
              <w:t xml:space="preserve"> w tym: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1 419 788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1 522 628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89,2</w:t>
            </w:r>
          </w:p>
        </w:tc>
      </w:tr>
      <w:tr>
        <w:trPr>
          <w:trHeight w:val="283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zobowiązania finansowe wyceniane według zamortyzowanego kosztu 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1 347 646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1 454 987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>
        <w:trPr>
          <w:trHeight w:val="283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right" w:leader="dot" w:pos="5103"/>
              </w:tabs>
              <w:spacing w:after="0" w:line="240" w:lineRule="auto"/>
              <w:ind w:left="57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Kapitały 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175 180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183 789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</w:t>
            </w:r>
          </w:p>
        </w:tc>
      </w:tr>
    </w:tbl>
    <w:p>
      <w:pPr>
        <w:spacing w:after="120" w:line="288" w:lineRule="auto"/>
        <w:jc w:val="both"/>
        <w:rPr>
          <w:rFonts w:cs="Arial"/>
        </w:rPr>
      </w:pPr>
    </w:p>
    <w:p>
      <w:pPr>
        <w:spacing w:after="120" w:line="288" w:lineRule="auto"/>
        <w:jc w:val="both"/>
        <w:rPr>
          <w:rFonts w:cs="Arial"/>
        </w:rPr>
      </w:pPr>
      <w:r>
        <w:rPr>
          <w:rFonts w:cs="Arial"/>
          <w:b/>
        </w:rPr>
        <w:t xml:space="preserve">Wartość kredytów </w:t>
      </w:r>
      <w:r>
        <w:rPr>
          <w:rFonts w:cs="Arial"/>
        </w:rPr>
        <w:t xml:space="preserve">udzielonych przez banki sektorowi niefinansowemu oraz sektorowi instytucji rządowych i samorządowych wg stanu w dniu 31 grudnia 2016 r. wyniosła 1 105,6 mld zł, co oznaczało ich wzrost o 5,1% w porównaniu do stanu o rok wcześniej. Kredyty udzielone sektorowi niefinansowemu stanowiły 91,1% tej kwoty i wyniosły 1 007,4 mld zł (wzrost o 5,3%), w tym kredyty dla przedsiębiorstw – 344,8 mld zł (wzrost o 5,8%), i dla gospodarstw domowych – 656,1 mld zł (więcej o 5,1%). Kredyty dla przedsiębiorstw zostały w większości (56,1%) zaciągnięte przez MŚP. W kredytach gospodarstw domowych 81,1% stanowiły </w:t>
      </w:r>
      <w:r>
        <w:rPr>
          <w:rFonts w:cs="Arial"/>
        </w:rPr>
        <w:lastRenderedPageBreak/>
        <w:t xml:space="preserve">łącznie kredyty na nieruchomości mieszkaniowe (396,8 mld zł, w tym 134,3 mld zł nominowane w CHF) </w:t>
      </w:r>
      <w:r>
        <w:rPr>
          <w:rFonts w:cs="Arial"/>
        </w:rPr>
        <w:br/>
        <w:t>i kredyty konsumpcyjne osób prywatnych (135,4 mld zł).</w:t>
      </w:r>
    </w:p>
    <w:p>
      <w:pPr>
        <w:spacing w:before="240" w:after="120" w:line="288" w:lineRule="auto"/>
        <w:ind w:firstLine="142"/>
        <w:jc w:val="both"/>
        <w:rPr>
          <w:rFonts w:cs="Arial"/>
        </w:rPr>
      </w:pPr>
      <w:r>
        <w:rPr>
          <w:rFonts w:cs="Arial"/>
        </w:rPr>
        <w:t>Kredyty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dla sektora niefinansowego oraz instytucji rządowych i samorządowych w bankach:</w:t>
      </w:r>
    </w:p>
    <w:tbl>
      <w:tblPr>
        <w:tblW w:w="943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  <w:gridCol w:w="1154"/>
        <w:gridCol w:w="1154"/>
        <w:gridCol w:w="1153"/>
        <w:gridCol w:w="926"/>
        <w:gridCol w:w="8"/>
      </w:tblGrid>
      <w:tr>
        <w:trPr>
          <w:trHeight w:hRule="exact" w:val="284"/>
        </w:trPr>
        <w:tc>
          <w:tcPr>
            <w:tcW w:w="50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>
            <w:pPr>
              <w:keepNext/>
              <w:spacing w:after="12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>Wyszczególnienie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  <w:t>31 XII 2015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  <w:t>31 XII 2016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</w:p>
        </w:tc>
      </w:tr>
      <w:tr>
        <w:trPr>
          <w:trHeight w:val="500"/>
        </w:trPr>
        <w:tc>
          <w:tcPr>
            <w:tcW w:w="50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spacing w:after="120" w:line="240" w:lineRule="auto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>w mln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  <w:t>31 XII 2015</w:t>
            </w:r>
            <w:r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  <w:br/>
              <w:t>=100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>Struktura</w:t>
            </w:r>
            <w:r>
              <w:rPr>
                <w:rFonts w:eastAsia="Times New Roman" w:cs="Arial"/>
                <w:kern w:val="36"/>
                <w:sz w:val="20"/>
                <w:szCs w:val="20"/>
              </w:rPr>
              <w:br/>
              <w:t>w %</w:t>
            </w:r>
          </w:p>
        </w:tc>
      </w:tr>
      <w:tr>
        <w:trPr>
          <w:gridAfter w:val="1"/>
          <w:wAfter w:w="8" w:type="dxa"/>
          <w:trHeight w:hRule="exact" w:val="283"/>
        </w:trPr>
        <w:tc>
          <w:tcPr>
            <w:tcW w:w="50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outlineLvl w:val="0"/>
              <w:rPr>
                <w:rFonts w:eastAsia="Times New Roman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6"/>
                <w:sz w:val="20"/>
                <w:szCs w:val="20"/>
              </w:rPr>
              <w:t xml:space="preserve">Razem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1 051 893</w:t>
            </w:r>
          </w:p>
        </w:tc>
        <w:tc>
          <w:tcPr>
            <w:tcW w:w="1154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1 105 640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926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>
        <w:trPr>
          <w:gridAfter w:val="1"/>
          <w:wAfter w:w="8" w:type="dxa"/>
          <w:trHeight w:hRule="exact" w:val="283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57"/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b/>
                <w:kern w:val="36"/>
                <w:sz w:val="20"/>
                <w:szCs w:val="20"/>
              </w:rPr>
              <w:t>Sektor niefinansowy</w:t>
            </w:r>
            <w:r>
              <w:rPr>
                <w:rFonts w:eastAsia="Times New Roman" w:cs="Arial"/>
                <w:kern w:val="36"/>
                <w:sz w:val="20"/>
                <w:szCs w:val="20"/>
              </w:rPr>
              <w:t>, w tym: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956 549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1 007 434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>
        <w:trPr>
          <w:gridAfter w:val="1"/>
          <w:wAfter w:w="8" w:type="dxa"/>
          <w:trHeight w:hRule="exact" w:val="283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170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>Przedsiębiorstwa, z tego: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325 960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344 846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31,2</w:t>
            </w:r>
          </w:p>
        </w:tc>
      </w:tr>
      <w:tr>
        <w:trPr>
          <w:gridAfter w:val="1"/>
          <w:wAfter w:w="8" w:type="dxa"/>
          <w:trHeight w:hRule="exact" w:val="283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Duże przedsiębiorstwa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141 482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151 288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</w:tr>
      <w:tr>
        <w:trPr>
          <w:gridAfter w:val="1"/>
          <w:wAfter w:w="8" w:type="dxa"/>
          <w:trHeight w:hRule="exact" w:val="283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tabs>
                <w:tab w:val="left" w:leader="dot" w:pos="6237"/>
              </w:tabs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MŚP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184 478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193 558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</w:tr>
      <w:tr>
        <w:trPr>
          <w:gridAfter w:val="1"/>
          <w:wAfter w:w="8" w:type="dxa"/>
          <w:trHeight w:hRule="exact" w:val="283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170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 xml:space="preserve">Gospodarstwa domowe 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624 560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656 128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</w:t>
            </w:r>
          </w:p>
        </w:tc>
      </w:tr>
      <w:tr>
        <w:trPr>
          <w:gridAfter w:val="1"/>
          <w:wAfter w:w="8" w:type="dxa"/>
          <w:trHeight w:hRule="exact" w:val="283"/>
        </w:trPr>
        <w:tc>
          <w:tcPr>
            <w:tcW w:w="50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57"/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b/>
                <w:kern w:val="36"/>
                <w:sz w:val="20"/>
                <w:szCs w:val="20"/>
              </w:rPr>
              <w:t xml:space="preserve">Sektor instytucji rządowych i samorządowych 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95 344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98 206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</w:t>
            </w:r>
          </w:p>
        </w:tc>
      </w:tr>
    </w:tbl>
    <w:p>
      <w:pPr>
        <w:spacing w:after="120" w:line="288" w:lineRule="auto"/>
        <w:jc w:val="both"/>
      </w:pPr>
    </w:p>
    <w:p>
      <w:pPr>
        <w:pStyle w:val="Nagwek1"/>
        <w:spacing w:before="120"/>
        <w:ind w:left="1134" w:hanging="1015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>
        <w:trPr>
          <w:trHeight w:val="464"/>
        </w:trPr>
        <w:tc>
          <w:tcPr>
            <w:tcW w:w="4786" w:type="dxa"/>
          </w:tcPr>
          <w:p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</w:rPr>
              <w:t>Kredyty dla sektora niefinansowego oraz sektora instytucji rządowych i samorządowych</w:t>
            </w:r>
          </w:p>
        </w:tc>
        <w:tc>
          <w:tcPr>
            <w:tcW w:w="5068" w:type="dxa"/>
            <w:shd w:val="clear" w:color="auto" w:fill="FFFFFF" w:themeFill="background1"/>
          </w:tcPr>
          <w:p>
            <w:pPr>
              <w:jc w:val="center"/>
              <w:rPr>
                <w:noProof/>
              </w:rPr>
            </w:pPr>
            <w:r>
              <w:rPr>
                <w:rFonts w:cs="Times New Roman"/>
                <w:b/>
                <w:noProof/>
                <w:sz w:val="20"/>
                <w:szCs w:val="20"/>
              </w:rPr>
              <w:t>Kredyty dla sektora niefinansowego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val="5284"/>
        </w:trPr>
        <w:tc>
          <w:tcPr>
            <w:tcW w:w="4786" w:type="dxa"/>
          </w:tcPr>
          <w:p>
            <w:r>
              <w:rPr>
                <w:noProof/>
              </w:rPr>
              <w:drawing>
                <wp:inline distT="0" distB="0" distL="0" distR="0">
                  <wp:extent cx="2962275" cy="3409950"/>
                  <wp:effectExtent l="0" t="0" r="0" b="0"/>
                  <wp:docPr id="9" name="Wykres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FFFFFF" w:themeFill="background1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0" cy="3409950"/>
                  <wp:effectExtent l="0" t="0" r="0" b="0"/>
                  <wp:docPr id="12" name="Wykres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/>
    <w:p>
      <w:pPr>
        <w:spacing w:after="120" w:line="288" w:lineRule="auto"/>
        <w:jc w:val="both"/>
        <w:rPr>
          <w:rFonts w:cs="Arial"/>
        </w:rPr>
      </w:pPr>
      <w:r>
        <w:rPr>
          <w:rFonts w:cs="Arial"/>
          <w:b/>
        </w:rPr>
        <w:t xml:space="preserve">Depozyty </w:t>
      </w:r>
      <w:r>
        <w:rPr>
          <w:rFonts w:cs="Arial"/>
        </w:rPr>
        <w:t>sektora niefinansowego oraz instytucji rządowych i samorządowych</w:t>
      </w:r>
      <w:r>
        <w:rPr>
          <w:rFonts w:cs="Arial"/>
          <w:b/>
        </w:rPr>
        <w:t xml:space="preserve"> </w:t>
      </w:r>
      <w:r>
        <w:rPr>
          <w:rFonts w:cs="Arial"/>
        </w:rPr>
        <w:t>w dniu 31 grudnia 2016 r.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osiągnęły wartość 1 084,7 mld zł (wzrost o 10,5%), z tego depozyty sektora niefinansowego wyniosły 1021,1 mld zł (więcej o 9,4%), a depozyty sektora instytucji rządowych i samorządowych 63,5 mld zł (wzrost o 31,3%). W porównaniu do stanu sprzed roku odnotowano wzrost wartości depozytów bieżących </w:t>
      </w:r>
      <w:r>
        <w:rPr>
          <w:rFonts w:cs="Arial"/>
        </w:rPr>
        <w:br/>
        <w:t>o 21,3% i spadek depozytów terminowych o 0,9%. Wartość depozytów bieżących sektora niefinansowego zwiększyła się o 19,9%, a depozytów terminowych obniżyła się o 1,4%. Wartość depozytów bieżących sektora instytucji rządowych i samorządowych wzrosła o 44,8%, a depozytów terminowych o 9,9%. Udział depozytów terminowych w depozytach sektora niefinansowego oraz instytucji rządowych i samorządowych łącznie zmniejszył się w skali roku do 43,7% (o 5,0 p. proc.), a udział depozytów terminowych w depozytach samego sektora instytucji rządowych i samorządowych do 32,5% (wobec 38,8% rok wcześniej).</w:t>
      </w:r>
    </w:p>
    <w:p>
      <w:pPr>
        <w:keepNext/>
        <w:spacing w:after="120" w:line="240" w:lineRule="auto"/>
        <w:ind w:left="840" w:hanging="556"/>
        <w:outlineLvl w:val="0"/>
        <w:rPr>
          <w:rFonts w:eastAsia="Times New Roman" w:cs="Arial"/>
          <w:bCs/>
          <w:snapToGrid w:val="0"/>
          <w:color w:val="000000"/>
          <w:kern w:val="36"/>
        </w:rPr>
      </w:pPr>
      <w:r>
        <w:rPr>
          <w:rFonts w:eastAsia="Times New Roman" w:cs="Arial"/>
          <w:bCs/>
          <w:kern w:val="36"/>
        </w:rPr>
        <w:lastRenderedPageBreak/>
        <w:t>D</w:t>
      </w:r>
      <w:r>
        <w:rPr>
          <w:rFonts w:eastAsia="Times New Roman" w:cs="Arial"/>
          <w:bCs/>
          <w:snapToGrid w:val="0"/>
          <w:color w:val="000000"/>
          <w:kern w:val="36"/>
        </w:rPr>
        <w:t xml:space="preserve">epozyty sektora niefinansowego oraz instytucji rządowych i samorządowych </w:t>
      </w:r>
      <w:r>
        <w:rPr>
          <w:rFonts w:eastAsia="Times New Roman" w:cs="Arial"/>
          <w:bCs/>
          <w:kern w:val="36"/>
        </w:rPr>
        <w:t>w bankach:</w:t>
      </w:r>
    </w:p>
    <w:tbl>
      <w:tblPr>
        <w:tblW w:w="9625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1287"/>
        <w:gridCol w:w="1302"/>
        <w:gridCol w:w="1064"/>
        <w:gridCol w:w="876"/>
      </w:tblGrid>
      <w:tr>
        <w:trPr>
          <w:trHeight w:hRule="exact" w:val="284"/>
        </w:trPr>
        <w:tc>
          <w:tcPr>
            <w:tcW w:w="509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>
            <w:pPr>
              <w:keepNext/>
              <w:spacing w:after="120" w:line="240" w:lineRule="auto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>Wyszczególnienie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 XII 2015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 XII 2016</w:t>
            </w:r>
          </w:p>
        </w:tc>
      </w:tr>
      <w:tr>
        <w:trPr>
          <w:trHeight w:val="432"/>
        </w:trPr>
        <w:tc>
          <w:tcPr>
            <w:tcW w:w="50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>
            <w:pPr>
              <w:keepNext/>
              <w:spacing w:after="120" w:line="240" w:lineRule="auto"/>
              <w:outlineLvl w:val="0"/>
              <w:rPr>
                <w:rFonts w:eastAsia="Times New Roman" w:cs="Arial"/>
                <w:kern w:val="36"/>
                <w:sz w:val="18"/>
                <w:szCs w:val="18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18"/>
                <w:szCs w:val="18"/>
              </w:rPr>
            </w:pPr>
            <w:r>
              <w:rPr>
                <w:rFonts w:eastAsia="Times New Roman" w:cs="Arial"/>
                <w:kern w:val="36"/>
                <w:sz w:val="18"/>
                <w:szCs w:val="18"/>
              </w:rPr>
              <w:t>w mln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kern w:val="36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36"/>
                <w:sz w:val="18"/>
                <w:szCs w:val="18"/>
              </w:rPr>
              <w:t>31 XII 2015</w:t>
            </w:r>
          </w:p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36"/>
                <w:sz w:val="18"/>
                <w:szCs w:val="18"/>
              </w:rPr>
              <w:t>=100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kern w:val="36"/>
                <w:sz w:val="18"/>
                <w:szCs w:val="18"/>
              </w:rPr>
            </w:pPr>
            <w:r>
              <w:rPr>
                <w:rFonts w:eastAsia="Times New Roman" w:cs="Arial"/>
                <w:kern w:val="36"/>
                <w:sz w:val="18"/>
                <w:szCs w:val="18"/>
              </w:rPr>
              <w:t>Struktura</w:t>
            </w:r>
            <w:r>
              <w:rPr>
                <w:rFonts w:eastAsia="Times New Roman" w:cs="Arial"/>
                <w:kern w:val="36"/>
                <w:sz w:val="18"/>
                <w:szCs w:val="18"/>
              </w:rPr>
              <w:br/>
              <w:t>w %</w:t>
            </w:r>
          </w:p>
        </w:tc>
      </w:tr>
      <w:tr>
        <w:trPr>
          <w:trHeight w:val="283"/>
        </w:trPr>
        <w:tc>
          <w:tcPr>
            <w:tcW w:w="50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outlineLvl w:val="0"/>
              <w:rPr>
                <w:rFonts w:eastAsia="Times New Roman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6"/>
                <w:sz w:val="20"/>
                <w:szCs w:val="20"/>
              </w:rPr>
              <w:t xml:space="preserve">Razem 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981 802</w:t>
            </w:r>
          </w:p>
        </w:tc>
        <w:tc>
          <w:tcPr>
            <w:tcW w:w="130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1 084 686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876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>
        <w:trPr>
          <w:trHeight w:val="283"/>
        </w:trPr>
        <w:tc>
          <w:tcPr>
            <w:tcW w:w="50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113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 xml:space="preserve">bieżące 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503 510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610 918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>
        <w:trPr>
          <w:trHeight w:val="283"/>
        </w:trPr>
        <w:tc>
          <w:tcPr>
            <w:tcW w:w="50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113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 xml:space="preserve">terminowe 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478 292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473 769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>
        <w:trPr>
          <w:trHeight w:val="283"/>
        </w:trPr>
        <w:tc>
          <w:tcPr>
            <w:tcW w:w="50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57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b/>
                <w:kern w:val="36"/>
                <w:sz w:val="20"/>
                <w:szCs w:val="20"/>
              </w:rPr>
              <w:t xml:space="preserve">Sektor niefinansowy 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933 403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1 021 146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</w:tr>
      <w:tr>
        <w:trPr>
          <w:trHeight w:val="283"/>
        </w:trPr>
        <w:tc>
          <w:tcPr>
            <w:tcW w:w="50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170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 xml:space="preserve">bieżące 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473 907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568 041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>
        <w:trPr>
          <w:trHeight w:val="283"/>
        </w:trPr>
        <w:tc>
          <w:tcPr>
            <w:tcW w:w="50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170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 xml:space="preserve">terminowe 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459 496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453 104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</w:tr>
      <w:tr>
        <w:trPr>
          <w:trHeight w:val="283"/>
        </w:trPr>
        <w:tc>
          <w:tcPr>
            <w:tcW w:w="50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57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b/>
                <w:kern w:val="36"/>
                <w:sz w:val="20"/>
                <w:szCs w:val="20"/>
              </w:rPr>
              <w:t xml:space="preserve">Sektor instytucji rządowych i samorządowych 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48 399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63 541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</w:t>
            </w:r>
          </w:p>
        </w:tc>
      </w:tr>
      <w:tr>
        <w:trPr>
          <w:trHeight w:val="283"/>
        </w:trPr>
        <w:tc>
          <w:tcPr>
            <w:tcW w:w="50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170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 xml:space="preserve">bieżące 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29 603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42 876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>
        <w:trPr>
          <w:trHeight w:val="283"/>
        </w:trPr>
        <w:tc>
          <w:tcPr>
            <w:tcW w:w="50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keepNext/>
              <w:tabs>
                <w:tab w:val="left" w:leader="dot" w:pos="6237"/>
              </w:tabs>
              <w:spacing w:after="0" w:line="240" w:lineRule="auto"/>
              <w:ind w:left="170"/>
              <w:outlineLvl w:val="0"/>
              <w:rPr>
                <w:rFonts w:eastAsia="Times New Roman" w:cs="Arial"/>
                <w:kern w:val="36"/>
                <w:sz w:val="20"/>
                <w:szCs w:val="20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</w:rPr>
              <w:t xml:space="preserve">terminowe 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18 796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20 664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pStyle w:val="Nagwek1"/>
        <w:spacing w:before="120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Depozyty</w:t>
      </w:r>
      <w:r>
        <w:rPr>
          <w:rFonts w:asciiTheme="minorHAnsi" w:hAnsiTheme="minorHAnsi" w:cs="Arial"/>
          <w:snapToGrid w:val="0"/>
          <w:color w:val="auto"/>
          <w:sz w:val="22"/>
          <w:szCs w:val="22"/>
        </w:rPr>
        <w:t xml:space="preserve"> sektora niefinansowego oraz instytucji rządowych i samorządowych</w:t>
      </w:r>
    </w:p>
    <w:p>
      <w:pPr>
        <w:jc w:val="center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5972810" cy="3990975"/>
            <wp:effectExtent l="0" t="0" r="889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jc w:val="both"/>
        <w:rPr>
          <w:rFonts w:cs="Arial"/>
        </w:rPr>
      </w:pPr>
      <w:r>
        <w:rPr>
          <w:rFonts w:cs="Arial"/>
        </w:rPr>
        <w:t>W porównaniu do stanu w dniu 31 grudnia 2015 r., przyrost wartości depozytów sektora niefinansowego oraz sektora instytucji rządowych i samorządowych łącznie był większy o 49,1 mld zł</w:t>
      </w:r>
      <w:r>
        <w:rPr>
          <w:rFonts w:cs="Arial"/>
          <w:vertAlign w:val="superscript"/>
        </w:rPr>
        <w:t>5</w:t>
      </w:r>
      <w:r>
        <w:rPr>
          <w:rFonts w:cs="Arial"/>
        </w:rPr>
        <w:t xml:space="preserve"> niż przyrost wartości kredytów tych podmiotów. W rezultacie, różnica między wartością kredytów, a wartością depozytów tych sektorów łącznie zmniejszyła się do 21,0</w:t>
      </w:r>
      <w:r>
        <w:t> mld </w:t>
      </w:r>
      <w:r>
        <w:rPr>
          <w:rFonts w:cs="Arial"/>
        </w:rPr>
        <w:t>zł. Różnica ta ukształtowała się na najniższym poziomie w badanym okresie. W sektorze niefinansowym, po raz pierwszy, wystąpiła nadwyżka depozytów nad kredytami w wysokości 13,7 mld zł. W sektorze instytucji rządowych i samorządowych zanotowano wzrost wartości depozytów o 15,1 mld zł, a wartość kredytów zwiększyła się o 2,9 mld zł. To spowodowało, że w tym sektorze nadwyżka kredytów nad depozytami zmniejszyła się o 12,3 mld zł.</w:t>
      </w:r>
    </w:p>
    <w:p>
      <w:pPr>
        <w:jc w:val="both"/>
        <w:rPr>
          <w:rFonts w:cs="Arial"/>
        </w:rPr>
      </w:pPr>
    </w:p>
    <w:p>
      <w:pPr>
        <w:keepNext/>
        <w:keepLines/>
        <w:spacing w:before="120" w:after="0"/>
        <w:ind w:firstLine="119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Nadwyżka wartości kredytów nad depozytami według sektorów, w latach 2010-2016</w:t>
      </w:r>
    </w:p>
    <w:p>
      <w:pPr>
        <w:keepNext/>
        <w:keepLines/>
        <w:spacing w:after="0"/>
        <w:ind w:firstLine="1050"/>
        <w:rPr>
          <w:rFonts w:cs="Arial"/>
          <w:b/>
        </w:rPr>
      </w:pPr>
      <w:r>
        <w:rPr>
          <w:rFonts w:cs="Arial"/>
        </w:rPr>
        <w:t>(stan w końcu kwartału)</w:t>
      </w:r>
    </w:p>
    <w:p>
      <w:pPr>
        <w:jc w:val="center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5972810" cy="2494280"/>
            <wp:effectExtent l="0" t="0" r="8890" b="12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</w:t>
      </w:r>
    </w:p>
    <w:p>
      <w:pPr>
        <w:jc w:val="center"/>
      </w:pPr>
      <w:r>
        <w:t>***</w:t>
      </w:r>
    </w:p>
    <w:p>
      <w:pPr>
        <w:spacing w:after="120"/>
        <w:ind w:firstLine="709"/>
        <w:rPr>
          <w:rFonts w:cs="Arial"/>
        </w:rPr>
      </w:pPr>
      <w:r>
        <w:rPr>
          <w:rFonts w:cs="Arial"/>
        </w:rPr>
        <w:t>Liczba banków według formy organizacyjnej i struktury własności:</w:t>
      </w:r>
    </w:p>
    <w:tbl>
      <w:tblPr>
        <w:tblW w:w="97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205"/>
        <w:gridCol w:w="1205"/>
        <w:gridCol w:w="940"/>
      </w:tblGrid>
      <w:tr>
        <w:trPr>
          <w:trHeight w:val="643"/>
          <w:jc w:val="center"/>
        </w:trPr>
        <w:tc>
          <w:tcPr>
            <w:tcW w:w="6379" w:type="dxa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Wyszczególnienie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2015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2016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Zmiana liczby banków</w:t>
            </w:r>
          </w:p>
        </w:tc>
      </w:tr>
      <w:tr>
        <w:trPr>
          <w:trHeight w:val="270"/>
          <w:jc w:val="center"/>
        </w:trPr>
        <w:tc>
          <w:tcPr>
            <w:tcW w:w="6379" w:type="dxa"/>
            <w:vMerge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stan na 31 grudnia</w:t>
            </w:r>
          </w:p>
        </w:tc>
      </w:tr>
      <w:tr>
        <w:trPr>
          <w:trHeight w:val="283"/>
          <w:jc w:val="center"/>
        </w:trPr>
        <w:tc>
          <w:tcPr>
            <w:tcW w:w="6379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>
            <w:pPr>
              <w:tabs>
                <w:tab w:val="left" w:leader="dot" w:pos="6521"/>
              </w:tabs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</w:t>
            </w:r>
          </w:p>
        </w:tc>
      </w:tr>
      <w:tr>
        <w:trPr>
          <w:trHeight w:val="283"/>
          <w:jc w:val="center"/>
        </w:trPr>
        <w:tc>
          <w:tcPr>
            <w:tcW w:w="6379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tabs>
                <w:tab w:val="left" w:leader="dot" w:pos="6521"/>
              </w:tabs>
              <w:spacing w:after="0" w:line="240" w:lineRule="auto"/>
              <w:ind w:firstLineChars="100" w:firstLine="201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Komercyjne</w:t>
            </w:r>
          </w:p>
        </w:tc>
        <w:tc>
          <w:tcPr>
            <w:tcW w:w="120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0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>
        <w:trPr>
          <w:trHeight w:val="283"/>
          <w:jc w:val="center"/>
        </w:trPr>
        <w:tc>
          <w:tcPr>
            <w:tcW w:w="6379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>
            <w:pPr>
              <w:tabs>
                <w:tab w:val="left" w:leader="dot" w:pos="6521"/>
              </w:tabs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z przeważającym udziałem kapitału polskiego 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283"/>
          <w:jc w:val="center"/>
        </w:trPr>
        <w:tc>
          <w:tcPr>
            <w:tcW w:w="6379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tabs>
                <w:tab w:val="left" w:leader="dot" w:pos="6521"/>
              </w:tabs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z przeważającym udziałem kapitału zagranicznego, w tym: 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>
        <w:trPr>
          <w:trHeight w:val="283"/>
          <w:jc w:val="center"/>
        </w:trPr>
        <w:tc>
          <w:tcPr>
            <w:tcW w:w="6379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>
            <w:pPr>
              <w:tabs>
                <w:tab w:val="left" w:leader="dot" w:pos="6521"/>
              </w:tabs>
              <w:spacing w:after="0" w:line="240" w:lineRule="auto"/>
              <w:ind w:firstLineChars="300" w:firstLine="600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 xml:space="preserve">ze 100% udziałem kapitału zagranicznego, w tym: 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</w:t>
            </w:r>
          </w:p>
        </w:tc>
      </w:tr>
      <w:tr>
        <w:trPr>
          <w:trHeight w:val="283"/>
          <w:jc w:val="center"/>
        </w:trPr>
        <w:tc>
          <w:tcPr>
            <w:tcW w:w="6379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tabs>
                <w:tab w:val="left" w:leader="dot" w:pos="6521"/>
              </w:tabs>
              <w:spacing w:after="0" w:line="240" w:lineRule="auto"/>
              <w:ind w:firstLineChars="400" w:firstLine="800"/>
              <w:rPr>
                <w:rFonts w:eastAsia="Times New Roman" w:cs="Arial"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 xml:space="preserve">oddziały instytucji kredytowych 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–</w:t>
            </w:r>
          </w:p>
        </w:tc>
      </w:tr>
      <w:tr>
        <w:trPr>
          <w:trHeight w:val="283"/>
          <w:jc w:val="center"/>
        </w:trPr>
        <w:tc>
          <w:tcPr>
            <w:tcW w:w="63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>
            <w:pPr>
              <w:tabs>
                <w:tab w:val="left" w:leader="dot" w:pos="6521"/>
              </w:tabs>
              <w:spacing w:after="0" w:line="240" w:lineRule="auto"/>
              <w:ind w:firstLineChars="100" w:firstLine="201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Spółdzielcze</w:t>
            </w:r>
          </w:p>
        </w:tc>
        <w:tc>
          <w:tcPr>
            <w:tcW w:w="120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0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940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</w:tbl>
    <w:p/>
    <w:p>
      <w:pPr>
        <w:spacing w:after="120" w:line="288" w:lineRule="auto"/>
        <w:jc w:val="both"/>
        <w:rPr>
          <w:rFonts w:cs="Arial"/>
        </w:rPr>
      </w:pPr>
      <w:r>
        <w:rPr>
          <w:rFonts w:cs="Arial"/>
        </w:rPr>
        <w:t>Działalność operacyjną w końcu grudnia 2016 r. prowadziło 621 banków (o 4 mniej niż rok wcześniej). Liczba banków komercyjnych zmniejszyła się do 63 (o 2 mniej), do 51 zmniejszyła się liczba banków z przewagą kapitału zagranicznego (o 2 mniej). Liczba oddziałów instytucji kredytowych nie zmieniła się i wyniosła 27. Ponadto funkcjonowało 558 banków spółdzielczych (o 2 mniej niż w końcu 2015 r.). Zmiany liczby banków ogółem oraz w poszczególnych grupach były spowodowane głównie przez procesy konsolidacyjne w sektorze (w jednym banku z większościowym udziałem kapitału zagranicznego, po procesie jego podziału i przejęcia większej części przez bank z przewagą kapitału polskiego, kapitał zagraniczny osiągnął 100% udziału; jeden bank ze 100% udziałem kapitału zagranicznego, przekształcony wcześniej z oddziału instytucji kredytowej, został</w:t>
      </w:r>
      <w:r>
        <w:t xml:space="preserve"> </w:t>
      </w:r>
      <w:r>
        <w:rPr>
          <w:rFonts w:cs="Arial"/>
        </w:rPr>
        <w:t>przejęty przez bank z większościowym udziałem kapitału zagranicznego;</w:t>
      </w:r>
      <w:r>
        <w:t xml:space="preserve"> </w:t>
      </w:r>
      <w:r>
        <w:rPr>
          <w:rFonts w:cs="Arial"/>
        </w:rPr>
        <w:t>jeden bank spółdzielczy połączył się z innym bankiem spółdzielczym). Ponadto, jeden bank ze 100% udziałem kapitału zagranicznego</w:t>
      </w:r>
      <w:r>
        <w:t xml:space="preserve"> </w:t>
      </w:r>
      <w:r>
        <w:rPr>
          <w:rFonts w:cs="Arial"/>
        </w:rPr>
        <w:t>został przekształcony w oddział instytucji kredytowej; a jeden oddział instytucji kredytowej zaprzestał działalności z powodu postawienia go w stan likwidacji przez zagranicznego właściciela. W 2016 r. ogłoszono upadłość jednego banku spółdzielczego, podobnie jak w 2015 r., ale był to znacznie mniejszy bank.</w:t>
      </w:r>
      <w:r>
        <w:rPr>
          <w:rFonts w:cs="Arial"/>
        </w:rPr>
        <w:br w:type="page"/>
      </w:r>
    </w:p>
    <w:p>
      <w:pPr>
        <w:spacing w:after="60" w:line="240" w:lineRule="auto"/>
        <w:ind w:left="142" w:hanging="142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Times New Roman"/>
          <w:sz w:val="20"/>
          <w:szCs w:val="20"/>
          <w:vertAlign w:val="superscript"/>
        </w:rPr>
        <w:lastRenderedPageBreak/>
        <w:footnoteRef/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Arial"/>
          <w:sz w:val="18"/>
          <w:szCs w:val="18"/>
        </w:rPr>
        <w:t xml:space="preserve">Opracowano na podstawie danych Narodowego Banku Polskiego z sektora bankowego za 2016 r. przekazanych do GUS 13.02.2017 r. Porównawcze dane za </w:t>
      </w:r>
      <w:r>
        <w:rPr>
          <w:rFonts w:eastAsia="Times New Roman" w:cs="Arial"/>
          <w:bCs/>
          <w:sz w:val="18"/>
          <w:szCs w:val="18"/>
        </w:rPr>
        <w:t>2015 </w:t>
      </w:r>
      <w:r>
        <w:rPr>
          <w:rFonts w:eastAsia="Times New Roman" w:cs="Arial"/>
          <w:sz w:val="18"/>
          <w:szCs w:val="18"/>
        </w:rPr>
        <w:t>r. podano na podstawie danych Narodowego Banku Polskiego dostępnych na stronie internetowej NBP (stan w dniu 14.03.2017 r.). Liczba banków została podana według danych UKNF. Niniejsza informacja nie uwzględnia wyników banków w fazie organizacji, upadłości lub likwidacji.</w:t>
      </w:r>
    </w:p>
    <w:p>
      <w:pPr>
        <w:spacing w:after="60" w:line="240" w:lineRule="auto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20"/>
          <w:szCs w:val="20"/>
          <w:vertAlign w:val="superscript"/>
        </w:rPr>
        <w:t>2</w:t>
      </w:r>
      <w:r>
        <w:rPr>
          <w:rFonts w:eastAsia="Times New Roman" w:cs="Arial"/>
          <w:sz w:val="18"/>
          <w:szCs w:val="18"/>
        </w:rPr>
        <w:t xml:space="preserve"> Portfel B (wartość bilansowa brutto).</w:t>
      </w:r>
    </w:p>
    <w:p>
      <w:pPr>
        <w:spacing w:after="60" w:line="240" w:lineRule="auto"/>
        <w:ind w:left="142" w:hanging="142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20"/>
          <w:szCs w:val="20"/>
          <w:vertAlign w:val="superscript"/>
        </w:rPr>
        <w:t>3</w:t>
      </w:r>
      <w:r>
        <w:rPr>
          <w:rFonts w:eastAsia="Times New Roman" w:cs="Arial"/>
          <w:sz w:val="18"/>
          <w:szCs w:val="18"/>
        </w:rPr>
        <w:t xml:space="preserve"> Przedsiębiorstwa oraz osoby fizyczne prowadzące działalność gospodarczą na własny rachunek, u których liczba pracujących na koniec ostatniego zakończonego roku obrotowego wynosiła co najmniej 250 osób.</w:t>
      </w:r>
    </w:p>
    <w:tbl>
      <w:tblPr>
        <w:tblStyle w:val="Tabela-Siatka1"/>
        <w:tblpPr w:leftFromText="141" w:rightFromText="141" w:vertAnchor="text" w:horzAnchor="margin" w:tblpY="1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>
        <w:tc>
          <w:tcPr>
            <w:tcW w:w="4928" w:type="dxa"/>
          </w:tcPr>
          <w:p>
            <w:pPr>
              <w:jc w:val="center"/>
              <w:rPr>
                <w:rFonts w:eastAsia="Times New Roman" w:cs="Arial"/>
                <w:i/>
                <w:sz w:val="20"/>
              </w:rPr>
            </w:pPr>
            <w:r>
              <w:rPr>
                <w:rFonts w:eastAsia="Times New Roman" w:cs="Arial"/>
                <w:i/>
                <w:sz w:val="20"/>
              </w:rPr>
              <w:t>Opracowanie merytoryczne:</w:t>
            </w:r>
          </w:p>
          <w:p>
            <w:pPr>
              <w:jc w:val="center"/>
              <w:rPr>
                <w:rFonts w:eastAsia="Times New Roman" w:cs="Arial"/>
                <w:b/>
                <w:i/>
                <w:sz w:val="20"/>
              </w:rPr>
            </w:pPr>
            <w:r>
              <w:rPr>
                <w:rFonts w:eastAsia="Times New Roman" w:cs="Arial"/>
                <w:b/>
                <w:i/>
                <w:sz w:val="20"/>
              </w:rPr>
              <w:t xml:space="preserve">Departament Studiów Makroekonomicznych </w:t>
            </w:r>
            <w:r>
              <w:rPr>
                <w:rFonts w:eastAsia="Times New Roman" w:cs="Arial"/>
                <w:b/>
                <w:i/>
                <w:sz w:val="20"/>
              </w:rPr>
              <w:br/>
              <w:t>i Finansów</w:t>
            </w:r>
          </w:p>
          <w:p>
            <w:pPr>
              <w:jc w:val="center"/>
              <w:rPr>
                <w:rFonts w:eastAsia="Times New Roman" w:cs="Arial"/>
                <w:b/>
                <w:i/>
                <w:sz w:val="20"/>
              </w:rPr>
            </w:pPr>
            <w:r>
              <w:rPr>
                <w:rFonts w:eastAsia="Times New Roman" w:cs="Arial"/>
                <w:b/>
                <w:i/>
                <w:sz w:val="20"/>
              </w:rPr>
              <w:t>Wojciech Bąbik</w:t>
            </w:r>
          </w:p>
          <w:p>
            <w:pPr>
              <w:jc w:val="center"/>
              <w:rPr>
                <w:rFonts w:eastAsia="Times New Roman" w:cs="Arial"/>
                <w:i/>
                <w:sz w:val="20"/>
              </w:rPr>
            </w:pPr>
            <w:r>
              <w:rPr>
                <w:rFonts w:eastAsia="Times New Roman" w:cs="Arial"/>
                <w:i/>
                <w:sz w:val="20"/>
                <w:lang w:val="fi-FI"/>
              </w:rPr>
              <w:t>Tel: 22 608 3776</w:t>
            </w:r>
          </w:p>
        </w:tc>
        <w:tc>
          <w:tcPr>
            <w:tcW w:w="4926" w:type="dxa"/>
          </w:tcPr>
          <w:p>
            <w:pPr>
              <w:jc w:val="center"/>
              <w:rPr>
                <w:rFonts w:eastAsia="Times New Roman" w:cs="Arial"/>
                <w:b/>
                <w:i/>
                <w:sz w:val="20"/>
              </w:rPr>
            </w:pPr>
            <w:r>
              <w:rPr>
                <w:rFonts w:eastAsia="Times New Roman" w:cs="Arial"/>
                <w:i/>
                <w:sz w:val="20"/>
              </w:rPr>
              <w:t>Rozpowszechnianie:</w:t>
            </w:r>
            <w:r>
              <w:rPr>
                <w:rFonts w:eastAsia="Times New Roman" w:cs="Arial"/>
                <w:i/>
                <w:sz w:val="20"/>
              </w:rPr>
              <w:br/>
            </w:r>
            <w:r>
              <w:rPr>
                <w:rFonts w:eastAsia="Times New Roman" w:cs="Arial"/>
                <w:b/>
                <w:i/>
                <w:sz w:val="20"/>
              </w:rPr>
              <w:t>Rzecznik Prasowy Prezesa GUS</w:t>
            </w:r>
          </w:p>
          <w:p>
            <w:pPr>
              <w:jc w:val="center"/>
              <w:rPr>
                <w:rFonts w:eastAsia="Times New Roman" w:cs="Arial"/>
                <w:b/>
                <w:i/>
                <w:sz w:val="20"/>
              </w:rPr>
            </w:pPr>
            <w:r>
              <w:rPr>
                <w:rFonts w:eastAsia="Times New Roman" w:cs="Arial"/>
                <w:b/>
                <w:bCs/>
                <w:i/>
                <w:sz w:val="20"/>
              </w:rPr>
              <w:t>Karolina Dawidziuk</w:t>
            </w:r>
          </w:p>
          <w:p>
            <w:pPr>
              <w:keepNext/>
              <w:jc w:val="center"/>
              <w:outlineLvl w:val="2"/>
              <w:rPr>
                <w:rFonts w:eastAsia="Times New Roman" w:cs="Arial"/>
                <w:b/>
                <w:i/>
                <w:sz w:val="20"/>
                <w:lang w:val="fi-FI" w:eastAsia="en-GB"/>
              </w:rPr>
            </w:pPr>
            <w:r>
              <w:rPr>
                <w:rFonts w:eastAsia="Times New Roman" w:cs="Arial"/>
                <w:b/>
                <w:i/>
                <w:sz w:val="20"/>
                <w:lang w:val="fi-FI" w:eastAsia="en-GB"/>
              </w:rPr>
              <w:t>Tel: 22 608 3475, 22 608 3009</w:t>
            </w:r>
          </w:p>
          <w:p>
            <w:pPr>
              <w:keepNext/>
              <w:jc w:val="center"/>
              <w:outlineLvl w:val="2"/>
              <w:rPr>
                <w:rFonts w:eastAsia="Times New Roman" w:cs="Arial"/>
                <w:b/>
                <w:i/>
                <w:sz w:val="20"/>
                <w:lang w:val="en-US" w:eastAsia="en-GB"/>
              </w:rPr>
            </w:pPr>
            <w:r>
              <w:rPr>
                <w:rFonts w:eastAsia="Times New Roman" w:cs="Arial"/>
                <w:i/>
                <w:sz w:val="20"/>
                <w:lang w:val="en-US" w:eastAsia="en-GB"/>
              </w:rPr>
              <w:t>e-mail</w:t>
            </w:r>
            <w:r>
              <w:rPr>
                <w:rFonts w:eastAsia="Times New Roman" w:cs="Arial"/>
                <w:i/>
                <w:sz w:val="20"/>
                <w:lang w:val="en-GB" w:eastAsia="en-GB"/>
              </w:rPr>
              <w:t xml:space="preserve">: </w:t>
            </w:r>
            <w:hyperlink r:id="rId15" w:history="1">
              <w:r>
                <w:rPr>
                  <w:rFonts w:eastAsia="Times New Roman" w:cs="Arial"/>
                  <w:i/>
                  <w:color w:val="0000FF"/>
                  <w:sz w:val="20"/>
                  <w:u w:val="single"/>
                  <w:lang w:val="en-GB" w:eastAsia="en-GB"/>
                </w:rPr>
                <w:t>rzecznik@stat.gov.pl</w:t>
              </w:r>
            </w:hyperlink>
          </w:p>
        </w:tc>
      </w:tr>
    </w:tbl>
    <w:p>
      <w:pPr>
        <w:spacing w:after="60" w:line="240" w:lineRule="auto"/>
        <w:ind w:left="142" w:hanging="142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20"/>
          <w:szCs w:val="20"/>
          <w:vertAlign w:val="superscript"/>
        </w:rPr>
        <w:t>4</w:t>
      </w:r>
      <w:r>
        <w:rPr>
          <w:rFonts w:eastAsia="Times New Roman" w:cs="Arial"/>
          <w:sz w:val="18"/>
          <w:szCs w:val="18"/>
        </w:rPr>
        <w:t xml:space="preserve"> Małe i średnie przedsiębiorstwa, w których liczba pracujących na koniec ostatniego zakończonego roku obrotowego wynosiła mniej niż 250 osób oraz osoby fizyczne prowadzące działalność gospodarczą na własny rachunek, o ile liczba pracujących </w:t>
      </w:r>
      <w:r>
        <w:rPr>
          <w:rFonts w:eastAsia="Times New Roman" w:cs="Arial"/>
          <w:sz w:val="18"/>
          <w:szCs w:val="18"/>
        </w:rPr>
        <w:br/>
        <w:t>w ramach prowadzonej działalności gospodarczej wynosiła więcej niż 9, lecz mniej niż 250 osób.</w:t>
      </w:r>
    </w:p>
    <w:p>
      <w:pPr>
        <w:spacing w:after="0" w:line="240" w:lineRule="auto"/>
        <w:ind w:left="142" w:hanging="142"/>
        <w:jc w:val="both"/>
        <w:rPr>
          <w:rFonts w:eastAsia="Times New Roman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1114425</wp:posOffset>
                </wp:positionV>
                <wp:extent cx="6290945" cy="122428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Style w:val="Hipercze"/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Informacja dostępna na portalu informacyjnym GUS: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br/>
                            </w:r>
                            <w:hyperlink r:id="rId16" w:history="1">
                              <w:r>
                                <w:rPr>
                                  <w:rStyle w:val="Hipercze"/>
                                  <w:rFonts w:cs="Arial"/>
                                  <w:szCs w:val="24"/>
                                </w:rPr>
                                <w:t>http://stat.gov.pl/obszary-tematyczne/podmioty-gospodarcze-wyniki-finansowe/przedsiebiorstwa-finansowe/</w:t>
                              </w:r>
                            </w:hyperlink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Style w:val="Hipercze"/>
                                <w:rFonts w:cs="Arial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auto"/>
                                <w:szCs w:val="24"/>
                                <w:u w:val="none"/>
                              </w:rPr>
                              <w:t>Dane źródłowe w formacie Excel: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>
                                <w:rPr>
                                  <w:rStyle w:val="Hipercze"/>
                                  <w:rFonts w:cs="Arial"/>
                                  <w:szCs w:val="20"/>
                                </w:rPr>
                                <w:t>http://www.nbp.pl/home.aspx?f=/statystyka/pieniezna_i_bankowa/naleznosci.html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75pt;margin-top:87.75pt;width:495.35pt;height:9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" stroked="f">
                <v:stroke dashstyle="3 1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Style w:val="Hipercze"/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 w:val="20"/>
                          <w:szCs w:val="24"/>
                        </w:rPr>
                        <w:t>Informacja dostępna na portalu informacyjnym GUS: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br/>
                      </w:r>
                      <w:hyperlink r:id="rId18" w:history="1">
                        <w:r>
                          <w:rPr>
                            <w:rStyle w:val="Hipercze"/>
                            <w:rFonts w:cs="Arial"/>
                            <w:szCs w:val="24"/>
                          </w:rPr>
                          <w:t>http://stat.gov.pl/obszary-tematyczne/podmioty-gospodarcze-wyniki-finansowe/przedsiebiorstwa-finansowe/</w:t>
                        </w:r>
                      </w:hyperlink>
                    </w:p>
                    <w:p>
                      <w:pPr>
                        <w:spacing w:after="0" w:line="240" w:lineRule="auto"/>
                        <w:jc w:val="center"/>
                        <w:rPr>
                          <w:rStyle w:val="Hipercze"/>
                          <w:rFonts w:cs="Arial"/>
                          <w:szCs w:val="24"/>
                          <w:u w:val="none"/>
                        </w:rPr>
                      </w:pPr>
                      <w:r>
                        <w:rPr>
                          <w:rStyle w:val="Hipercze"/>
                          <w:rFonts w:cs="Arial"/>
                          <w:color w:val="auto"/>
                          <w:szCs w:val="24"/>
                          <w:u w:val="none"/>
                        </w:rPr>
                        <w:t>Dane źródłowe w formacie Excel: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hyperlink r:id="rId19" w:history="1">
                        <w:r>
                          <w:rPr>
                            <w:rStyle w:val="Hipercze"/>
                            <w:rFonts w:cs="Arial"/>
                            <w:szCs w:val="20"/>
                          </w:rPr>
                          <w:t>http://www.nbp.pl/home.aspx?f=/statystyka/pieniezna_i_bankowa/naleznosci.html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sz w:val="18"/>
          <w:szCs w:val="18"/>
          <w:vertAlign w:val="superscript"/>
        </w:rPr>
        <w:t>5</w:t>
      </w:r>
      <w:r>
        <w:rPr>
          <w:rFonts w:eastAsia="Times New Roman" w:cs="Arial"/>
          <w:sz w:val="18"/>
          <w:szCs w:val="18"/>
        </w:rPr>
        <w:t xml:space="preserve"> Bez uwzględnienia zmian kursów walut obcych.</w:t>
      </w:r>
    </w:p>
    <w:sectPr>
      <w:footerReference w:type="default" r:id="rId20"/>
      <w:pgSz w:w="11906" w:h="16838" w:code="9"/>
      <w:pgMar w:top="1134" w:right="1134" w:bottom="1134" w:left="1134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2623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239"/>
    <w:multiLevelType w:val="hybridMultilevel"/>
    <w:tmpl w:val="0598FEC2"/>
    <w:lvl w:ilvl="0" w:tplc="45DE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30292"/>
    <w:multiLevelType w:val="hybridMultilevel"/>
    <w:tmpl w:val="939C66AE"/>
    <w:lvl w:ilvl="0" w:tplc="1E144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removePersonalInformation/>
  <w:removeDateAndTime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Pr>
      <w:color w:val="0000FF"/>
      <w:sz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Pr>
      <w:color w:val="0000FF"/>
      <w:sz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stat.gov.pl/obszary-tematyczne/podmioty-gospodarcze-wyniki-finansowe/przedsiebiorstwa-finansow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www.nbp.pl/home.aspx?f=/statystyka/pieniezna_i_bankowa/naleznosc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.gov.pl/obszary-tematyczne/podmioty-gospodarcze-wyniki-finansowe/przedsiebiorstwa-finansow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mailto:rzecznik@stat.gov.pl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nbp.pl/home.aspx?f=/statystyka/pieniezna_i_bankowa/naleznosc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779010771973098E-2"/>
          <c:y val="3.5064966724360686E-2"/>
          <c:w val="0.86351159230096242"/>
          <c:h val="0.4940136352924924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Wykres1!$A$2</c:f>
              <c:strCache>
                <c:ptCount val="1"/>
                <c:pt idx="0">
                  <c:v>Wynik z tytułu odsetek</c:v>
                </c:pt>
              </c:strCache>
            </c:strRef>
          </c:tx>
          <c:invertIfNegative val="0"/>
          <c:dLbls>
            <c:numFmt formatCode="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Wykres1!$B$1:$C$1</c:f>
              <c:strCache>
                <c:ptCount val="2"/>
                <c:pt idx="0">
                  <c:v>
2015</c:v>
                </c:pt>
                <c:pt idx="1">
                  <c:v>
2016</c:v>
                </c:pt>
              </c:strCache>
            </c:strRef>
          </c:cat>
          <c:val>
            <c:numRef>
              <c:f>Wykres1!$B$2:$C$2</c:f>
              <c:numCache>
                <c:formatCode>0.0</c:formatCode>
                <c:ptCount val="2"/>
                <c:pt idx="0">
                  <c:v>63.150439304285456</c:v>
                </c:pt>
                <c:pt idx="1">
                  <c:v>64.113223489649343</c:v>
                </c:pt>
              </c:numCache>
            </c:numRef>
          </c:val>
        </c:ser>
        <c:ser>
          <c:idx val="1"/>
          <c:order val="1"/>
          <c:tx>
            <c:strRef>
              <c:f>Wykres1!$A$3</c:f>
              <c:strCache>
                <c:ptCount val="1"/>
                <c:pt idx="0">
                  <c:v>Wynik z tytułu opłat i prowizji</c:v>
                </c:pt>
              </c:strCache>
            </c:strRef>
          </c:tx>
          <c:invertIfNegative val="0"/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Wykres1!$B$1:$C$1</c:f>
              <c:strCache>
                <c:ptCount val="2"/>
                <c:pt idx="0">
                  <c:v>
2015</c:v>
                </c:pt>
                <c:pt idx="1">
                  <c:v>
2016</c:v>
                </c:pt>
              </c:strCache>
            </c:strRef>
          </c:cat>
          <c:val>
            <c:numRef>
              <c:f>Wykres1!$B$3:$C$3</c:f>
              <c:numCache>
                <c:formatCode>0.0</c:formatCode>
                <c:ptCount val="2"/>
                <c:pt idx="0">
                  <c:v>23.830016137708444</c:v>
                </c:pt>
                <c:pt idx="1">
                  <c:v>21.270806928601605</c:v>
                </c:pt>
              </c:numCache>
            </c:numRef>
          </c:val>
        </c:ser>
        <c:ser>
          <c:idx val="2"/>
          <c:order val="2"/>
          <c:tx>
            <c:strRef>
              <c:f>Wykres1!$A$4</c:f>
              <c:strCache>
                <c:ptCount val="1"/>
                <c:pt idx="0">
                  <c:v>Wynik z tytułu aktywów i zobowiązań finansowych oraz wynik z tytułu różnic kursowych netto</c:v>
                </c:pt>
              </c:strCache>
            </c:strRef>
          </c:tx>
          <c:invertIfNegative val="0"/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Wykres1!$B$1:$C$1</c:f>
              <c:strCache>
                <c:ptCount val="2"/>
                <c:pt idx="0">
                  <c:v>
2015</c:v>
                </c:pt>
                <c:pt idx="1">
                  <c:v>
2016</c:v>
                </c:pt>
              </c:strCache>
            </c:strRef>
          </c:cat>
          <c:val>
            <c:numRef>
              <c:f>Wykres1!$B$4:$C$4</c:f>
              <c:numCache>
                <c:formatCode>0.0</c:formatCode>
                <c:ptCount val="2"/>
                <c:pt idx="0">
                  <c:v>10.577371346602115</c:v>
                </c:pt>
                <c:pt idx="1">
                  <c:v>12.403886776510351</c:v>
                </c:pt>
              </c:numCache>
            </c:numRef>
          </c:val>
        </c:ser>
        <c:ser>
          <c:idx val="3"/>
          <c:order val="3"/>
          <c:tx>
            <c:strRef>
              <c:f>Wykres1!$A$5</c:f>
              <c:strCache>
                <c:ptCount val="1"/>
                <c:pt idx="0">
                  <c:v>Przychody z tytułu dywidend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62311631823822E-3"/>
                  <c:y val="4.23552078504486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5246232636476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Wykres1!$B$1:$C$1</c:f>
              <c:strCache>
                <c:ptCount val="2"/>
                <c:pt idx="0">
                  <c:v>
2015</c:v>
                </c:pt>
                <c:pt idx="1">
                  <c:v>
2016</c:v>
                </c:pt>
              </c:strCache>
            </c:strRef>
          </c:cat>
          <c:val>
            <c:numRef>
              <c:f>Wykres1!$B$5:$C$5</c:f>
              <c:numCache>
                <c:formatCode>0.0</c:formatCode>
                <c:ptCount val="2"/>
                <c:pt idx="0">
                  <c:v>2.443966290120136</c:v>
                </c:pt>
                <c:pt idx="1">
                  <c:v>2.2120828052386989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058432"/>
        <c:axId val="121059968"/>
      </c:barChart>
      <c:catAx>
        <c:axId val="121058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1059968"/>
        <c:crosses val="autoZero"/>
        <c:auto val="1"/>
        <c:lblAlgn val="ctr"/>
        <c:lblOffset val="100"/>
        <c:noMultiLvlLbl val="0"/>
      </c:catAx>
      <c:valAx>
        <c:axId val="12105996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low"/>
        <c:crossAx val="121058432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2.7978404408850601E-2"/>
          <c:y val="0.62344945271933894"/>
          <c:w val="0.93817260021984428"/>
          <c:h val="0.3471720988436817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525261990345027E-2"/>
          <c:y val="9.9706744868035185E-2"/>
          <c:w val="0.87991195477093476"/>
          <c:h val="0.64582749870947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Arkusz1!$C$3</c:f>
              <c:strCache>
                <c:ptCount val="1"/>
                <c:pt idx="0">
                  <c:v>31 XII 2015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>
              <a:noFill/>
              <a:prstDash val="solid"/>
            </a:ln>
          </c:spPr>
          <c:invertIfNegative val="0"/>
          <c:cat>
            <c:strRef>
              <c:f>Arkusz1!$B$4:$B$6</c:f>
              <c:strCache>
                <c:ptCount val="3"/>
                <c:pt idx="0">
                  <c:v>Razem</c:v>
                </c:pt>
                <c:pt idx="1">
                  <c:v>Sektor niefinansowy</c:v>
                </c:pt>
                <c:pt idx="2">
                  <c:v>Sektor instytucji rządowych
i samorządowych</c:v>
                </c:pt>
              </c:strCache>
            </c:strRef>
          </c:cat>
          <c:val>
            <c:numRef>
              <c:f>Arkusz1!$C$4:$C$6</c:f>
              <c:numCache>
                <c:formatCode>General</c:formatCode>
                <c:ptCount val="3"/>
                <c:pt idx="0">
                  <c:v>1051893</c:v>
                </c:pt>
                <c:pt idx="1">
                  <c:v>956549</c:v>
                </c:pt>
                <c:pt idx="2">
                  <c:v>95344</c:v>
                </c:pt>
              </c:numCache>
            </c:numRef>
          </c:val>
        </c:ser>
        <c:ser>
          <c:idx val="1"/>
          <c:order val="1"/>
          <c:tx>
            <c:strRef>
              <c:f>Arkusz1!$D$3</c:f>
              <c:strCache>
                <c:ptCount val="1"/>
                <c:pt idx="0">
                  <c:v>31 XII 2016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strRef>
              <c:f>Arkusz1!$B$4:$B$6</c:f>
              <c:strCache>
                <c:ptCount val="3"/>
                <c:pt idx="0">
                  <c:v>Razem</c:v>
                </c:pt>
                <c:pt idx="1">
                  <c:v>Sektor niefinansowy</c:v>
                </c:pt>
                <c:pt idx="2">
                  <c:v>Sektor instytucji rządowych
i samorządowych</c:v>
                </c:pt>
              </c:strCache>
            </c:strRef>
          </c:cat>
          <c:val>
            <c:numRef>
              <c:f>Arkusz1!$D$4:$D$6</c:f>
              <c:numCache>
                <c:formatCode>General</c:formatCode>
                <c:ptCount val="3"/>
                <c:pt idx="0">
                  <c:v>1105640</c:v>
                </c:pt>
                <c:pt idx="1">
                  <c:v>1007434</c:v>
                </c:pt>
                <c:pt idx="2">
                  <c:v>98206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05408"/>
        <c:axId val="121139968"/>
      </c:barChart>
      <c:catAx>
        <c:axId val="12110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113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139968"/>
        <c:scaling>
          <c:orientation val="minMax"/>
          <c:max val="1110000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1105408"/>
        <c:crosses val="autoZero"/>
        <c:crossBetween val="between"/>
        <c:majorUnit val="200000"/>
        <c:dispUnits>
          <c:builtInUnit val="thousands"/>
          <c:dispUnitsLbl>
            <c:layout>
              <c:manualLayout>
                <c:xMode val="edge"/>
                <c:yMode val="edge"/>
                <c:x val="1.9784190036419139E-2"/>
                <c:y val="1.466275659824047E-2"/>
              </c:manualLayout>
            </c:layout>
            <c:tx>
              <c:rich>
                <a:bodyPr rot="0" vert="horz"/>
                <a:lstStyle/>
                <a:p>
                  <a:pPr algn="ctr"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r>
                    <a:rPr lang="pl-PL"/>
                    <a:t>mld zł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525261990345027E-2"/>
          <c:y val="9.9706744868035185E-2"/>
          <c:w val="0.88560921386243152"/>
          <c:h val="0.64582749870947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Arkusz1!$C$3</c:f>
              <c:strCache>
                <c:ptCount val="1"/>
                <c:pt idx="0">
                  <c:v>31 XII 2015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>
              <a:noFill/>
              <a:prstDash val="solid"/>
            </a:ln>
          </c:spPr>
          <c:invertIfNegative val="0"/>
          <c:cat>
            <c:strRef>
              <c:f>(Arkusz1!$B$5;Arkusz1!$B$7:$B$8)</c:f>
              <c:strCache>
                <c:ptCount val="3"/>
                <c:pt idx="0">
                  <c:v>Sektor niefinansowy</c:v>
                </c:pt>
                <c:pt idx="1">
                  <c:v>Przedsiębiorstwa</c:v>
                </c:pt>
                <c:pt idx="2">
                  <c:v>Gospodarstwa domowe</c:v>
                </c:pt>
              </c:strCache>
            </c:strRef>
          </c:cat>
          <c:val>
            <c:numRef>
              <c:f>(Arkusz1!$C$5;Arkusz1!$C$7:$C$8)</c:f>
              <c:numCache>
                <c:formatCode>General</c:formatCode>
                <c:ptCount val="3"/>
                <c:pt idx="0">
                  <c:v>956549</c:v>
                </c:pt>
                <c:pt idx="1">
                  <c:v>325960</c:v>
                </c:pt>
                <c:pt idx="2">
                  <c:v>624560</c:v>
                </c:pt>
              </c:numCache>
            </c:numRef>
          </c:val>
        </c:ser>
        <c:ser>
          <c:idx val="1"/>
          <c:order val="1"/>
          <c:tx>
            <c:strRef>
              <c:f>Arkusz1!$D$3</c:f>
              <c:strCache>
                <c:ptCount val="1"/>
                <c:pt idx="0">
                  <c:v>31 XII 2016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strRef>
              <c:f>(Arkusz1!$B$5;Arkusz1!$B$7:$B$8)</c:f>
              <c:strCache>
                <c:ptCount val="3"/>
                <c:pt idx="0">
                  <c:v>Sektor niefinansowy</c:v>
                </c:pt>
                <c:pt idx="1">
                  <c:v>Przedsiębiorstwa</c:v>
                </c:pt>
                <c:pt idx="2">
                  <c:v>Gospodarstwa domowe</c:v>
                </c:pt>
              </c:strCache>
            </c:strRef>
          </c:cat>
          <c:val>
            <c:numRef>
              <c:f>(Arkusz1!$D$5;Arkusz1!$D$7:$D$8)</c:f>
              <c:numCache>
                <c:formatCode>General</c:formatCode>
                <c:ptCount val="3"/>
                <c:pt idx="0">
                  <c:v>1007434</c:v>
                </c:pt>
                <c:pt idx="1">
                  <c:v>344846</c:v>
                </c:pt>
                <c:pt idx="2">
                  <c:v>656128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85792"/>
        <c:axId val="121187328"/>
      </c:barChart>
      <c:catAx>
        <c:axId val="12118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1187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187328"/>
        <c:scaling>
          <c:orientation val="minMax"/>
          <c:max val="1100000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1185792"/>
        <c:crosses val="autoZero"/>
        <c:crossBetween val="between"/>
        <c:majorUnit val="200000"/>
        <c:dispUnits>
          <c:builtInUnit val="thousands"/>
          <c:dispUnitsLbl>
            <c:layout>
              <c:manualLayout>
                <c:xMode val="edge"/>
                <c:yMode val="edge"/>
                <c:x val="1.9784190036419139E-2"/>
                <c:y val="1.466275659824047E-2"/>
              </c:manualLayout>
            </c:layout>
            <c:tx>
              <c:rich>
                <a:bodyPr rot="0" vert="horz"/>
                <a:lstStyle/>
                <a:p>
                  <a:pPr algn="ctr"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r>
                    <a:rPr lang="pl-PL"/>
                    <a:t>mld zł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22642835856253E-2"/>
          <c:y val="0.11208607695967829"/>
          <c:w val="0.91392932690925366"/>
          <c:h val="0.7134518272935180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Arkusz1!$C$24</c:f>
              <c:strCache>
                <c:ptCount val="1"/>
                <c:pt idx="0">
                  <c:v>31 XII 2015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>
              <a:noFill/>
              <a:prstDash val="solid"/>
            </a:ln>
          </c:spPr>
          <c:invertIfNegative val="0"/>
          <c:cat>
            <c:multiLvlStrRef>
              <c:f>Arkusz1!$A$25:$B$33</c:f>
              <c:multiLvlStrCache>
                <c:ptCount val="9"/>
                <c:lvl>
                  <c:pt idx="0">
                    <c:v>Ogółem</c:v>
                  </c:pt>
                  <c:pt idx="1">
                    <c:v>Bieżące</c:v>
                  </c:pt>
                  <c:pt idx="2">
                    <c:v>Terminowe</c:v>
                  </c:pt>
                  <c:pt idx="3">
                    <c:v>Ogółem</c:v>
                  </c:pt>
                  <c:pt idx="4">
                    <c:v>Bieżące</c:v>
                  </c:pt>
                  <c:pt idx="5">
                    <c:v>Terminowe</c:v>
                  </c:pt>
                  <c:pt idx="6">
                    <c:v>Ogółem</c:v>
                  </c:pt>
                  <c:pt idx="7">
                    <c:v>Bieżące</c:v>
                  </c:pt>
                  <c:pt idx="8">
                    <c:v>Terminowe</c:v>
                  </c:pt>
                </c:lvl>
                <c:lvl>
                  <c:pt idx="0">
                    <c:v>Razem</c:v>
                  </c:pt>
                  <c:pt idx="3">
                    <c:v>Sektor niefinansowy</c:v>
                  </c:pt>
                  <c:pt idx="6">
                    <c:v>Sektor instytucji rządowych
i samorządowych</c:v>
                  </c:pt>
                </c:lvl>
              </c:multiLvlStrCache>
            </c:multiLvlStrRef>
          </c:cat>
          <c:val>
            <c:numRef>
              <c:f>Arkusz1!$C$25:$C$33</c:f>
              <c:numCache>
                <c:formatCode>#,##0</c:formatCode>
                <c:ptCount val="9"/>
                <c:pt idx="0">
                  <c:v>981802</c:v>
                </c:pt>
                <c:pt idx="1">
                  <c:v>503510</c:v>
                </c:pt>
                <c:pt idx="2">
                  <c:v>478292</c:v>
                </c:pt>
                <c:pt idx="3">
                  <c:v>933403</c:v>
                </c:pt>
                <c:pt idx="4">
                  <c:v>473907</c:v>
                </c:pt>
                <c:pt idx="5">
                  <c:v>459496</c:v>
                </c:pt>
                <c:pt idx="6">
                  <c:v>48399</c:v>
                </c:pt>
                <c:pt idx="7">
                  <c:v>29603</c:v>
                </c:pt>
                <c:pt idx="8">
                  <c:v>18796</c:v>
                </c:pt>
              </c:numCache>
            </c:numRef>
          </c:val>
        </c:ser>
        <c:ser>
          <c:idx val="2"/>
          <c:order val="1"/>
          <c:tx>
            <c:strRef>
              <c:f>Arkusz1!$D$24</c:f>
              <c:strCache>
                <c:ptCount val="1"/>
                <c:pt idx="0">
                  <c:v>31 XII 2016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multiLvlStrRef>
              <c:f>Arkusz1!$A$25:$B$33</c:f>
              <c:multiLvlStrCache>
                <c:ptCount val="9"/>
                <c:lvl>
                  <c:pt idx="0">
                    <c:v>Ogółem</c:v>
                  </c:pt>
                  <c:pt idx="1">
                    <c:v>Bieżące</c:v>
                  </c:pt>
                  <c:pt idx="2">
                    <c:v>Terminowe</c:v>
                  </c:pt>
                  <c:pt idx="3">
                    <c:v>Ogółem</c:v>
                  </c:pt>
                  <c:pt idx="4">
                    <c:v>Bieżące</c:v>
                  </c:pt>
                  <c:pt idx="5">
                    <c:v>Terminowe</c:v>
                  </c:pt>
                  <c:pt idx="6">
                    <c:v>Ogółem</c:v>
                  </c:pt>
                  <c:pt idx="7">
                    <c:v>Bieżące</c:v>
                  </c:pt>
                  <c:pt idx="8">
                    <c:v>Terminowe</c:v>
                  </c:pt>
                </c:lvl>
                <c:lvl>
                  <c:pt idx="0">
                    <c:v>Razem</c:v>
                  </c:pt>
                  <c:pt idx="3">
                    <c:v>Sektor niefinansowy</c:v>
                  </c:pt>
                  <c:pt idx="6">
                    <c:v>Sektor instytucji rządowych
i samorządowych</c:v>
                  </c:pt>
                </c:lvl>
              </c:multiLvlStrCache>
            </c:multiLvlStrRef>
          </c:cat>
          <c:val>
            <c:numRef>
              <c:f>Arkusz1!$D$25:$D$33</c:f>
              <c:numCache>
                <c:formatCode>#,##0</c:formatCode>
                <c:ptCount val="9"/>
                <c:pt idx="0">
                  <c:v>1084686</c:v>
                </c:pt>
                <c:pt idx="1">
                  <c:v>610918</c:v>
                </c:pt>
                <c:pt idx="2">
                  <c:v>473769</c:v>
                </c:pt>
                <c:pt idx="3">
                  <c:v>1021146</c:v>
                </c:pt>
                <c:pt idx="4">
                  <c:v>568041</c:v>
                </c:pt>
                <c:pt idx="5">
                  <c:v>453104</c:v>
                </c:pt>
                <c:pt idx="6">
                  <c:v>63541</c:v>
                </c:pt>
                <c:pt idx="7">
                  <c:v>42876</c:v>
                </c:pt>
                <c:pt idx="8">
                  <c:v>20664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27197184"/>
        <c:axId val="127198720"/>
      </c:barChart>
      <c:catAx>
        <c:axId val="12719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7198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198720"/>
        <c:scaling>
          <c:orientation val="minMax"/>
          <c:max val="1100000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7197184"/>
        <c:crosses val="autoZero"/>
        <c:crossBetween val="between"/>
        <c:majorUnit val="200000"/>
        <c:dispUnits>
          <c:builtInUnit val="thousands"/>
          <c:dispUnitsLbl>
            <c:layout>
              <c:manualLayout>
                <c:xMode val="edge"/>
                <c:yMode val="edge"/>
                <c:x val="1.408452856717125E-2"/>
                <c:y val="3.8011804447084151E-2"/>
              </c:manualLayout>
            </c:layout>
            <c:tx>
              <c:rich>
                <a:bodyPr rot="0" vert="horz"/>
                <a:lstStyle/>
                <a:p>
                  <a:pPr algn="ctr">
                    <a:defRPr sz="900" b="0" i="0" u="none" strike="noStrike" baseline="0">
                      <a:solidFill>
                        <a:srgbClr val="000000"/>
                      </a:solidFill>
                      <a:latin typeface="+mn-lt"/>
                      <a:ea typeface="Arial"/>
                      <a:cs typeface="Arial"/>
                    </a:defRPr>
                  </a:pPr>
                  <a:r>
                    <a:rPr lang="pl-PL">
                      <a:latin typeface="+mn-lt"/>
                    </a:rPr>
                    <a:t>mld zł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5582796837981E-2"/>
          <c:y val="0.13653161131301048"/>
          <c:w val="0.92758159155731745"/>
          <c:h val="0.62484741067883109"/>
        </c:manualLayout>
      </c:layout>
      <c:lineChart>
        <c:grouping val="standard"/>
        <c:varyColors val="0"/>
        <c:ser>
          <c:idx val="0"/>
          <c:order val="0"/>
          <c:tx>
            <c:strRef>
              <c:f>Arkusz1!$C$129</c:f>
              <c:strCache>
                <c:ptCount val="1"/>
                <c:pt idx="0">
                  <c:v>Razem</c:v>
                </c:pt>
              </c:strCache>
            </c:strRef>
          </c:tx>
          <c:spPr>
            <a:ln w="38100">
              <a:solidFill>
                <a:schemeClr val="accent3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3.5649757955910348E-2"/>
                  <c:y val="-4.970489389933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4.0857689398994618E-2"/>
                  <c:y val="-3.9864795498348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-4.2286796332044713E-2"/>
                  <c:y val="-5.1438491268021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4.0857689398994618E-2"/>
                  <c:y val="-4.9704893899332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0"/>
                  <c:y val="2.3930200811221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>
                    <a:latin typeface="+mn-lt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Arkusz1!$A$130:$B$157</c:f>
              <c:multiLvlStrCache>
                <c:ptCount val="2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</c:lvl>
              </c:multiLvlStrCache>
            </c:multiLvlStrRef>
          </c:cat>
          <c:val>
            <c:numRef>
              <c:f>Arkusz1!$C$130:$C$157</c:f>
              <c:numCache>
                <c:formatCode>0</c:formatCode>
                <c:ptCount val="28"/>
                <c:pt idx="0">
                  <c:v>60984</c:v>
                </c:pt>
                <c:pt idx="1">
                  <c:v>84822</c:v>
                </c:pt>
                <c:pt idx="2">
                  <c:v>84632</c:v>
                </c:pt>
                <c:pt idx="3">
                  <c:v>89920</c:v>
                </c:pt>
                <c:pt idx="4">
                  <c:v>86745</c:v>
                </c:pt>
                <c:pt idx="5">
                  <c:v>116439</c:v>
                </c:pt>
                <c:pt idx="6">
                  <c:v>139277</c:v>
                </c:pt>
                <c:pt idx="7">
                  <c:v>138463</c:v>
                </c:pt>
                <c:pt idx="8">
                  <c:v>136834</c:v>
                </c:pt>
                <c:pt idx="9">
                  <c:v>137500</c:v>
                </c:pt>
                <c:pt idx="10">
                  <c:v>124288</c:v>
                </c:pt>
                <c:pt idx="11">
                  <c:v>119793</c:v>
                </c:pt>
                <c:pt idx="12">
                  <c:v>108543</c:v>
                </c:pt>
                <c:pt idx="13">
                  <c:v>108283</c:v>
                </c:pt>
                <c:pt idx="14">
                  <c:v>96364</c:v>
                </c:pt>
                <c:pt idx="15">
                  <c:v>101702</c:v>
                </c:pt>
                <c:pt idx="16">
                  <c:v>90327</c:v>
                </c:pt>
                <c:pt idx="17">
                  <c:v>85242</c:v>
                </c:pt>
                <c:pt idx="18">
                  <c:v>92927</c:v>
                </c:pt>
                <c:pt idx="19">
                  <c:v>75638</c:v>
                </c:pt>
                <c:pt idx="20">
                  <c:v>75561</c:v>
                </c:pt>
                <c:pt idx="21">
                  <c:v>96255</c:v>
                </c:pt>
                <c:pt idx="22">
                  <c:v>77339</c:v>
                </c:pt>
                <c:pt idx="23">
                  <c:v>70091</c:v>
                </c:pt>
                <c:pt idx="24">
                  <c:v>45247</c:v>
                </c:pt>
                <c:pt idx="25">
                  <c:v>41355</c:v>
                </c:pt>
                <c:pt idx="26">
                  <c:v>38216</c:v>
                </c:pt>
                <c:pt idx="27">
                  <c:v>20954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Arkusz1!$D$129</c:f>
              <c:strCache>
                <c:ptCount val="1"/>
                <c:pt idx="0">
                  <c:v>Sektor niefinansowy</c:v>
                </c:pt>
              </c:strCache>
            </c:strRef>
          </c:tx>
          <c:spPr>
            <a:ln w="38100">
              <a:solidFill>
                <a:schemeClr val="accent3">
                  <a:lumMod val="75000"/>
                </a:schemeClr>
              </a:solidFill>
              <a:prstDash val="sysDot"/>
            </a:ln>
          </c:spPr>
          <c:marker>
            <c:symbol val="none"/>
          </c:marker>
          <c:dLbls>
            <c:dLbl>
              <c:idx val="3"/>
              <c:layout>
                <c:manualLayout>
                  <c:x val="-3.5649757955910348E-2"/>
                  <c:y val="3.4944746297856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857689398994618E-2"/>
                  <c:y val="3.9864795498348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5649757955910362E-2"/>
                  <c:y val="4.970489389933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5649757955910362E-2"/>
                  <c:y val="4.4784844698840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5649697556173518E-2"/>
                  <c:y val="1.5098783808081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3.5649757955910362E-2"/>
                  <c:y val="2.5104647896872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-4.2524623263647645E-3"/>
                  <c:y val="5.045608698629396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>
                    <a:latin typeface="+mn-lt"/>
                  </a:defRPr>
                </a:pPr>
                <a:endParaRPr lang="pl-PL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Arkusz1!$A$130:$B$157</c:f>
              <c:multiLvlStrCache>
                <c:ptCount val="2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</c:lvl>
              </c:multiLvlStrCache>
            </c:multiLvlStrRef>
          </c:cat>
          <c:val>
            <c:numRef>
              <c:f>Arkusz1!$D$130:$D$157</c:f>
              <c:numCache>
                <c:formatCode>0</c:formatCode>
                <c:ptCount val="28"/>
                <c:pt idx="0">
                  <c:v>77572</c:v>
                </c:pt>
                <c:pt idx="1">
                  <c:v>99452</c:v>
                </c:pt>
                <c:pt idx="2">
                  <c:v>98664</c:v>
                </c:pt>
                <c:pt idx="3">
                  <c:v>79501</c:v>
                </c:pt>
                <c:pt idx="4">
                  <c:v>87721</c:v>
                </c:pt>
                <c:pt idx="5">
                  <c:v>111838</c:v>
                </c:pt>
                <c:pt idx="6">
                  <c:v>130850</c:v>
                </c:pt>
                <c:pt idx="7">
                  <c:v>102657</c:v>
                </c:pt>
                <c:pt idx="8">
                  <c:v>108490</c:v>
                </c:pt>
                <c:pt idx="9">
                  <c:v>117885</c:v>
                </c:pt>
                <c:pt idx="10">
                  <c:v>118128</c:v>
                </c:pt>
                <c:pt idx="11">
                  <c:v>87562</c:v>
                </c:pt>
                <c:pt idx="12">
                  <c:v>84251</c:v>
                </c:pt>
                <c:pt idx="13">
                  <c:v>91942</c:v>
                </c:pt>
                <c:pt idx="14">
                  <c:v>95243</c:v>
                </c:pt>
                <c:pt idx="15">
                  <c:v>64307</c:v>
                </c:pt>
                <c:pt idx="16">
                  <c:v>77065</c:v>
                </c:pt>
                <c:pt idx="17">
                  <c:v>86236</c:v>
                </c:pt>
                <c:pt idx="18">
                  <c:v>83034</c:v>
                </c:pt>
                <c:pt idx="19">
                  <c:v>43210</c:v>
                </c:pt>
                <c:pt idx="20">
                  <c:v>63375</c:v>
                </c:pt>
                <c:pt idx="21">
                  <c:v>70915</c:v>
                </c:pt>
                <c:pt idx="22">
                  <c:v>63057</c:v>
                </c:pt>
                <c:pt idx="23">
                  <c:v>23146</c:v>
                </c:pt>
                <c:pt idx="24">
                  <c:v>36334</c:v>
                </c:pt>
                <c:pt idx="25">
                  <c:v>27099</c:v>
                </c:pt>
                <c:pt idx="26">
                  <c:v>29675</c:v>
                </c:pt>
                <c:pt idx="27">
                  <c:v>-13712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Arkusz1!$E$129</c:f>
              <c:strCache>
                <c:ptCount val="1"/>
                <c:pt idx="0">
                  <c:v>Sektor instytucji rządowych i samorządowych</c:v>
                </c:pt>
              </c:strCache>
            </c:strRef>
          </c:tx>
          <c:spPr>
            <a:ln w="38100">
              <a:solidFill>
                <a:schemeClr val="accent3">
                  <a:lumMod val="75000"/>
                </a:schemeClr>
              </a:solidFill>
              <a:prstDash val="sysDash"/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3.5649757955910348E-2"/>
                  <c:y val="7.43051399017927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3.5649757955910362E-2"/>
                  <c:y val="7.9225189102284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-3.5649757955910362E-2"/>
                  <c:y val="8.4145238302776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3.359531522350153E-2"/>
                  <c:y val="8.9065287503268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layout>
                <c:manualLayout>
                  <c:x val="-3.5649757955910362E-2"/>
                  <c:y val="7.9225189102284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layout>
                <c:manualLayout>
                  <c:x val="-3.9758643420728032E-2"/>
                  <c:y val="-2.4095844108047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2.0544080790087411E-3"/>
                  <c:y val="-4.836496249230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>
                    <a:latin typeface="+mn-lt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Arkusz1!$A$130:$B$157</c:f>
              <c:multiLvlStrCache>
                <c:ptCount val="2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</c:lvl>
              </c:multiLvlStrCache>
            </c:multiLvlStrRef>
          </c:cat>
          <c:val>
            <c:numRef>
              <c:f>Arkusz1!$E$130:$E$157</c:f>
              <c:numCache>
                <c:formatCode>0</c:formatCode>
                <c:ptCount val="28"/>
                <c:pt idx="0">
                  <c:v>-16588</c:v>
                </c:pt>
                <c:pt idx="1">
                  <c:v>-14630</c:v>
                </c:pt>
                <c:pt idx="2">
                  <c:v>-14032</c:v>
                </c:pt>
                <c:pt idx="3">
                  <c:v>10419</c:v>
                </c:pt>
                <c:pt idx="4">
                  <c:v>-976</c:v>
                </c:pt>
                <c:pt idx="5">
                  <c:v>4601</c:v>
                </c:pt>
                <c:pt idx="6">
                  <c:v>8427</c:v>
                </c:pt>
                <c:pt idx="7">
                  <c:v>35806</c:v>
                </c:pt>
                <c:pt idx="8">
                  <c:v>28344</c:v>
                </c:pt>
                <c:pt idx="9">
                  <c:v>19615</c:v>
                </c:pt>
                <c:pt idx="10">
                  <c:v>6160</c:v>
                </c:pt>
                <c:pt idx="11">
                  <c:v>32231</c:v>
                </c:pt>
                <c:pt idx="12">
                  <c:v>24292</c:v>
                </c:pt>
                <c:pt idx="13">
                  <c:v>16341</c:v>
                </c:pt>
                <c:pt idx="14">
                  <c:v>1121</c:v>
                </c:pt>
                <c:pt idx="15">
                  <c:v>37395</c:v>
                </c:pt>
                <c:pt idx="16">
                  <c:v>13262</c:v>
                </c:pt>
                <c:pt idx="17">
                  <c:v>-994</c:v>
                </c:pt>
                <c:pt idx="18">
                  <c:v>9893</c:v>
                </c:pt>
                <c:pt idx="19">
                  <c:v>32428</c:v>
                </c:pt>
                <c:pt idx="20">
                  <c:v>12186</c:v>
                </c:pt>
                <c:pt idx="21">
                  <c:v>25340</c:v>
                </c:pt>
                <c:pt idx="22">
                  <c:v>14282</c:v>
                </c:pt>
                <c:pt idx="23">
                  <c:v>46945</c:v>
                </c:pt>
                <c:pt idx="24">
                  <c:v>8913</c:v>
                </c:pt>
                <c:pt idx="25">
                  <c:v>14256</c:v>
                </c:pt>
                <c:pt idx="26">
                  <c:v>8541</c:v>
                </c:pt>
                <c:pt idx="27">
                  <c:v>34665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560704"/>
        <c:axId val="143563392"/>
      </c:lineChart>
      <c:catAx>
        <c:axId val="14356070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3563392"/>
        <c:crosses val="autoZero"/>
        <c:auto val="1"/>
        <c:lblAlgn val="ctr"/>
        <c:lblOffset val="0"/>
        <c:noMultiLvlLbl val="0"/>
      </c:catAx>
      <c:valAx>
        <c:axId val="143563392"/>
        <c:scaling>
          <c:orientation val="minMax"/>
          <c:max val="140000"/>
          <c:min val="-2000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3560704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9517205957883924E-2"/>
                <c:y val="3.3210332103321034E-2"/>
              </c:manualLayout>
            </c:layout>
            <c:tx>
              <c:rich>
                <a:bodyPr rot="0" vert="horz"/>
                <a:lstStyle/>
                <a:p>
                  <a:pPr algn="ctr"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r>
                    <a:rPr lang="pl-PL"/>
                    <a:t>mld zł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21725748071937848"/>
          <c:y val="0.91513070091330828"/>
          <c:w val="0.68420562221709968"/>
          <c:h val="6.295842171020138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0.37399</cdr:x>
      <cdr:y>0.11315</cdr:y>
    </cdr:from>
    <cdr:to>
      <cdr:x>0.37399</cdr:x>
      <cdr:y>0.82303</cdr:y>
    </cdr:to>
    <cdr:cxnSp macro="">
      <cdr:nvCxnSpPr>
        <cdr:cNvPr id="3" name="Łącznik prostoliniowy 2"/>
        <cdr:cNvCxnSpPr/>
      </cdr:nvCxnSpPr>
      <cdr:spPr>
        <a:xfrm xmlns:a="http://schemas.openxmlformats.org/drawingml/2006/main" flipH="1" flipV="1">
          <a:off x="2279510" y="467712"/>
          <a:ext cx="0" cy="3006019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0.67918</cdr:x>
      <cdr:y>0.11516</cdr:y>
    </cdr:from>
    <cdr:to>
      <cdr:x>0.67918</cdr:x>
      <cdr:y>0.82278</cdr:y>
    </cdr:to>
    <cdr:cxnSp macro="">
      <cdr:nvCxnSpPr>
        <cdr:cNvPr id="7" name="Łącznik prostoliniowy 6"/>
        <cdr:cNvCxnSpPr/>
      </cdr:nvCxnSpPr>
      <cdr:spPr>
        <a:xfrm xmlns:a="http://schemas.openxmlformats.org/drawingml/2006/main" flipV="1">
          <a:off x="4139693" y="476177"/>
          <a:ext cx="0" cy="2996533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CC66-D62B-49C6-8F2C-0DABFE53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banków w 2016 roku</dc:title>
  <dc:subject>Wyniki finansowe banków w 2016 roku</dc:subject>
  <dc:creator>Główny Urząd Statystyczny</dc:creator>
  <cp:keywords>wyniki finansowe; finanse banków; banki</cp:keywords>
  <dc:description>Wyniki finansowe banków w 2016 roku</dc:description>
  <cp:lastModifiedBy/>
  <cp:revision>1</cp:revision>
  <dcterms:created xsi:type="dcterms:W3CDTF">2017-03-16T13:49:00Z</dcterms:created>
  <dcterms:modified xsi:type="dcterms:W3CDTF">2017-03-28T06:27:00Z</dcterms:modified>
  <cp:category>Przedsiębiorstwa finansowe</cp:category>
</cp:coreProperties>
</file>