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9711F5" w:rsidRDefault="000B7D5D" w:rsidP="000B7D5D">
      <w:pPr>
        <w:pStyle w:val="tytuinformacji"/>
        <w:contextualSpacing/>
        <w:rPr>
          <w:shd w:val="clear" w:color="auto" w:fill="FFFFFF"/>
        </w:rPr>
      </w:pPr>
      <w:r>
        <w:rPr>
          <w:shd w:val="clear" w:color="auto" w:fill="FFFFFF"/>
        </w:rPr>
        <w:t>Wyniki finansowe</w:t>
      </w:r>
      <w:r w:rsidR="00416E70">
        <w:rPr>
          <w:shd w:val="clear" w:color="auto" w:fill="FFFFFF"/>
        </w:rPr>
        <w:t xml:space="preserve"> </w:t>
      </w:r>
      <w:r w:rsidR="00C84C99">
        <w:rPr>
          <w:shd w:val="clear" w:color="auto" w:fill="FFFFFF"/>
        </w:rPr>
        <w:t>towarzystw funduszy</w:t>
      </w:r>
      <w:r w:rsidR="00764E2A">
        <w:rPr>
          <w:shd w:val="clear" w:color="auto" w:fill="FFFFFF"/>
        </w:rPr>
        <w:t xml:space="preserve"> </w:t>
      </w:r>
      <w:r w:rsidR="00764E2A">
        <w:rPr>
          <w:shd w:val="clear" w:color="auto" w:fill="FFFFFF"/>
        </w:rPr>
        <w:br/>
      </w:r>
      <w:r w:rsidR="00C84C99">
        <w:rPr>
          <w:shd w:val="clear" w:color="auto" w:fill="FFFFFF"/>
        </w:rPr>
        <w:t>inwestycyjnych</w:t>
      </w:r>
      <w:r w:rsidR="002F00B0">
        <w:rPr>
          <w:shd w:val="clear" w:color="auto" w:fill="FFFFFF"/>
        </w:rPr>
        <w:t xml:space="preserve"> </w:t>
      </w:r>
      <w:r w:rsidR="00BA39B6">
        <w:rPr>
          <w:shd w:val="clear" w:color="auto" w:fill="FFFFFF"/>
        </w:rPr>
        <w:t>w</w:t>
      </w:r>
      <w:r w:rsidRPr="000B7D5D">
        <w:rPr>
          <w:shd w:val="clear" w:color="auto" w:fill="FFFFFF"/>
        </w:rPr>
        <w:t xml:space="preserve"> </w:t>
      </w:r>
      <w:r w:rsidR="002A266D">
        <w:rPr>
          <w:shd w:val="clear" w:color="auto" w:fill="FFFFFF"/>
        </w:rPr>
        <w:t xml:space="preserve">2019 </w:t>
      </w:r>
      <w:r w:rsidRPr="000B7D5D">
        <w:rPr>
          <w:shd w:val="clear" w:color="auto" w:fill="FFFFFF"/>
        </w:rPr>
        <w:t>roku</w:t>
      </w:r>
    </w:p>
    <w:p w:rsidR="00393761" w:rsidRPr="009711F5" w:rsidRDefault="002E2B40" w:rsidP="00074DD8">
      <w:pPr>
        <w:pStyle w:val="tytuinformacji"/>
        <w:rPr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11pt;margin-top:17.65pt;width:135.85pt;height:139.9pt;z-index:-25154252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" filled="f" stroked="f">
            <v:textbox>
              <w:txbxContent>
                <w:p w:rsidR="007F28C0" w:rsidRPr="009711F5" w:rsidRDefault="007F28C0" w:rsidP="007F28C0">
                  <w:pPr>
                    <w:pStyle w:val="tekstzboku"/>
                  </w:pPr>
                  <w:r w:rsidRPr="00271812">
                    <w:t xml:space="preserve">Wynik </w:t>
                  </w:r>
                  <w:r>
                    <w:t>finansowy netto TFI</w:t>
                  </w:r>
                  <w:r w:rsidR="00764E2A">
                    <w:t>, na koniec</w:t>
                  </w:r>
                  <w:r w:rsidR="00764E2A" w:rsidRPr="00271812">
                    <w:t xml:space="preserve"> 2019 </w:t>
                  </w:r>
                  <w:r w:rsidR="00764E2A">
                    <w:t xml:space="preserve">r., </w:t>
                  </w:r>
                  <w:r>
                    <w:t>wyniósł</w:t>
                  </w:r>
                  <w:r w:rsidR="00376A59">
                    <w:t xml:space="preserve"> </w:t>
                  </w:r>
                  <w:r>
                    <w:t>0</w:t>
                  </w:r>
                  <w:r w:rsidR="00D63014">
                    <w:t>,9</w:t>
                  </w:r>
                  <w:r w:rsidR="00764E2A">
                    <w:t> </w:t>
                  </w:r>
                  <w:r w:rsidRPr="00271812">
                    <w:t>mld</w:t>
                  </w:r>
                  <w:r w:rsidR="00764E2A">
                    <w:t> </w:t>
                  </w:r>
                  <w:r w:rsidRPr="00271812">
                    <w:t>zł</w:t>
                  </w:r>
                  <w:r w:rsidR="00D63014">
                    <w:t>.</w:t>
                  </w:r>
                </w:p>
              </w:txbxContent>
            </v:textbox>
            <w10:wrap type="tight"/>
          </v:shape>
        </w:pict>
      </w:r>
    </w:p>
    <w:p w:rsidR="00416E70" w:rsidRDefault="002E2B40" w:rsidP="005941F7">
      <w:pPr>
        <w:pStyle w:val="LID"/>
        <w:spacing w:after="0"/>
      </w:pPr>
      <w:r>
        <w:pict>
          <v:shape id="Pole tekstowe 2" o:spid="_x0000_s1026" type="#_x0000_t202" style="position:absolute;margin-left:0;margin-top:6.4pt;width:139.9pt;height:117.05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40232D" w:rsidRPr="00B66B19" w:rsidRDefault="0040232D" w:rsidP="0063301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3375" cy="333375"/>
                        <wp:effectExtent l="0" t="0" r="0" b="0"/>
                        <wp:docPr id="5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>
                                    <a:rot lat="0" lon="1320000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 w:rsidR="00606605">
                    <w:rPr>
                      <w:noProof/>
                      <w:color w:val="001D77"/>
                      <w:lang w:eastAsia="pl-PL"/>
                    </w:rPr>
                    <w:t xml:space="preserve">  </w:t>
                  </w:r>
                  <w:r w:rsidR="00606605" w:rsidRPr="00680ACB">
                    <w:rPr>
                      <w:rFonts w:ascii="Fira Sans SemiBold" w:hAnsi="Fira Sans SemiBold"/>
                      <w:color w:val="FFFFFF" w:themeColor="background1"/>
                      <w:sz w:val="56"/>
                      <w:szCs w:val="56"/>
                    </w:rPr>
                    <w:t>14,1</w:t>
                  </w:r>
                  <w:r w:rsidRPr="00680ACB">
                    <w:rPr>
                      <w:rFonts w:ascii="Fira Sans SemiBold" w:hAnsi="Fira Sans SemiBold"/>
                      <w:color w:val="FFFFFF" w:themeColor="background1"/>
                      <w:sz w:val="56"/>
                      <w:szCs w:val="56"/>
                    </w:rPr>
                    <w:t>%</w:t>
                  </w:r>
                </w:p>
                <w:p w:rsidR="0040232D" w:rsidRPr="007C7F88" w:rsidRDefault="00606605" w:rsidP="005941F7">
                  <w:pPr>
                    <w:pStyle w:val="tekstnaniebieskimtle"/>
                    <w:spacing w:before="120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Wzrost </w:t>
                  </w:r>
                  <w:r w:rsidR="00736C64">
                    <w:t xml:space="preserve"> aktywów</w:t>
                  </w:r>
                  <w:r w:rsidR="00B977DD">
                    <w:t xml:space="preserve"> </w:t>
                  </w:r>
                  <w:r w:rsidR="00680ACB">
                    <w:t xml:space="preserve">towarzystw </w:t>
                  </w:r>
                  <w:r w:rsidR="0040232D">
                    <w:t xml:space="preserve">funduszy inwestycyjnych </w:t>
                  </w:r>
                </w:p>
              </w:txbxContent>
            </v:textbox>
            <w10:wrap type="square" anchorx="margin"/>
          </v:shape>
        </w:pict>
      </w:r>
      <w:r w:rsidR="00F41498" w:rsidRPr="00253761">
        <w:t xml:space="preserve">Wartość aktywów ogółem zgromadzonych </w:t>
      </w:r>
      <w:r w:rsidR="00276839" w:rsidRPr="00253761">
        <w:t>p</w:t>
      </w:r>
      <w:r w:rsidR="00F41498" w:rsidRPr="00253761">
        <w:t>rze</w:t>
      </w:r>
      <w:r w:rsidR="00276839" w:rsidRPr="00253761">
        <w:t xml:space="preserve">z </w:t>
      </w:r>
      <w:r w:rsidR="00680ACB" w:rsidRPr="00253761">
        <w:t>towarzystwa funduszy</w:t>
      </w:r>
      <w:r w:rsidR="008921D7">
        <w:t xml:space="preserve"> inwestycyjnych</w:t>
      </w:r>
      <w:r w:rsidR="00F41498" w:rsidRPr="00253761">
        <w:t xml:space="preserve"> </w:t>
      </w:r>
      <w:r w:rsidR="00680ACB" w:rsidRPr="00253761">
        <w:t>na koniec</w:t>
      </w:r>
      <w:r w:rsidR="00385C33" w:rsidRPr="00253761">
        <w:t xml:space="preserve"> 2019</w:t>
      </w:r>
      <w:r w:rsidR="00047E14" w:rsidRPr="00253761">
        <w:t> </w:t>
      </w:r>
      <w:r w:rsidR="00680ACB" w:rsidRPr="00253761">
        <w:t>r. wyniosła 3,0</w:t>
      </w:r>
      <w:r w:rsidR="004E177A" w:rsidRPr="00253761">
        <w:t> </w:t>
      </w:r>
      <w:r w:rsidR="00385622" w:rsidRPr="00253761">
        <w:t>mld</w:t>
      </w:r>
      <w:r w:rsidR="00047E14" w:rsidRPr="00253761">
        <w:t> </w:t>
      </w:r>
      <w:r w:rsidR="00680ACB" w:rsidRPr="00253761">
        <w:t>zł</w:t>
      </w:r>
      <w:r w:rsidR="00764E2A">
        <w:t xml:space="preserve">, co oznacza ich </w:t>
      </w:r>
      <w:r w:rsidR="00680ACB" w:rsidRPr="00253761">
        <w:t>wzrost o 14,1</w:t>
      </w:r>
      <w:r w:rsidR="00385622" w:rsidRPr="00253761">
        <w:t>% w stosunku do</w:t>
      </w:r>
      <w:r w:rsidR="00680ACB" w:rsidRPr="00253761">
        <w:t xml:space="preserve"> końca</w:t>
      </w:r>
      <w:r w:rsidR="00385622" w:rsidRPr="00253761">
        <w:t xml:space="preserve"> roku poprzedniego. </w:t>
      </w:r>
    </w:p>
    <w:p w:rsidR="002E6ADF" w:rsidRDefault="002E6ADF" w:rsidP="005941F7">
      <w:pPr>
        <w:pStyle w:val="LID"/>
        <w:spacing w:after="0"/>
      </w:pPr>
    </w:p>
    <w:p w:rsidR="002E6ADF" w:rsidRDefault="002E6ADF" w:rsidP="005941F7">
      <w:pPr>
        <w:pStyle w:val="LID"/>
        <w:spacing w:after="0"/>
      </w:pPr>
    </w:p>
    <w:p w:rsidR="007F28C0" w:rsidRDefault="007F28C0" w:rsidP="005941F7">
      <w:pPr>
        <w:pStyle w:val="LID"/>
        <w:spacing w:after="0"/>
      </w:pPr>
    </w:p>
    <w:p w:rsidR="00764E2A" w:rsidRDefault="00764E2A" w:rsidP="005941F7">
      <w:pPr>
        <w:pStyle w:val="LID"/>
        <w:spacing w:after="0"/>
      </w:pPr>
    </w:p>
    <w:p w:rsidR="00764E2A" w:rsidRDefault="00764E2A" w:rsidP="005941F7">
      <w:pPr>
        <w:pStyle w:val="LID"/>
        <w:spacing w:after="0"/>
      </w:pPr>
    </w:p>
    <w:p w:rsidR="007F28C0" w:rsidRPr="00271812" w:rsidRDefault="002E2B40" w:rsidP="005941F7">
      <w:pPr>
        <w:pStyle w:val="LID"/>
        <w:spacing w:after="0"/>
      </w:pPr>
      <w:r>
        <w:rPr>
          <w:spacing w:val="-2"/>
        </w:rPr>
        <w:pict>
          <v:shape id="_x0000_s1051" type="#_x0000_t202" style="position:absolute;margin-left:411.75pt;margin-top:15pt;width:135.85pt;height:67.25pt;z-index:-25154048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" filled="f" stroked="f">
            <v:textbox>
              <w:txbxContent>
                <w:p w:rsidR="00392D35" w:rsidRPr="00074DD8" w:rsidRDefault="00392D35" w:rsidP="00392D35">
                  <w:pPr>
                    <w:pStyle w:val="tekstzboku"/>
                  </w:pPr>
                  <w:r>
                    <w:t>W 2019</w:t>
                  </w:r>
                  <w:r w:rsidRPr="00C63D61">
                    <w:t> r</w:t>
                  </w:r>
                  <w:r>
                    <w:t>. kapitał własny TFI wyniósł 2,2</w:t>
                  </w:r>
                  <w:r w:rsidRPr="00C63D61">
                    <w:t xml:space="preserve"> mld zł.</w:t>
                  </w:r>
                </w:p>
                <w:p w:rsidR="00392D35" w:rsidRPr="00D616D2" w:rsidRDefault="00392D35" w:rsidP="00392D35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</w:p>
    <w:p w:rsidR="008A10EE" w:rsidRDefault="00392D35" w:rsidP="00376A59">
      <w:pPr>
        <w:spacing w:after="20"/>
        <w:rPr>
          <w:lang w:eastAsia="pl-PL"/>
        </w:rPr>
      </w:pPr>
      <w:r>
        <w:rPr>
          <w:lang w:eastAsia="pl-PL"/>
        </w:rPr>
        <w:t>W końcu grudnia 2019</w:t>
      </w:r>
      <w:r w:rsidRPr="001A3D3F">
        <w:rPr>
          <w:lang w:eastAsia="pl-PL"/>
        </w:rPr>
        <w:t> </w:t>
      </w:r>
      <w:r>
        <w:rPr>
          <w:lang w:eastAsia="pl-PL"/>
        </w:rPr>
        <w:t>r. działało 60</w:t>
      </w:r>
      <w:r w:rsidR="006F13A1">
        <w:rPr>
          <w:lang w:eastAsia="pl-PL"/>
        </w:rPr>
        <w:t xml:space="preserve"> towarzystw</w:t>
      </w:r>
      <w:r w:rsidRPr="001A3D3F">
        <w:rPr>
          <w:lang w:eastAsia="pl-PL"/>
        </w:rPr>
        <w:t xml:space="preserve"> funduszy inwestycyjnych (TFI).</w:t>
      </w:r>
      <w:r w:rsidR="00DF5C3C">
        <w:rPr>
          <w:lang w:eastAsia="pl-PL"/>
        </w:rPr>
        <w:t xml:space="preserve"> </w:t>
      </w:r>
      <w:r w:rsidR="00922DB9" w:rsidRPr="00D04C42">
        <w:rPr>
          <w:lang w:eastAsia="pl-PL"/>
        </w:rPr>
        <w:t xml:space="preserve">Zarządzały one 836 </w:t>
      </w:r>
      <w:r w:rsidR="00DF5C3C" w:rsidRPr="00D04C42">
        <w:rPr>
          <w:lang w:eastAsia="pl-PL"/>
        </w:rPr>
        <w:t>funduszami inwestycyjnymi</w:t>
      </w:r>
      <w:r w:rsidR="00922DB9" w:rsidRPr="00D04C42">
        <w:rPr>
          <w:lang w:eastAsia="pl-PL"/>
        </w:rPr>
        <w:t xml:space="preserve">. </w:t>
      </w:r>
      <w:r w:rsidR="00DF5C3C" w:rsidRPr="00D04C42">
        <w:rPr>
          <w:lang w:eastAsia="pl-PL"/>
        </w:rPr>
        <w:t>Dla porównania na koniec 2018</w:t>
      </w:r>
      <w:r w:rsidR="00764E2A">
        <w:rPr>
          <w:lang w:eastAsia="pl-PL"/>
        </w:rPr>
        <w:t xml:space="preserve"> r. </w:t>
      </w:r>
      <w:r w:rsidR="00DF5C3C" w:rsidRPr="00D04C42">
        <w:rPr>
          <w:lang w:eastAsia="pl-PL"/>
        </w:rPr>
        <w:t>funkcjonowały 63 towarzystwa funduszy inwestycyjnych, które zarządzały łącznie 878 funduszami inwestycyjnymi.</w:t>
      </w:r>
      <w:r w:rsidR="00DF5C3C" w:rsidRPr="00922DB9">
        <w:rPr>
          <w:lang w:eastAsia="pl-PL"/>
        </w:rPr>
        <w:t xml:space="preserve"> </w:t>
      </w:r>
      <w:r w:rsidRPr="001A3D3F">
        <w:rPr>
          <w:lang w:eastAsia="pl-PL"/>
        </w:rPr>
        <w:t xml:space="preserve"> </w:t>
      </w:r>
    </w:p>
    <w:p w:rsidR="00606605" w:rsidRDefault="00392D35" w:rsidP="00376A59">
      <w:pPr>
        <w:spacing w:after="20"/>
        <w:rPr>
          <w:lang w:eastAsia="pl-PL"/>
        </w:rPr>
      </w:pPr>
      <w:r w:rsidRPr="001A3D3F">
        <w:rPr>
          <w:lang w:eastAsia="pl-PL"/>
        </w:rPr>
        <w:t xml:space="preserve">Aktywa towarzystw funduszy inwestycyjnych wyniosły </w:t>
      </w:r>
      <w:r>
        <w:rPr>
          <w:lang w:eastAsia="pl-PL"/>
        </w:rPr>
        <w:t>2 984,2</w:t>
      </w:r>
      <w:r w:rsidRPr="001A3D3F">
        <w:rPr>
          <w:lang w:eastAsia="pl-PL"/>
        </w:rPr>
        <w:t xml:space="preserve"> mln zł (o </w:t>
      </w:r>
      <w:r>
        <w:rPr>
          <w:lang w:eastAsia="pl-PL"/>
        </w:rPr>
        <w:t>14,1</w:t>
      </w:r>
      <w:r w:rsidRPr="001A3D3F">
        <w:rPr>
          <w:lang w:eastAsia="pl-PL"/>
        </w:rPr>
        <w:t>% więcej niż na koniec grud</w:t>
      </w:r>
      <w:r>
        <w:rPr>
          <w:lang w:eastAsia="pl-PL"/>
        </w:rPr>
        <w:t>nia 2018</w:t>
      </w:r>
      <w:r w:rsidRPr="001A3D3F">
        <w:rPr>
          <w:lang w:eastAsia="pl-PL"/>
        </w:rPr>
        <w:t> r.), w tym aktywa ob</w:t>
      </w:r>
      <w:r>
        <w:rPr>
          <w:lang w:eastAsia="pl-PL"/>
        </w:rPr>
        <w:t>rotowe osiągnęły wartość 2 473,3</w:t>
      </w:r>
      <w:r w:rsidRPr="001A3D3F">
        <w:rPr>
          <w:lang w:eastAsia="pl-PL"/>
        </w:rPr>
        <w:t> mln </w:t>
      </w:r>
      <w:r>
        <w:rPr>
          <w:lang w:eastAsia="pl-PL"/>
        </w:rPr>
        <w:t>zł i stanowiły 82,9</w:t>
      </w:r>
      <w:r w:rsidRPr="001A3D3F">
        <w:rPr>
          <w:lang w:eastAsia="pl-PL"/>
        </w:rPr>
        <w:t>% aktywów ogółem. Aktywa obrotowe składały się głównie z finansowych inwestycji krótkoterminowych, które zwięk</w:t>
      </w:r>
      <w:r>
        <w:rPr>
          <w:lang w:eastAsia="pl-PL"/>
        </w:rPr>
        <w:t>szyły się do kwoty 1 956,5</w:t>
      </w:r>
      <w:r w:rsidRPr="001A3D3F">
        <w:rPr>
          <w:lang w:eastAsia="pl-PL"/>
        </w:rPr>
        <w:t xml:space="preserve"> mln </w:t>
      </w:r>
      <w:r>
        <w:rPr>
          <w:lang w:eastAsia="pl-PL"/>
        </w:rPr>
        <w:t>zł (o 14,7</w:t>
      </w:r>
      <w:r w:rsidRPr="001A3D3F">
        <w:rPr>
          <w:lang w:eastAsia="pl-PL"/>
        </w:rPr>
        <w:t xml:space="preserve">%). </w:t>
      </w:r>
      <w:r w:rsidRPr="001442D8">
        <w:rPr>
          <w:lang w:eastAsia="pl-PL"/>
        </w:rPr>
        <w:t>W strukturze aktywów finansowych największy udział miały środki pieniężne i inne aktywa pieniężne (81,1</w:t>
      </w:r>
      <w:r w:rsidRPr="00D04C42">
        <w:rPr>
          <w:lang w:eastAsia="pl-PL"/>
        </w:rPr>
        <w:t xml:space="preserve">%). </w:t>
      </w:r>
      <w:r w:rsidR="002E6ADF" w:rsidRPr="00D04C42">
        <w:rPr>
          <w:lang w:eastAsia="pl-PL"/>
        </w:rPr>
        <w:t>Pięć</w:t>
      </w:r>
      <w:r w:rsidR="00606605" w:rsidRPr="00D04C42">
        <w:rPr>
          <w:lang w:eastAsia="pl-PL"/>
        </w:rPr>
        <w:t xml:space="preserve"> towarzystw funduszy inwestycyjnych o najwyższych aktywach osiągnęło 39,7% ogólnej wartości aktywów.</w:t>
      </w:r>
    </w:p>
    <w:p w:rsidR="00392D35" w:rsidRPr="002062A6" w:rsidRDefault="002E2B40" w:rsidP="00376A59">
      <w:pPr>
        <w:spacing w:after="20"/>
        <w:rPr>
          <w:lang w:eastAsia="pl-PL"/>
        </w:rPr>
      </w:pPr>
      <w:r>
        <w:rPr>
          <w:b/>
          <w:noProof/>
          <w:spacing w:val="-2"/>
          <w:szCs w:val="19"/>
          <w:lang w:eastAsia="pl-PL"/>
        </w:rPr>
        <w:pict>
          <v:shape id="Pole tekstowe 30" o:spid="_x0000_s1040" type="#_x0000_t202" style="position:absolute;margin-left:411.75pt;margin-top:52.7pt;width:135.85pt;height:70.1pt;z-index:-25155481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" filled="f" stroked="f">
            <v:textbox>
              <w:txbxContent>
                <w:p w:rsidR="0040232D" w:rsidRPr="00074DD8" w:rsidRDefault="0040232D" w:rsidP="00B17158">
                  <w:pPr>
                    <w:pStyle w:val="tekstzboku"/>
                  </w:pPr>
                  <w:r w:rsidRPr="00271812">
                    <w:t xml:space="preserve">W </w:t>
                  </w:r>
                  <w:r w:rsidR="00BB606C" w:rsidRPr="00271812">
                    <w:t>2019 r. aktywa</w:t>
                  </w:r>
                  <w:r w:rsidRPr="00271812">
                    <w:t xml:space="preserve"> </w:t>
                  </w:r>
                  <w:r w:rsidR="00DA28ED">
                    <w:t xml:space="preserve">ogółem </w:t>
                  </w:r>
                  <w:r w:rsidRPr="00271812">
                    <w:t>TFI wy</w:t>
                  </w:r>
                  <w:r w:rsidR="00BB606C" w:rsidRPr="00271812">
                    <w:t>nio</w:t>
                  </w:r>
                  <w:r w:rsidR="00DA28ED">
                    <w:t>sły 3,0</w:t>
                  </w:r>
                  <w:r w:rsidR="00BB606C" w:rsidRPr="00271812">
                    <w:t xml:space="preserve"> mld zł</w:t>
                  </w:r>
                </w:p>
                <w:p w:rsidR="0040232D" w:rsidRPr="00D616D2" w:rsidRDefault="0040232D" w:rsidP="00B17158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  <w:r w:rsidR="00392D35" w:rsidRPr="001A3D3F">
        <w:rPr>
          <w:lang w:eastAsia="pl-PL"/>
        </w:rPr>
        <w:t>W pasywach towarzystw funduszy inwestycyjnych kapitały (f</w:t>
      </w:r>
      <w:r w:rsidR="00392D35">
        <w:rPr>
          <w:lang w:eastAsia="pl-PL"/>
        </w:rPr>
        <w:t>undusze) własne wyniosły 2 233,4</w:t>
      </w:r>
      <w:r w:rsidR="00764E2A">
        <w:rPr>
          <w:lang w:eastAsia="pl-PL"/>
        </w:rPr>
        <w:t> </w:t>
      </w:r>
      <w:r w:rsidR="00392D35" w:rsidRPr="001A3D3F">
        <w:rPr>
          <w:lang w:eastAsia="pl-PL"/>
        </w:rPr>
        <w:t>mln zł (wzrost</w:t>
      </w:r>
      <w:r w:rsidR="002B4E3B">
        <w:rPr>
          <w:lang w:eastAsia="pl-PL"/>
        </w:rPr>
        <w:t xml:space="preserve"> </w:t>
      </w:r>
      <w:r w:rsidR="00392D35">
        <w:rPr>
          <w:lang w:eastAsia="pl-PL"/>
        </w:rPr>
        <w:t>o 16,1% w porównaniu do 2018</w:t>
      </w:r>
      <w:r w:rsidR="00392D35" w:rsidRPr="001A3D3F">
        <w:rPr>
          <w:lang w:eastAsia="pl-PL"/>
        </w:rPr>
        <w:t> r.) i stanowiły ich największy ud</w:t>
      </w:r>
      <w:r w:rsidR="00392D35">
        <w:rPr>
          <w:lang w:eastAsia="pl-PL"/>
        </w:rPr>
        <w:t>ział (74,8</w:t>
      </w:r>
      <w:r w:rsidR="00392D35" w:rsidRPr="001A3D3F">
        <w:rPr>
          <w:lang w:eastAsia="pl-PL"/>
        </w:rPr>
        <w:t>%). Wartość kapitału zagranicznego w kapitale podstawowym TFI zmniejszył</w:t>
      </w:r>
      <w:r w:rsidR="00392D35">
        <w:rPr>
          <w:lang w:eastAsia="pl-PL"/>
        </w:rPr>
        <w:t>a się do 157,6</w:t>
      </w:r>
      <w:r w:rsidR="00764E2A">
        <w:rPr>
          <w:lang w:eastAsia="pl-PL"/>
        </w:rPr>
        <w:t> </w:t>
      </w:r>
      <w:r w:rsidR="00392D35" w:rsidRPr="001A3D3F">
        <w:rPr>
          <w:lang w:eastAsia="pl-PL"/>
        </w:rPr>
        <w:t>mln zł (udział inwestorów zagranicz</w:t>
      </w:r>
      <w:r w:rsidR="00392D35">
        <w:rPr>
          <w:lang w:eastAsia="pl-PL"/>
        </w:rPr>
        <w:t>nych zmniejszył się o 1,9 pkt. proc. do 25,6</w:t>
      </w:r>
      <w:r w:rsidR="00392D35" w:rsidRPr="001A3D3F">
        <w:rPr>
          <w:lang w:eastAsia="pl-PL"/>
        </w:rPr>
        <w:t>%).</w:t>
      </w:r>
      <w:r>
        <w:rPr>
          <w:b/>
          <w:noProof/>
          <w:spacing w:val="-2"/>
          <w:szCs w:val="19"/>
        </w:rPr>
        <w:pict>
          <v:shape id="Pole tekstowe 32" o:spid="_x0000_s1052" type="#_x0000_t202" style="position:absolute;margin-left:411.75pt;margin-top:16.25pt;width:135.85pt;height:61.75pt;z-index:-251539456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" filled="f" stroked="f">
            <v:textbox>
              <w:txbxContent>
                <w:p w:rsidR="00392D35" w:rsidRPr="003F167E" w:rsidRDefault="00392D35" w:rsidP="00392D35">
                  <w:pPr>
                    <w:pStyle w:val="tekstzboku"/>
                  </w:pPr>
                </w:p>
                <w:p w:rsidR="00392D35" w:rsidRPr="003F167E" w:rsidRDefault="00392D35" w:rsidP="00392D35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  <w:r w:rsidR="00764E2A">
        <w:rPr>
          <w:lang w:eastAsia="pl-PL"/>
        </w:rPr>
        <w:t xml:space="preserve"> </w:t>
      </w:r>
      <w:r w:rsidR="00392D35" w:rsidRPr="001A3D3F">
        <w:rPr>
          <w:lang w:eastAsia="pl-PL"/>
        </w:rPr>
        <w:t>W</w:t>
      </w:r>
      <w:r w:rsidR="00392D35">
        <w:rPr>
          <w:lang w:eastAsia="pl-PL"/>
        </w:rPr>
        <w:t>ynik finansowy brutto TFI w 2019</w:t>
      </w:r>
      <w:r w:rsidR="00764E2A">
        <w:rPr>
          <w:lang w:eastAsia="pl-PL"/>
        </w:rPr>
        <w:t> </w:t>
      </w:r>
      <w:r w:rsidR="00392D35">
        <w:rPr>
          <w:lang w:eastAsia="pl-PL"/>
        </w:rPr>
        <w:t>r. wyniósł 1 176,2</w:t>
      </w:r>
      <w:r w:rsidR="00764E2A">
        <w:rPr>
          <w:lang w:eastAsia="pl-PL"/>
        </w:rPr>
        <w:t> </w:t>
      </w:r>
      <w:r w:rsidR="00392D35">
        <w:rPr>
          <w:lang w:eastAsia="pl-PL"/>
        </w:rPr>
        <w:t>mln</w:t>
      </w:r>
      <w:r w:rsidR="00764E2A">
        <w:rPr>
          <w:lang w:eastAsia="pl-PL"/>
        </w:rPr>
        <w:t> </w:t>
      </w:r>
      <w:r w:rsidR="00392D35">
        <w:rPr>
          <w:lang w:eastAsia="pl-PL"/>
        </w:rPr>
        <w:t>zł i był wyższy o 3,0</w:t>
      </w:r>
      <w:r w:rsidR="00392D35" w:rsidRPr="001A3D3F">
        <w:rPr>
          <w:lang w:eastAsia="pl-PL"/>
        </w:rPr>
        <w:t xml:space="preserve">% w stosunku do roku poprzedniego. Na wynik finansowy netto </w:t>
      </w:r>
      <w:r w:rsidR="00392D35">
        <w:rPr>
          <w:lang w:eastAsia="pl-PL"/>
        </w:rPr>
        <w:t>w wysokości 943,0</w:t>
      </w:r>
      <w:r w:rsidR="00764E2A">
        <w:rPr>
          <w:lang w:eastAsia="pl-PL"/>
        </w:rPr>
        <w:t> </w:t>
      </w:r>
      <w:r w:rsidR="00392D35">
        <w:rPr>
          <w:lang w:eastAsia="pl-PL"/>
        </w:rPr>
        <w:t>mln</w:t>
      </w:r>
      <w:r w:rsidR="00764E2A">
        <w:rPr>
          <w:lang w:eastAsia="pl-PL"/>
        </w:rPr>
        <w:t> </w:t>
      </w:r>
      <w:r w:rsidR="00392D35">
        <w:rPr>
          <w:lang w:eastAsia="pl-PL"/>
        </w:rPr>
        <w:t>zł złożyły się zyski 42</w:t>
      </w:r>
      <w:r w:rsidR="00392D35" w:rsidRPr="001A3D3F">
        <w:rPr>
          <w:lang w:eastAsia="pl-PL"/>
        </w:rPr>
        <w:t xml:space="preserve"> towarzystw funduszy inwesty</w:t>
      </w:r>
      <w:r w:rsidR="00392D35">
        <w:rPr>
          <w:lang w:eastAsia="pl-PL"/>
        </w:rPr>
        <w:t>cyjnych o łącznej wartości 988,4</w:t>
      </w:r>
      <w:r w:rsidR="00764E2A">
        <w:rPr>
          <w:lang w:eastAsia="pl-PL"/>
        </w:rPr>
        <w:t> </w:t>
      </w:r>
      <w:r w:rsidR="00392D35">
        <w:rPr>
          <w:lang w:eastAsia="pl-PL"/>
        </w:rPr>
        <w:t>mln</w:t>
      </w:r>
      <w:r w:rsidR="00764E2A">
        <w:rPr>
          <w:lang w:eastAsia="pl-PL"/>
        </w:rPr>
        <w:t> </w:t>
      </w:r>
      <w:r w:rsidR="00392D35">
        <w:rPr>
          <w:lang w:eastAsia="pl-PL"/>
        </w:rPr>
        <w:t>zł i straty 18</w:t>
      </w:r>
      <w:r w:rsidR="00392D35" w:rsidRPr="001A3D3F">
        <w:rPr>
          <w:lang w:eastAsia="pl-PL"/>
        </w:rPr>
        <w:t xml:space="preserve"> towarzystw funduszy inwe</w:t>
      </w:r>
      <w:r w:rsidR="00392D35">
        <w:rPr>
          <w:lang w:eastAsia="pl-PL"/>
        </w:rPr>
        <w:t xml:space="preserve">stycyjnych </w:t>
      </w:r>
      <w:r w:rsidR="00764E2A">
        <w:rPr>
          <w:lang w:eastAsia="pl-PL"/>
        </w:rPr>
        <w:t xml:space="preserve">w kwocie </w:t>
      </w:r>
      <w:r w:rsidR="00392D35">
        <w:rPr>
          <w:lang w:eastAsia="pl-PL"/>
        </w:rPr>
        <w:t>45,4</w:t>
      </w:r>
      <w:r w:rsidR="00764E2A">
        <w:rPr>
          <w:lang w:eastAsia="pl-PL"/>
        </w:rPr>
        <w:t> </w:t>
      </w:r>
      <w:r w:rsidR="00392D35" w:rsidRPr="001A3D3F">
        <w:rPr>
          <w:lang w:eastAsia="pl-PL"/>
        </w:rPr>
        <w:t>mln</w:t>
      </w:r>
      <w:r w:rsidR="00764E2A">
        <w:rPr>
          <w:lang w:eastAsia="pl-PL"/>
        </w:rPr>
        <w:t> </w:t>
      </w:r>
      <w:r w:rsidR="00392D35" w:rsidRPr="001A3D3F">
        <w:rPr>
          <w:lang w:eastAsia="pl-PL"/>
        </w:rPr>
        <w:t xml:space="preserve">zł. </w:t>
      </w:r>
    </w:p>
    <w:p w:rsidR="008C5145" w:rsidRPr="001A3D3F" w:rsidRDefault="00764E2A" w:rsidP="008C5145">
      <w:pPr>
        <w:rPr>
          <w:b/>
          <w:spacing w:val="-2"/>
          <w:sz w:val="18"/>
          <w:shd w:val="clear" w:color="auto" w:fill="FFFFFF"/>
        </w:rPr>
      </w:pPr>
      <w:r>
        <w:rPr>
          <w:rFonts w:ascii="Fira Sans SemiBold" w:hAnsi="Fira Sans SemiBold"/>
          <w:color w:val="001D77"/>
        </w:rPr>
        <w:br w:type="column"/>
      </w:r>
      <w:r w:rsidR="008C5145" w:rsidRPr="001A3D3F">
        <w:rPr>
          <w:b/>
          <w:spacing w:val="-2"/>
          <w:sz w:val="18"/>
          <w:shd w:val="clear" w:color="auto" w:fill="FFFFFF"/>
        </w:rPr>
        <w:lastRenderedPageBreak/>
        <w:t xml:space="preserve">Tablica </w:t>
      </w:r>
      <w:r w:rsidR="009C42BB">
        <w:rPr>
          <w:b/>
          <w:spacing w:val="-2"/>
          <w:sz w:val="18"/>
          <w:shd w:val="clear" w:color="auto" w:fill="FFFFFF"/>
        </w:rPr>
        <w:t>1</w:t>
      </w:r>
      <w:r w:rsidR="008C5145" w:rsidRPr="001A3D3F">
        <w:rPr>
          <w:b/>
          <w:spacing w:val="-2"/>
          <w:sz w:val="18"/>
          <w:shd w:val="clear" w:color="auto" w:fill="FFFFFF"/>
        </w:rPr>
        <w:t>. Wybrane pozycje ze sprawozdań finansowych towarzystw funduszy inwestycyjnych</w:t>
      </w:r>
    </w:p>
    <w:tbl>
      <w:tblPr>
        <w:tblStyle w:val="Siatkatabelijasna1"/>
        <w:tblpPr w:leftFromText="141" w:rightFromText="141" w:vertAnchor="text" w:horzAnchor="margin" w:tblpY="129"/>
        <w:tblW w:w="7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3"/>
        <w:gridCol w:w="1701"/>
        <w:gridCol w:w="1701"/>
        <w:gridCol w:w="1701"/>
      </w:tblGrid>
      <w:tr w:rsidR="008C5145" w:rsidRPr="001A3D3F" w:rsidTr="00DD2426">
        <w:trPr>
          <w:trHeight w:val="57"/>
        </w:trPr>
        <w:tc>
          <w:tcPr>
            <w:tcW w:w="2823" w:type="dxa"/>
            <w:vMerge w:val="restart"/>
            <w:vAlign w:val="center"/>
          </w:tcPr>
          <w:p w:rsidR="008C5145" w:rsidRPr="001A3D3F" w:rsidRDefault="008C5145" w:rsidP="00DD242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2018</w:t>
            </w:r>
            <w:r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=100</w:t>
            </w:r>
          </w:p>
        </w:tc>
      </w:tr>
      <w:tr w:rsidR="008C5145" w:rsidRPr="001A3D3F" w:rsidTr="00DD2426">
        <w:trPr>
          <w:trHeight w:val="57"/>
        </w:trPr>
        <w:tc>
          <w:tcPr>
            <w:tcW w:w="2823" w:type="dxa"/>
            <w:vMerge/>
            <w:tcBorders>
              <w:bottom w:val="single" w:sz="12" w:space="0" w:color="212492"/>
            </w:tcBorders>
            <w:vAlign w:val="center"/>
          </w:tcPr>
          <w:p w:rsidR="008C5145" w:rsidRPr="001A3D3F" w:rsidRDefault="008C5145" w:rsidP="00DD242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212492"/>
            </w:tcBorders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1701" w:type="dxa"/>
            <w:vMerge/>
            <w:tcBorders>
              <w:bottom w:val="single" w:sz="12" w:space="0" w:color="212492"/>
            </w:tcBorders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Aktywa ogółem, z tego: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2 615,5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2 984,2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114,1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tcBorders>
              <w:top w:val="single" w:sz="4" w:space="0" w:color="212492"/>
            </w:tcBorders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Aktywa trwałe, w tym: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417,9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118,7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inwestycje długoterminowe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281,6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Aktywa obrotowe, w tym: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2 192,8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2 473,3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112,8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inwestycje krótkoterminowe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1 705,4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1 956,5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114,7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Pasywa, z tego: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2 615,5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2 984,2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114,1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Kapitał własny, w tym: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1 924,1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2 233,4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116,1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kapitał podstawowy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576,2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615,6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106,8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kapitał zapasowy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711,7</w:t>
            </w:r>
          </w:p>
        </w:tc>
        <w:tc>
          <w:tcPr>
            <w:tcW w:w="1701" w:type="dxa"/>
            <w:vAlign w:val="bottom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137,5</w:t>
            </w:r>
          </w:p>
        </w:tc>
      </w:tr>
      <w:tr w:rsidR="008C5145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Zobowiązania i rezerw</w:t>
            </w:r>
            <w:r w:rsidR="00DD358A">
              <w:rPr>
                <w:sz w:val="16"/>
                <w:szCs w:val="16"/>
              </w:rPr>
              <w:t>y</w:t>
            </w:r>
            <w:r w:rsidRPr="001A3D3F">
              <w:rPr>
                <w:sz w:val="16"/>
                <w:szCs w:val="16"/>
              </w:rPr>
              <w:t xml:space="preserve"> na zobowiązania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691,4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750,8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</w:tr>
      <w:tr w:rsidR="008C5145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Przychody z działalności operacyjnej, w tym: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3 813,6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3 525,2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</w:t>
            </w:r>
          </w:p>
        </w:tc>
      </w:tr>
      <w:tr w:rsidR="008C5145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wynagrodzenie za zarządzanie funduszami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3 439,5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3 408,2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</w:t>
            </w:r>
          </w:p>
        </w:tc>
      </w:tr>
      <w:tr w:rsidR="008C5145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 xml:space="preserve">Koszty działalności operacyjnej, </w:t>
            </w:r>
            <w:r w:rsidR="00764E2A">
              <w:rPr>
                <w:sz w:val="16"/>
                <w:szCs w:val="16"/>
              </w:rPr>
              <w:br/>
            </w:r>
            <w:r w:rsidRPr="001A3D3F">
              <w:rPr>
                <w:sz w:val="16"/>
                <w:szCs w:val="16"/>
              </w:rPr>
              <w:t>w tym: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2 626,3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2 369,3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usługi obce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1 624,8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1 383,7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</w:t>
            </w:r>
          </w:p>
        </w:tc>
      </w:tr>
      <w:tr w:rsidR="008C5145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8C5145" w:rsidRPr="001A3D3F" w:rsidRDefault="008C5145" w:rsidP="00DD2426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Wynik finansowy netto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A3D3F">
              <w:rPr>
                <w:rFonts w:cs="Arial"/>
                <w:color w:val="000000"/>
                <w:sz w:val="16"/>
                <w:szCs w:val="16"/>
              </w:rPr>
              <w:t>906,9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943,0</w:t>
            </w:r>
          </w:p>
        </w:tc>
        <w:tc>
          <w:tcPr>
            <w:tcW w:w="1701" w:type="dxa"/>
            <w:vAlign w:val="center"/>
          </w:tcPr>
          <w:p w:rsidR="008C5145" w:rsidRPr="001A3D3F" w:rsidRDefault="008C5145" w:rsidP="00DD242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104,0</w:t>
            </w:r>
          </w:p>
        </w:tc>
      </w:tr>
    </w:tbl>
    <w:p w:rsidR="00392D35" w:rsidRPr="00271812" w:rsidRDefault="00392D35" w:rsidP="00320E0F">
      <w:pPr>
        <w:rPr>
          <w:lang w:eastAsia="pl-PL"/>
        </w:rPr>
      </w:pPr>
    </w:p>
    <w:p w:rsidR="00E64B66" w:rsidRDefault="00E64B66" w:rsidP="00E76D26">
      <w:pPr>
        <w:rPr>
          <w:shd w:val="clear" w:color="auto" w:fill="FFFFFF"/>
        </w:rPr>
      </w:pPr>
    </w:p>
    <w:p w:rsidR="00BC243A" w:rsidRDefault="00BC243A" w:rsidP="00E76D26">
      <w:pPr>
        <w:rPr>
          <w:shd w:val="clear" w:color="auto" w:fill="FFFFFF"/>
        </w:rPr>
      </w:pPr>
    </w:p>
    <w:p w:rsidR="00BC243A" w:rsidRDefault="00BC243A" w:rsidP="00376A59">
      <w:pPr>
        <w:rPr>
          <w:lang w:eastAsia="pl-PL"/>
        </w:rPr>
      </w:pPr>
      <w:r>
        <w:rPr>
          <w:lang w:eastAsia="pl-PL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:rsidR="00BC243A" w:rsidRDefault="00BC243A" w:rsidP="00BC243A">
      <w:pPr>
        <w:rPr>
          <w:lang w:eastAsia="pl-PL"/>
        </w:rPr>
      </w:pPr>
    </w:p>
    <w:p w:rsidR="00BC243A" w:rsidRPr="001A3D3F" w:rsidRDefault="00BC243A" w:rsidP="00E76D26">
      <w:pPr>
        <w:rPr>
          <w:shd w:val="clear" w:color="auto" w:fill="FFFFFF"/>
        </w:rPr>
        <w:sectPr w:rsidR="00BC243A" w:rsidRPr="001A3D3F" w:rsidSect="00EC722E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39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p w:rsidR="000470AA" w:rsidRPr="001A3D3F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0470AA" w:rsidRPr="0004374E" w:rsidTr="00E23337">
        <w:trPr>
          <w:trHeight w:val="1912"/>
        </w:trPr>
        <w:tc>
          <w:tcPr>
            <w:tcW w:w="4379" w:type="dxa"/>
          </w:tcPr>
          <w:p w:rsidR="000470AA" w:rsidRPr="00766E54" w:rsidRDefault="000470AA" w:rsidP="00E23337">
            <w:pPr>
              <w:spacing w:before="0" w:after="0" w:line="276" w:lineRule="auto"/>
              <w:rPr>
                <w:rFonts w:cs="Arial"/>
                <w:sz w:val="20"/>
              </w:rPr>
            </w:pPr>
            <w:r w:rsidRPr="00766E54">
              <w:rPr>
                <w:rFonts w:cs="Arial"/>
                <w:sz w:val="20"/>
              </w:rPr>
              <w:t>Opracowanie merytoryczne:</w:t>
            </w:r>
          </w:p>
          <w:p w:rsidR="000470AA" w:rsidRPr="00766E54" w:rsidRDefault="000470AA" w:rsidP="00D00796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66E54">
              <w:rPr>
                <w:rFonts w:cs="Arial"/>
                <w:b/>
                <w:sz w:val="20"/>
              </w:rPr>
              <w:t xml:space="preserve">Departament </w:t>
            </w:r>
            <w:r w:rsidR="00155873" w:rsidRPr="00766E54">
              <w:rPr>
                <w:rFonts w:cs="Arial"/>
                <w:b/>
                <w:sz w:val="20"/>
              </w:rPr>
              <w:t>Studiów Makroekonomicznych i Finansów</w:t>
            </w:r>
          </w:p>
          <w:p w:rsidR="000470AA" w:rsidRPr="00766E54" w:rsidRDefault="004A3EE5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Dyrektor Mirosław Błażej </w:t>
            </w:r>
          </w:p>
          <w:p w:rsidR="000470AA" w:rsidRPr="00766E54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Tel: 22 </w:t>
            </w:r>
            <w:r w:rsidR="00155873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608</w:t>
            </w:r>
            <w:r w:rsidR="00EB5A7D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155873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3</w:t>
            </w:r>
            <w:r w:rsidR="00D869D9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7</w:t>
            </w:r>
            <w:r w:rsidR="004A3EE5">
              <w:rPr>
                <w:rFonts w:ascii="Fira Sans" w:hAnsi="Fira Sans" w:cs="Arial"/>
                <w:color w:val="auto"/>
                <w:sz w:val="20"/>
                <w:lang w:val="fi-FI"/>
              </w:rPr>
              <w:t>73</w:t>
            </w:r>
          </w:p>
          <w:p w:rsidR="000470AA" w:rsidRPr="00766E54" w:rsidRDefault="000470AA" w:rsidP="006F16BA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:rsidR="00E761AE" w:rsidRPr="001A3D3F" w:rsidRDefault="000470AA" w:rsidP="00E761AE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1A3D3F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E761AE" w:rsidRPr="001A3D3F" w:rsidRDefault="000470AA" w:rsidP="00E761AE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1A3D3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1A3D3F" w:rsidRDefault="00C835A2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0470AA" w:rsidRPr="001A3D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:rsidR="000470AA" w:rsidRPr="00376A59" w:rsidRDefault="000470AA" w:rsidP="00376A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1A3D3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  <w:bookmarkStart w:id="0" w:name="_GoBack"/>
            <w:bookmarkEnd w:id="0"/>
            <w:r w:rsidR="00376A59" w:rsidRPr="002C01D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470AA" w:rsidRPr="002C01D8" w:rsidRDefault="000470AA" w:rsidP="000470AA">
      <w:pPr>
        <w:rPr>
          <w:sz w:val="20"/>
          <w:lang w:val="en-US"/>
        </w:rPr>
      </w:pPr>
    </w:p>
    <w:p w:rsidR="000470AA" w:rsidRPr="002C01D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766E5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766E54" w:rsidRDefault="000470AA" w:rsidP="000470AA">
            <w:pPr>
              <w:rPr>
                <w:b/>
                <w:sz w:val="20"/>
              </w:rPr>
            </w:pPr>
            <w:r w:rsidRPr="00766E54">
              <w:rPr>
                <w:b/>
                <w:sz w:val="20"/>
              </w:rPr>
              <w:t xml:space="preserve">Wydział Współpracy z Mediami </w:t>
            </w:r>
          </w:p>
          <w:p w:rsidR="000470AA" w:rsidRPr="00766E54" w:rsidRDefault="00766E54" w:rsidP="000470AA">
            <w:pPr>
              <w:rPr>
                <w:sz w:val="20"/>
              </w:rPr>
            </w:pPr>
            <w:r w:rsidRPr="00766E54">
              <w:rPr>
                <w:sz w:val="20"/>
              </w:rPr>
              <w:t>T</w:t>
            </w:r>
            <w:r w:rsidR="000470AA" w:rsidRPr="00766E54">
              <w:rPr>
                <w:sz w:val="20"/>
              </w:rPr>
              <w:t>el:</w:t>
            </w:r>
            <w:r w:rsidR="000470AA" w:rsidRPr="00766E5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097840" w:rsidRPr="00766E54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0470AA" w:rsidRPr="00766E54">
              <w:rPr>
                <w:sz w:val="20"/>
              </w:rPr>
              <w:t xml:space="preserve">04 </w:t>
            </w:r>
          </w:p>
          <w:p w:rsidR="000470AA" w:rsidRPr="00766E54" w:rsidRDefault="000470AA" w:rsidP="000470AA">
            <w:pPr>
              <w:rPr>
                <w:sz w:val="18"/>
                <w:lang w:val="en-US"/>
              </w:rPr>
            </w:pPr>
            <w:r w:rsidRPr="00766E54">
              <w:rPr>
                <w:b/>
                <w:sz w:val="20"/>
                <w:lang w:val="en-US"/>
              </w:rPr>
              <w:t>e-mail:</w:t>
            </w:r>
            <w:r w:rsidRPr="00766E54">
              <w:rPr>
                <w:sz w:val="20"/>
                <w:lang w:val="en-US"/>
              </w:rPr>
              <w:t xml:space="preserve"> </w:t>
            </w:r>
            <w:hyperlink r:id="rId16" w:history="1">
              <w:r w:rsidRPr="003409BE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766E54" w:rsidRDefault="000470AA" w:rsidP="000470AA">
            <w:pPr>
              <w:rPr>
                <w:sz w:val="18"/>
                <w:lang w:val="en-US"/>
              </w:rPr>
            </w:pPr>
            <w:r w:rsidRPr="00766E5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766E54" w:rsidRDefault="002E2B40" w:rsidP="000470AA">
            <w:pPr>
              <w:rPr>
                <w:sz w:val="18"/>
              </w:rPr>
            </w:pPr>
            <w:hyperlink r:id="rId18" w:history="1">
              <w:r w:rsidR="006F16BA" w:rsidRPr="00766E54">
                <w:rPr>
                  <w:rStyle w:val="Hipercze"/>
                  <w:rFonts w:cstheme="minorBidi"/>
                  <w:color w:val="auto"/>
                  <w:sz w:val="20"/>
                </w:rPr>
                <w:t>www.stat.gov.pl</w:t>
              </w:r>
            </w:hyperlink>
            <w:r w:rsidR="006F16BA" w:rsidRPr="00766E54">
              <w:rPr>
                <w:sz w:val="20"/>
              </w:rPr>
              <w:t xml:space="preserve"> 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2E2B40" w:rsidP="00E76D26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43" type="#_x0000_t202" style="position:absolute;margin-left:1.5pt;margin-top:33.5pt;width:516.5pt;height:234.05pt;z-index:2516910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gpQAIAAHQ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bPncwhqb&#10;PYnvcFoDWls6dOh+cDbQClTcf9+Ck5zpj5YauJotFnFnkrEo3s7JcKee+tQDVhBUxQNn0/EmpD2L&#10;XC1eU6NblVoQJ2JicuBMo500PKxh3J1TO0X9+lmsfwI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uW8oKUACAAB0BAAA&#10;DgAAAAAAAAAAAAAAAAAuAgAAZHJzL2Uyb0RvYy54bWxQSwECLQAUAAYACAAAACEAbsAxfN8AAAAJ&#10;AQAADwAAAAAAAAAAAAAAAACaBAAAZHJzL2Rvd25yZXYueG1sUEsFBgAAAAAEAAQA8wAAAKYFAAAA&#10;AA==&#10;" fillcolor="#f2f2f2 [3052]" strokecolor="white [3212]">
            <v:textbox>
              <w:txbxContent>
                <w:p w:rsidR="0040232D" w:rsidRPr="00766E54" w:rsidRDefault="0040232D" w:rsidP="00F25976">
                  <w:pPr>
                    <w:rPr>
                      <w:b/>
                      <w:color w:val="001D77"/>
                    </w:rPr>
                  </w:pPr>
                  <w:r w:rsidRPr="000A4081">
                    <w:rPr>
                      <w:b/>
                    </w:rPr>
                    <w:t>Powiązane opracowania</w:t>
                  </w:r>
                </w:p>
                <w:p w:rsidR="0040232D" w:rsidRPr="00766E54" w:rsidRDefault="002E2B40" w:rsidP="00AB6D25">
                  <w:pPr>
                    <w:rPr>
                      <w:color w:val="001D77"/>
                      <w:szCs w:val="24"/>
                    </w:rPr>
                  </w:pPr>
                  <w:hyperlink r:id="rId21" w:history="1">
                    <w:r w:rsidR="0040232D" w:rsidRPr="00766E54">
                      <w:rPr>
                        <w:rStyle w:val="Hipercze"/>
                        <w:rFonts w:cstheme="minorBidi"/>
                        <w:color w:val="001D77"/>
                        <w:szCs w:val="24"/>
                      </w:rPr>
                      <w:t>Informacje sygnalne. Wyniki finansowe przedsiębiorstw finansowych.</w:t>
                    </w:r>
                  </w:hyperlink>
                </w:p>
                <w:p w:rsidR="0040232D" w:rsidRDefault="0040232D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40232D" w:rsidRPr="000A4081" w:rsidRDefault="0040232D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0A4081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40232D" w:rsidRPr="00766E54" w:rsidRDefault="002E2B40" w:rsidP="005D14B0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2" w:history="1">
                    <w:r w:rsidR="0040232D" w:rsidRPr="00766E54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</w:t>
                    </w:r>
                  </w:hyperlink>
                </w:p>
                <w:p w:rsidR="0040232D" w:rsidRPr="000A4081" w:rsidRDefault="0040232D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40232D" w:rsidRDefault="0040232D" w:rsidP="00AB6D25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40232D" w:rsidRPr="00766E54" w:rsidRDefault="002E2B40" w:rsidP="00673C2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40232D" w:rsidRPr="00766E54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Fundusz Inwestycyjny</w:t>
                    </w:r>
                  </w:hyperlink>
                </w:p>
                <w:p w:rsidR="0040232D" w:rsidRPr="00766E54" w:rsidRDefault="002E2B40" w:rsidP="00673C2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4" w:history="1">
                    <w:r w:rsidR="0040232D" w:rsidRPr="00766E54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Towarzystwo Funduszy Inwestycyjnych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01C5B" w:rsidSect="003B18B6">
      <w:headerReference w:type="default" r:id="rId25"/>
      <w:footerReference w:type="default" r:id="rId2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40" w:rsidRDefault="002E2B40" w:rsidP="000662E2">
      <w:pPr>
        <w:spacing w:after="0" w:line="240" w:lineRule="auto"/>
      </w:pPr>
      <w:r>
        <w:separator/>
      </w:r>
    </w:p>
  </w:endnote>
  <w:endnote w:type="continuationSeparator" w:id="0">
    <w:p w:rsidR="002E2B40" w:rsidRDefault="002E2B4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864908"/>
      <w:docPartObj>
        <w:docPartGallery w:val="Page Numbers (Bottom of Page)"/>
        <w:docPartUnique/>
      </w:docPartObj>
    </w:sdtPr>
    <w:sdtEndPr/>
    <w:sdtContent>
      <w:p w:rsidR="0040232D" w:rsidRDefault="00E956C7" w:rsidP="003B18B6">
        <w:pPr>
          <w:pStyle w:val="Stopka"/>
          <w:jc w:val="center"/>
        </w:pPr>
        <w:r>
          <w:rPr>
            <w:noProof/>
          </w:rPr>
          <w:fldChar w:fldCharType="begin"/>
        </w:r>
        <w:r w:rsidR="0040232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6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77727"/>
      <w:docPartObj>
        <w:docPartGallery w:val="Page Numbers (Bottom of Page)"/>
        <w:docPartUnique/>
      </w:docPartObj>
    </w:sdtPr>
    <w:sdtEndPr/>
    <w:sdtContent>
      <w:p w:rsidR="0040232D" w:rsidRDefault="00E956C7" w:rsidP="003B18B6">
        <w:pPr>
          <w:pStyle w:val="Stopka"/>
          <w:jc w:val="center"/>
        </w:pPr>
        <w:r>
          <w:rPr>
            <w:noProof/>
          </w:rPr>
          <w:fldChar w:fldCharType="begin"/>
        </w:r>
        <w:r w:rsidR="0040232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E956C7" w:rsidP="003B18B6">
    <w:pPr>
      <w:pStyle w:val="Stopka"/>
      <w:jc w:val="center"/>
    </w:pPr>
    <w:r>
      <w:rPr>
        <w:noProof/>
      </w:rPr>
      <w:fldChar w:fldCharType="begin"/>
    </w:r>
    <w:r w:rsidR="0040232D">
      <w:rPr>
        <w:noProof/>
      </w:rPr>
      <w:instrText>PAGE   \* MERGEFORMAT</w:instrText>
    </w:r>
    <w:r>
      <w:rPr>
        <w:noProof/>
      </w:rPr>
      <w:fldChar w:fldCharType="separate"/>
    </w:r>
    <w:r w:rsidR="00376A5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40" w:rsidRDefault="002E2B40" w:rsidP="000662E2">
      <w:pPr>
        <w:spacing w:after="0" w:line="240" w:lineRule="auto"/>
      </w:pPr>
      <w:r>
        <w:separator/>
      </w:r>
    </w:p>
  </w:footnote>
  <w:footnote w:type="continuationSeparator" w:id="0">
    <w:p w:rsidR="002E2B40" w:rsidRDefault="002E2B4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2E2B40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</w:pict>
    </w:r>
  </w:p>
  <w:p w:rsidR="0040232D" w:rsidRDefault="00402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2E2B40" w:rsidP="004E177A">
    <w:pPr>
      <w:pStyle w:val="Nagwek"/>
      <w:tabs>
        <w:tab w:val="clear" w:pos="4536"/>
        <w:tab w:val="clear" w:pos="9072"/>
        <w:tab w:val="center" w:pos="4034"/>
      </w:tabs>
      <w:rPr>
        <w:noProof/>
        <w:lang w:eastAsia="pl-PL"/>
      </w:rPr>
    </w:pPr>
    <w:r>
      <w:rPr>
        <w:noProof/>
        <w:lang w:eastAsia="pl-PL"/>
      </w:rPr>
      <w:pict>
        <v:rect id="Prostokąt 10" o:spid="_x0000_s2050" style="position:absolute;margin-left:411pt;margin-top:29.4pt;width:147.4pt;height:1583.9pt;z-index:-251650048;visibility:visible;mso-width-relative:margin;mso-height-relative:margin;v-text-anchor:middle" wrapcoords="-110 0 -110 21591 21600 21591 21600 0 -110 0" fillcolor="#f2f2f2" stroked="f" strokeweight="1pt"/>
      </w:pict>
    </w:r>
    <w:r w:rsidR="0040232D" w:rsidRPr="002442D5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6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40232D" w:rsidRPr="003C6C8D" w:rsidRDefault="0040232D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 w:rsidR="004E177A">
      <w:rPr>
        <w:noProof/>
        <w:lang w:eastAsia="pl-PL"/>
      </w:rPr>
      <w:tab/>
    </w:r>
  </w:p>
  <w:p w:rsidR="0040232D" w:rsidRDefault="002E2B40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40232D" w:rsidRPr="00C97596" w:rsidRDefault="003561D3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23.</w:t>
                </w:r>
                <w:r w:rsidR="00F2062C">
                  <w:rPr>
                    <w:rFonts w:ascii="Fira Sans SemiBold" w:hAnsi="Fira Sans SemiBold"/>
                    <w:color w:val="001D77"/>
                  </w:rPr>
                  <w:t>0</w:t>
                </w:r>
                <w:r>
                  <w:rPr>
                    <w:rFonts w:ascii="Fira Sans SemiBold" w:hAnsi="Fira Sans SemiBold"/>
                    <w:color w:val="001D77"/>
                  </w:rPr>
                  <w:t>6.2020</w:t>
                </w:r>
                <w:r w:rsidR="0040232D"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40232D">
    <w:pPr>
      <w:pStyle w:val="Nagwek"/>
    </w:pPr>
  </w:p>
  <w:p w:rsidR="0040232D" w:rsidRDefault="00402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5pt;height:125pt;visibility:visible" o:bullet="t">
        <v:imagedata r:id="rId1" o:title=""/>
      </v:shape>
    </w:pict>
  </w:numPicBullet>
  <w:numPicBullet w:numPicBulletId="1">
    <w:pict>
      <v:shape id="_x0000_i1029" type="#_x0000_t75" style="width:123.6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492533"/>
    <w:multiLevelType w:val="hybridMultilevel"/>
    <w:tmpl w:val="7CC89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8E"/>
    <w:rsid w:val="0000709F"/>
    <w:rsid w:val="000108B8"/>
    <w:rsid w:val="00011C4E"/>
    <w:rsid w:val="00012153"/>
    <w:rsid w:val="00012F09"/>
    <w:rsid w:val="00013E5C"/>
    <w:rsid w:val="000152F5"/>
    <w:rsid w:val="00016955"/>
    <w:rsid w:val="0001745A"/>
    <w:rsid w:val="00017BF3"/>
    <w:rsid w:val="000200A8"/>
    <w:rsid w:val="00020F3A"/>
    <w:rsid w:val="0002673B"/>
    <w:rsid w:val="00027439"/>
    <w:rsid w:val="0003226B"/>
    <w:rsid w:val="0003375A"/>
    <w:rsid w:val="00034545"/>
    <w:rsid w:val="00036113"/>
    <w:rsid w:val="0004374E"/>
    <w:rsid w:val="0004582E"/>
    <w:rsid w:val="000470AA"/>
    <w:rsid w:val="00047E14"/>
    <w:rsid w:val="00050CB7"/>
    <w:rsid w:val="00053E26"/>
    <w:rsid w:val="00054442"/>
    <w:rsid w:val="000578A2"/>
    <w:rsid w:val="00057CA1"/>
    <w:rsid w:val="00065308"/>
    <w:rsid w:val="000655DA"/>
    <w:rsid w:val="0006591D"/>
    <w:rsid w:val="000662E2"/>
    <w:rsid w:val="00066883"/>
    <w:rsid w:val="00074DD8"/>
    <w:rsid w:val="000806F7"/>
    <w:rsid w:val="000853B8"/>
    <w:rsid w:val="00091492"/>
    <w:rsid w:val="00091F15"/>
    <w:rsid w:val="00094B9D"/>
    <w:rsid w:val="000970C7"/>
    <w:rsid w:val="00097840"/>
    <w:rsid w:val="000A4081"/>
    <w:rsid w:val="000A51D9"/>
    <w:rsid w:val="000A6AA4"/>
    <w:rsid w:val="000B0727"/>
    <w:rsid w:val="000B1A34"/>
    <w:rsid w:val="000B24D5"/>
    <w:rsid w:val="000B45EF"/>
    <w:rsid w:val="000B47CF"/>
    <w:rsid w:val="000B7D5D"/>
    <w:rsid w:val="000C0D18"/>
    <w:rsid w:val="000C135D"/>
    <w:rsid w:val="000C472B"/>
    <w:rsid w:val="000C6103"/>
    <w:rsid w:val="000D17AB"/>
    <w:rsid w:val="000D19E0"/>
    <w:rsid w:val="000D1D43"/>
    <w:rsid w:val="000D225C"/>
    <w:rsid w:val="000D23F0"/>
    <w:rsid w:val="000D25D6"/>
    <w:rsid w:val="000D2A5C"/>
    <w:rsid w:val="000D670C"/>
    <w:rsid w:val="000E0918"/>
    <w:rsid w:val="000E3934"/>
    <w:rsid w:val="000E52D1"/>
    <w:rsid w:val="000F14E6"/>
    <w:rsid w:val="000F2A63"/>
    <w:rsid w:val="000F6DCD"/>
    <w:rsid w:val="00100CE3"/>
    <w:rsid w:val="001011C3"/>
    <w:rsid w:val="00105600"/>
    <w:rsid w:val="00106359"/>
    <w:rsid w:val="00110D87"/>
    <w:rsid w:val="00111B34"/>
    <w:rsid w:val="00112782"/>
    <w:rsid w:val="001128E4"/>
    <w:rsid w:val="00114446"/>
    <w:rsid w:val="00114DB9"/>
    <w:rsid w:val="00116087"/>
    <w:rsid w:val="00116638"/>
    <w:rsid w:val="00117860"/>
    <w:rsid w:val="00120F7A"/>
    <w:rsid w:val="001257D5"/>
    <w:rsid w:val="00130296"/>
    <w:rsid w:val="00130B04"/>
    <w:rsid w:val="00131D2F"/>
    <w:rsid w:val="00137DE0"/>
    <w:rsid w:val="001423B6"/>
    <w:rsid w:val="0014313E"/>
    <w:rsid w:val="001448A7"/>
    <w:rsid w:val="00145AB5"/>
    <w:rsid w:val="00146621"/>
    <w:rsid w:val="00155873"/>
    <w:rsid w:val="001568E3"/>
    <w:rsid w:val="00162325"/>
    <w:rsid w:val="001656C0"/>
    <w:rsid w:val="00165A8D"/>
    <w:rsid w:val="001700C7"/>
    <w:rsid w:val="00172C32"/>
    <w:rsid w:val="001765D3"/>
    <w:rsid w:val="00187D7A"/>
    <w:rsid w:val="00191E59"/>
    <w:rsid w:val="00194DFB"/>
    <w:rsid w:val="001951DA"/>
    <w:rsid w:val="0019592F"/>
    <w:rsid w:val="001977A6"/>
    <w:rsid w:val="001A3BCC"/>
    <w:rsid w:val="001A3D3F"/>
    <w:rsid w:val="001A4AE5"/>
    <w:rsid w:val="001A52EB"/>
    <w:rsid w:val="001A6F40"/>
    <w:rsid w:val="001C0488"/>
    <w:rsid w:val="001C3269"/>
    <w:rsid w:val="001C63EF"/>
    <w:rsid w:val="001D1DB4"/>
    <w:rsid w:val="001D4ABE"/>
    <w:rsid w:val="001D6005"/>
    <w:rsid w:val="001D6DAE"/>
    <w:rsid w:val="001E0053"/>
    <w:rsid w:val="001E0350"/>
    <w:rsid w:val="001F2837"/>
    <w:rsid w:val="001F304A"/>
    <w:rsid w:val="001F48C4"/>
    <w:rsid w:val="002059CC"/>
    <w:rsid w:val="002062A6"/>
    <w:rsid w:val="00206B56"/>
    <w:rsid w:val="00214A12"/>
    <w:rsid w:val="00214F2A"/>
    <w:rsid w:val="00216C45"/>
    <w:rsid w:val="00216D42"/>
    <w:rsid w:val="002174FF"/>
    <w:rsid w:val="0021786D"/>
    <w:rsid w:val="002229B3"/>
    <w:rsid w:val="0022316B"/>
    <w:rsid w:val="00226332"/>
    <w:rsid w:val="00226BCA"/>
    <w:rsid w:val="00230943"/>
    <w:rsid w:val="00232461"/>
    <w:rsid w:val="002346A4"/>
    <w:rsid w:val="0024127A"/>
    <w:rsid w:val="002442D5"/>
    <w:rsid w:val="00250153"/>
    <w:rsid w:val="00252D66"/>
    <w:rsid w:val="00253761"/>
    <w:rsid w:val="00256D94"/>
    <w:rsid w:val="002574F9"/>
    <w:rsid w:val="00261862"/>
    <w:rsid w:val="0026295B"/>
    <w:rsid w:val="00262B61"/>
    <w:rsid w:val="002710D2"/>
    <w:rsid w:val="00271812"/>
    <w:rsid w:val="00273838"/>
    <w:rsid w:val="0027397C"/>
    <w:rsid w:val="00274072"/>
    <w:rsid w:val="00276811"/>
    <w:rsid w:val="00276839"/>
    <w:rsid w:val="00281B24"/>
    <w:rsid w:val="00281BC4"/>
    <w:rsid w:val="00282699"/>
    <w:rsid w:val="00290C08"/>
    <w:rsid w:val="00291D9D"/>
    <w:rsid w:val="002926DF"/>
    <w:rsid w:val="00296697"/>
    <w:rsid w:val="002A0E2C"/>
    <w:rsid w:val="002A266D"/>
    <w:rsid w:val="002A6AD5"/>
    <w:rsid w:val="002B0472"/>
    <w:rsid w:val="002B4E3B"/>
    <w:rsid w:val="002B63AC"/>
    <w:rsid w:val="002B6B12"/>
    <w:rsid w:val="002B6F2B"/>
    <w:rsid w:val="002C01D8"/>
    <w:rsid w:val="002C09C1"/>
    <w:rsid w:val="002C1B93"/>
    <w:rsid w:val="002C2F02"/>
    <w:rsid w:val="002C3C81"/>
    <w:rsid w:val="002C67CC"/>
    <w:rsid w:val="002D1C2F"/>
    <w:rsid w:val="002D5FAB"/>
    <w:rsid w:val="002D7144"/>
    <w:rsid w:val="002D7403"/>
    <w:rsid w:val="002E01AD"/>
    <w:rsid w:val="002E042C"/>
    <w:rsid w:val="002E299F"/>
    <w:rsid w:val="002E2B40"/>
    <w:rsid w:val="002E33D7"/>
    <w:rsid w:val="002E5C86"/>
    <w:rsid w:val="002E6140"/>
    <w:rsid w:val="002E6985"/>
    <w:rsid w:val="002E6ADF"/>
    <w:rsid w:val="002E71B6"/>
    <w:rsid w:val="002F00B0"/>
    <w:rsid w:val="002F0122"/>
    <w:rsid w:val="002F468D"/>
    <w:rsid w:val="002F6FB4"/>
    <w:rsid w:val="002F7054"/>
    <w:rsid w:val="002F77C8"/>
    <w:rsid w:val="00300405"/>
    <w:rsid w:val="00304F22"/>
    <w:rsid w:val="00304F2D"/>
    <w:rsid w:val="00306C7C"/>
    <w:rsid w:val="003132A5"/>
    <w:rsid w:val="00315E84"/>
    <w:rsid w:val="0032077B"/>
    <w:rsid w:val="00320E0F"/>
    <w:rsid w:val="00321A45"/>
    <w:rsid w:val="00322EDD"/>
    <w:rsid w:val="00330488"/>
    <w:rsid w:val="00330CD0"/>
    <w:rsid w:val="003311E7"/>
    <w:rsid w:val="00332320"/>
    <w:rsid w:val="00332C23"/>
    <w:rsid w:val="00332EAC"/>
    <w:rsid w:val="00337CC2"/>
    <w:rsid w:val="00337E65"/>
    <w:rsid w:val="003409BE"/>
    <w:rsid w:val="0034231D"/>
    <w:rsid w:val="00342EC3"/>
    <w:rsid w:val="00347D72"/>
    <w:rsid w:val="00354E64"/>
    <w:rsid w:val="003561D3"/>
    <w:rsid w:val="00357611"/>
    <w:rsid w:val="00360DE8"/>
    <w:rsid w:val="003616C1"/>
    <w:rsid w:val="003631A8"/>
    <w:rsid w:val="00363948"/>
    <w:rsid w:val="00364956"/>
    <w:rsid w:val="00365F40"/>
    <w:rsid w:val="00367237"/>
    <w:rsid w:val="0037077F"/>
    <w:rsid w:val="00372320"/>
    <w:rsid w:val="00372411"/>
    <w:rsid w:val="00373882"/>
    <w:rsid w:val="00373FC7"/>
    <w:rsid w:val="00374412"/>
    <w:rsid w:val="00376A59"/>
    <w:rsid w:val="00377780"/>
    <w:rsid w:val="00377AD5"/>
    <w:rsid w:val="0038064C"/>
    <w:rsid w:val="00382293"/>
    <w:rsid w:val="003832BA"/>
    <w:rsid w:val="003843DB"/>
    <w:rsid w:val="00385622"/>
    <w:rsid w:val="00385C33"/>
    <w:rsid w:val="00390566"/>
    <w:rsid w:val="00390633"/>
    <w:rsid w:val="00392024"/>
    <w:rsid w:val="00392D35"/>
    <w:rsid w:val="00393761"/>
    <w:rsid w:val="003938ED"/>
    <w:rsid w:val="003953A5"/>
    <w:rsid w:val="00397BCD"/>
    <w:rsid w:val="00397D18"/>
    <w:rsid w:val="003A0E70"/>
    <w:rsid w:val="003A1B36"/>
    <w:rsid w:val="003A5DE6"/>
    <w:rsid w:val="003B1454"/>
    <w:rsid w:val="003B18B6"/>
    <w:rsid w:val="003B2391"/>
    <w:rsid w:val="003B2EE1"/>
    <w:rsid w:val="003B42FF"/>
    <w:rsid w:val="003B509D"/>
    <w:rsid w:val="003B6605"/>
    <w:rsid w:val="003B7811"/>
    <w:rsid w:val="003C15D5"/>
    <w:rsid w:val="003C2132"/>
    <w:rsid w:val="003C364F"/>
    <w:rsid w:val="003C4624"/>
    <w:rsid w:val="003C59E0"/>
    <w:rsid w:val="003C6C8D"/>
    <w:rsid w:val="003D05ED"/>
    <w:rsid w:val="003D2027"/>
    <w:rsid w:val="003D388D"/>
    <w:rsid w:val="003D4F95"/>
    <w:rsid w:val="003D5F42"/>
    <w:rsid w:val="003D60A9"/>
    <w:rsid w:val="003E210B"/>
    <w:rsid w:val="003E24D5"/>
    <w:rsid w:val="003E53B2"/>
    <w:rsid w:val="003F167E"/>
    <w:rsid w:val="003F1F4A"/>
    <w:rsid w:val="003F2CD5"/>
    <w:rsid w:val="003F4C97"/>
    <w:rsid w:val="003F7FE6"/>
    <w:rsid w:val="00400193"/>
    <w:rsid w:val="00400A20"/>
    <w:rsid w:val="0040232D"/>
    <w:rsid w:val="00404720"/>
    <w:rsid w:val="00406073"/>
    <w:rsid w:val="00406696"/>
    <w:rsid w:val="004113DB"/>
    <w:rsid w:val="00413875"/>
    <w:rsid w:val="0041685F"/>
    <w:rsid w:val="00416E70"/>
    <w:rsid w:val="00417B41"/>
    <w:rsid w:val="00420EE9"/>
    <w:rsid w:val="004212E7"/>
    <w:rsid w:val="00423574"/>
    <w:rsid w:val="0042446D"/>
    <w:rsid w:val="00426CE3"/>
    <w:rsid w:val="00427BF8"/>
    <w:rsid w:val="00427F2F"/>
    <w:rsid w:val="004302E9"/>
    <w:rsid w:val="00431C02"/>
    <w:rsid w:val="00437395"/>
    <w:rsid w:val="004410BE"/>
    <w:rsid w:val="00443132"/>
    <w:rsid w:val="00445047"/>
    <w:rsid w:val="0045486D"/>
    <w:rsid w:val="0045551C"/>
    <w:rsid w:val="00460FFB"/>
    <w:rsid w:val="00463E39"/>
    <w:rsid w:val="0046454A"/>
    <w:rsid w:val="004652B1"/>
    <w:rsid w:val="004653FA"/>
    <w:rsid w:val="004657FC"/>
    <w:rsid w:val="00470626"/>
    <w:rsid w:val="00470922"/>
    <w:rsid w:val="00472FD1"/>
    <w:rsid w:val="004731FD"/>
    <w:rsid w:val="004733F6"/>
    <w:rsid w:val="00474E69"/>
    <w:rsid w:val="004752B6"/>
    <w:rsid w:val="00480774"/>
    <w:rsid w:val="004938C3"/>
    <w:rsid w:val="004939BC"/>
    <w:rsid w:val="00493A0E"/>
    <w:rsid w:val="0049621B"/>
    <w:rsid w:val="004A04E7"/>
    <w:rsid w:val="004A3EE5"/>
    <w:rsid w:val="004A4566"/>
    <w:rsid w:val="004A4B0C"/>
    <w:rsid w:val="004A4F94"/>
    <w:rsid w:val="004A6EFF"/>
    <w:rsid w:val="004B10CA"/>
    <w:rsid w:val="004B32CA"/>
    <w:rsid w:val="004B3C88"/>
    <w:rsid w:val="004B406B"/>
    <w:rsid w:val="004B416D"/>
    <w:rsid w:val="004B4795"/>
    <w:rsid w:val="004C0546"/>
    <w:rsid w:val="004C1895"/>
    <w:rsid w:val="004C3833"/>
    <w:rsid w:val="004C39CD"/>
    <w:rsid w:val="004C662F"/>
    <w:rsid w:val="004C66F1"/>
    <w:rsid w:val="004C6CCF"/>
    <w:rsid w:val="004C6D40"/>
    <w:rsid w:val="004D2A2F"/>
    <w:rsid w:val="004D36E0"/>
    <w:rsid w:val="004D3A1D"/>
    <w:rsid w:val="004D7316"/>
    <w:rsid w:val="004E177A"/>
    <w:rsid w:val="004E17F8"/>
    <w:rsid w:val="004E5469"/>
    <w:rsid w:val="004E7858"/>
    <w:rsid w:val="004F0C3C"/>
    <w:rsid w:val="004F0EB5"/>
    <w:rsid w:val="004F111D"/>
    <w:rsid w:val="004F20AB"/>
    <w:rsid w:val="004F2B1A"/>
    <w:rsid w:val="004F3D0A"/>
    <w:rsid w:val="004F450D"/>
    <w:rsid w:val="004F5B1B"/>
    <w:rsid w:val="004F63FC"/>
    <w:rsid w:val="00501638"/>
    <w:rsid w:val="00504341"/>
    <w:rsid w:val="00505A92"/>
    <w:rsid w:val="00507E20"/>
    <w:rsid w:val="005203F1"/>
    <w:rsid w:val="00521BC3"/>
    <w:rsid w:val="005240E2"/>
    <w:rsid w:val="0052468E"/>
    <w:rsid w:val="005278FB"/>
    <w:rsid w:val="0053170A"/>
    <w:rsid w:val="0053177E"/>
    <w:rsid w:val="00533632"/>
    <w:rsid w:val="00541E6E"/>
    <w:rsid w:val="0054251F"/>
    <w:rsid w:val="00544A60"/>
    <w:rsid w:val="00547E8A"/>
    <w:rsid w:val="005511D2"/>
    <w:rsid w:val="005520D8"/>
    <w:rsid w:val="00556CF1"/>
    <w:rsid w:val="005579EB"/>
    <w:rsid w:val="00562DAA"/>
    <w:rsid w:val="00563D8D"/>
    <w:rsid w:val="00566578"/>
    <w:rsid w:val="00566F50"/>
    <w:rsid w:val="005676F2"/>
    <w:rsid w:val="00572D52"/>
    <w:rsid w:val="005738CC"/>
    <w:rsid w:val="00574EA3"/>
    <w:rsid w:val="005762A7"/>
    <w:rsid w:val="0058354A"/>
    <w:rsid w:val="005916D7"/>
    <w:rsid w:val="00591F59"/>
    <w:rsid w:val="0059366D"/>
    <w:rsid w:val="005941F7"/>
    <w:rsid w:val="00595233"/>
    <w:rsid w:val="005979C2"/>
    <w:rsid w:val="005A48CE"/>
    <w:rsid w:val="005A698C"/>
    <w:rsid w:val="005A7921"/>
    <w:rsid w:val="005B4388"/>
    <w:rsid w:val="005B4AD9"/>
    <w:rsid w:val="005B4C37"/>
    <w:rsid w:val="005B645C"/>
    <w:rsid w:val="005C1D02"/>
    <w:rsid w:val="005C3021"/>
    <w:rsid w:val="005C6135"/>
    <w:rsid w:val="005C7C8C"/>
    <w:rsid w:val="005D14B0"/>
    <w:rsid w:val="005D3F15"/>
    <w:rsid w:val="005D6823"/>
    <w:rsid w:val="005E0799"/>
    <w:rsid w:val="005E307F"/>
    <w:rsid w:val="005E331F"/>
    <w:rsid w:val="005E50FA"/>
    <w:rsid w:val="005F10D5"/>
    <w:rsid w:val="005F5A80"/>
    <w:rsid w:val="005F6E56"/>
    <w:rsid w:val="006013EB"/>
    <w:rsid w:val="00602EC8"/>
    <w:rsid w:val="006044FF"/>
    <w:rsid w:val="00606467"/>
    <w:rsid w:val="00606605"/>
    <w:rsid w:val="00607CC5"/>
    <w:rsid w:val="006100E2"/>
    <w:rsid w:val="00611B56"/>
    <w:rsid w:val="00615088"/>
    <w:rsid w:val="00620F2A"/>
    <w:rsid w:val="00623516"/>
    <w:rsid w:val="00633014"/>
    <w:rsid w:val="006337FA"/>
    <w:rsid w:val="0063437B"/>
    <w:rsid w:val="00634415"/>
    <w:rsid w:val="00636F96"/>
    <w:rsid w:val="00644BCF"/>
    <w:rsid w:val="006453B1"/>
    <w:rsid w:val="00650FA9"/>
    <w:rsid w:val="00654762"/>
    <w:rsid w:val="00656E04"/>
    <w:rsid w:val="00662889"/>
    <w:rsid w:val="006673CA"/>
    <w:rsid w:val="00673C26"/>
    <w:rsid w:val="00680ACB"/>
    <w:rsid w:val="006812AF"/>
    <w:rsid w:val="00681C09"/>
    <w:rsid w:val="00682D89"/>
    <w:rsid w:val="0068327D"/>
    <w:rsid w:val="00684617"/>
    <w:rsid w:val="00687806"/>
    <w:rsid w:val="006924D2"/>
    <w:rsid w:val="00693E39"/>
    <w:rsid w:val="00693F5C"/>
    <w:rsid w:val="00694AF0"/>
    <w:rsid w:val="006966CE"/>
    <w:rsid w:val="00696765"/>
    <w:rsid w:val="006A210A"/>
    <w:rsid w:val="006A2D0A"/>
    <w:rsid w:val="006A3168"/>
    <w:rsid w:val="006A4686"/>
    <w:rsid w:val="006A6B89"/>
    <w:rsid w:val="006B0E9E"/>
    <w:rsid w:val="006B122A"/>
    <w:rsid w:val="006B48ED"/>
    <w:rsid w:val="006B5AE4"/>
    <w:rsid w:val="006B5C09"/>
    <w:rsid w:val="006C74EF"/>
    <w:rsid w:val="006D1507"/>
    <w:rsid w:val="006D4054"/>
    <w:rsid w:val="006D4585"/>
    <w:rsid w:val="006D6FBE"/>
    <w:rsid w:val="006E02EC"/>
    <w:rsid w:val="006E4E0E"/>
    <w:rsid w:val="006F13A1"/>
    <w:rsid w:val="006F16BA"/>
    <w:rsid w:val="006F4DAF"/>
    <w:rsid w:val="006F7FF7"/>
    <w:rsid w:val="00700EEA"/>
    <w:rsid w:val="00711637"/>
    <w:rsid w:val="0071390E"/>
    <w:rsid w:val="007211B1"/>
    <w:rsid w:val="007244A4"/>
    <w:rsid w:val="00736C64"/>
    <w:rsid w:val="0074305F"/>
    <w:rsid w:val="00746187"/>
    <w:rsid w:val="00746760"/>
    <w:rsid w:val="00755B7D"/>
    <w:rsid w:val="007604AE"/>
    <w:rsid w:val="00761647"/>
    <w:rsid w:val="00762443"/>
    <w:rsid w:val="0076254F"/>
    <w:rsid w:val="00763BC2"/>
    <w:rsid w:val="00764E2A"/>
    <w:rsid w:val="00766E54"/>
    <w:rsid w:val="007738B5"/>
    <w:rsid w:val="00774052"/>
    <w:rsid w:val="00775B09"/>
    <w:rsid w:val="0077644F"/>
    <w:rsid w:val="007773FB"/>
    <w:rsid w:val="007801F5"/>
    <w:rsid w:val="0078183C"/>
    <w:rsid w:val="007834B8"/>
    <w:rsid w:val="00783CA4"/>
    <w:rsid w:val="007842FB"/>
    <w:rsid w:val="0078532B"/>
    <w:rsid w:val="0078596A"/>
    <w:rsid w:val="00786124"/>
    <w:rsid w:val="007871FE"/>
    <w:rsid w:val="00790992"/>
    <w:rsid w:val="0079105A"/>
    <w:rsid w:val="00793C23"/>
    <w:rsid w:val="0079472D"/>
    <w:rsid w:val="0079514B"/>
    <w:rsid w:val="00795D94"/>
    <w:rsid w:val="007A0155"/>
    <w:rsid w:val="007A245B"/>
    <w:rsid w:val="007A2DC1"/>
    <w:rsid w:val="007A5775"/>
    <w:rsid w:val="007A6B17"/>
    <w:rsid w:val="007B4ACB"/>
    <w:rsid w:val="007B583A"/>
    <w:rsid w:val="007C04DD"/>
    <w:rsid w:val="007C33B3"/>
    <w:rsid w:val="007C39D1"/>
    <w:rsid w:val="007C42BD"/>
    <w:rsid w:val="007C7EA9"/>
    <w:rsid w:val="007C7F88"/>
    <w:rsid w:val="007D3319"/>
    <w:rsid w:val="007D335D"/>
    <w:rsid w:val="007E16E9"/>
    <w:rsid w:val="007E2C33"/>
    <w:rsid w:val="007E3314"/>
    <w:rsid w:val="007E4B03"/>
    <w:rsid w:val="007F0670"/>
    <w:rsid w:val="007F14BA"/>
    <w:rsid w:val="007F28C0"/>
    <w:rsid w:val="007F324B"/>
    <w:rsid w:val="007F5637"/>
    <w:rsid w:val="007F78ED"/>
    <w:rsid w:val="008004B6"/>
    <w:rsid w:val="00800583"/>
    <w:rsid w:val="0080410D"/>
    <w:rsid w:val="0080553C"/>
    <w:rsid w:val="008058B3"/>
    <w:rsid w:val="00805B46"/>
    <w:rsid w:val="00810D58"/>
    <w:rsid w:val="008112B2"/>
    <w:rsid w:val="0082142D"/>
    <w:rsid w:val="0082212A"/>
    <w:rsid w:val="00823503"/>
    <w:rsid w:val="00825DC2"/>
    <w:rsid w:val="00826169"/>
    <w:rsid w:val="00832467"/>
    <w:rsid w:val="008337A4"/>
    <w:rsid w:val="00834AD3"/>
    <w:rsid w:val="00836F2A"/>
    <w:rsid w:val="008402E9"/>
    <w:rsid w:val="00840B7F"/>
    <w:rsid w:val="00841715"/>
    <w:rsid w:val="00843795"/>
    <w:rsid w:val="0084584A"/>
    <w:rsid w:val="00847F0F"/>
    <w:rsid w:val="00850EBF"/>
    <w:rsid w:val="00852448"/>
    <w:rsid w:val="00854E11"/>
    <w:rsid w:val="008560D4"/>
    <w:rsid w:val="00857FA7"/>
    <w:rsid w:val="00861BC1"/>
    <w:rsid w:val="00863005"/>
    <w:rsid w:val="00870B55"/>
    <w:rsid w:val="00870FC5"/>
    <w:rsid w:val="00873659"/>
    <w:rsid w:val="008759FD"/>
    <w:rsid w:val="00881816"/>
    <w:rsid w:val="0088258A"/>
    <w:rsid w:val="00883EE7"/>
    <w:rsid w:val="008844A6"/>
    <w:rsid w:val="00886332"/>
    <w:rsid w:val="008921D7"/>
    <w:rsid w:val="00897778"/>
    <w:rsid w:val="008A10EE"/>
    <w:rsid w:val="008A17A7"/>
    <w:rsid w:val="008A26D9"/>
    <w:rsid w:val="008A698E"/>
    <w:rsid w:val="008B19EB"/>
    <w:rsid w:val="008B38F9"/>
    <w:rsid w:val="008B3F6A"/>
    <w:rsid w:val="008B5489"/>
    <w:rsid w:val="008B7EFE"/>
    <w:rsid w:val="008C00A0"/>
    <w:rsid w:val="008C0841"/>
    <w:rsid w:val="008C0C29"/>
    <w:rsid w:val="008C264C"/>
    <w:rsid w:val="008C5145"/>
    <w:rsid w:val="008C6CD3"/>
    <w:rsid w:val="008D05EF"/>
    <w:rsid w:val="008D3DBD"/>
    <w:rsid w:val="008D4206"/>
    <w:rsid w:val="008D6CAD"/>
    <w:rsid w:val="008D772A"/>
    <w:rsid w:val="008E0984"/>
    <w:rsid w:val="008F2E54"/>
    <w:rsid w:val="008F3638"/>
    <w:rsid w:val="008F4441"/>
    <w:rsid w:val="008F4B44"/>
    <w:rsid w:val="008F6E53"/>
    <w:rsid w:val="008F6F31"/>
    <w:rsid w:val="008F7307"/>
    <w:rsid w:val="008F74DF"/>
    <w:rsid w:val="0090267C"/>
    <w:rsid w:val="00910E68"/>
    <w:rsid w:val="009112A9"/>
    <w:rsid w:val="009127BA"/>
    <w:rsid w:val="009227A6"/>
    <w:rsid w:val="00922DB9"/>
    <w:rsid w:val="00927DE8"/>
    <w:rsid w:val="00933EC1"/>
    <w:rsid w:val="009429A2"/>
    <w:rsid w:val="009438D0"/>
    <w:rsid w:val="0094486C"/>
    <w:rsid w:val="009530DB"/>
    <w:rsid w:val="00953676"/>
    <w:rsid w:val="00955195"/>
    <w:rsid w:val="0095545E"/>
    <w:rsid w:val="009646F0"/>
    <w:rsid w:val="0096756D"/>
    <w:rsid w:val="00967C8F"/>
    <w:rsid w:val="009705EE"/>
    <w:rsid w:val="00970D75"/>
    <w:rsid w:val="009711F5"/>
    <w:rsid w:val="00973AFF"/>
    <w:rsid w:val="00974707"/>
    <w:rsid w:val="009751C2"/>
    <w:rsid w:val="00977927"/>
    <w:rsid w:val="009809DA"/>
    <w:rsid w:val="00981125"/>
    <w:rsid w:val="0098135C"/>
    <w:rsid w:val="0098156A"/>
    <w:rsid w:val="00982546"/>
    <w:rsid w:val="009855D4"/>
    <w:rsid w:val="00991621"/>
    <w:rsid w:val="00991BAC"/>
    <w:rsid w:val="00996239"/>
    <w:rsid w:val="0099722B"/>
    <w:rsid w:val="009A1D8D"/>
    <w:rsid w:val="009A3D0F"/>
    <w:rsid w:val="009A5580"/>
    <w:rsid w:val="009A6EA0"/>
    <w:rsid w:val="009A6F97"/>
    <w:rsid w:val="009B4E78"/>
    <w:rsid w:val="009C0E6F"/>
    <w:rsid w:val="009C1335"/>
    <w:rsid w:val="009C16A0"/>
    <w:rsid w:val="009C1AB2"/>
    <w:rsid w:val="009C42BB"/>
    <w:rsid w:val="009C50B1"/>
    <w:rsid w:val="009C527D"/>
    <w:rsid w:val="009C7251"/>
    <w:rsid w:val="009D1692"/>
    <w:rsid w:val="009D23B7"/>
    <w:rsid w:val="009D5100"/>
    <w:rsid w:val="009E0A81"/>
    <w:rsid w:val="009E25C8"/>
    <w:rsid w:val="009E2E91"/>
    <w:rsid w:val="009F356B"/>
    <w:rsid w:val="009F59D6"/>
    <w:rsid w:val="00A12B88"/>
    <w:rsid w:val="00A139F5"/>
    <w:rsid w:val="00A13AFF"/>
    <w:rsid w:val="00A23D59"/>
    <w:rsid w:val="00A3019B"/>
    <w:rsid w:val="00A3518B"/>
    <w:rsid w:val="00A363E6"/>
    <w:rsid w:val="00A365F4"/>
    <w:rsid w:val="00A369C5"/>
    <w:rsid w:val="00A404D7"/>
    <w:rsid w:val="00A46817"/>
    <w:rsid w:val="00A47D80"/>
    <w:rsid w:val="00A52880"/>
    <w:rsid w:val="00A5299E"/>
    <w:rsid w:val="00A53132"/>
    <w:rsid w:val="00A5355A"/>
    <w:rsid w:val="00A53703"/>
    <w:rsid w:val="00A563F2"/>
    <w:rsid w:val="00A566E8"/>
    <w:rsid w:val="00A5724A"/>
    <w:rsid w:val="00A6162C"/>
    <w:rsid w:val="00A61F64"/>
    <w:rsid w:val="00A749B7"/>
    <w:rsid w:val="00A810F9"/>
    <w:rsid w:val="00A8212F"/>
    <w:rsid w:val="00A86ECC"/>
    <w:rsid w:val="00A86FCC"/>
    <w:rsid w:val="00A90281"/>
    <w:rsid w:val="00A9552E"/>
    <w:rsid w:val="00A960C3"/>
    <w:rsid w:val="00AA0FFC"/>
    <w:rsid w:val="00AA12DB"/>
    <w:rsid w:val="00AA1B06"/>
    <w:rsid w:val="00AA2832"/>
    <w:rsid w:val="00AA5B39"/>
    <w:rsid w:val="00AA710D"/>
    <w:rsid w:val="00AB0FC7"/>
    <w:rsid w:val="00AB1747"/>
    <w:rsid w:val="00AB2BA3"/>
    <w:rsid w:val="00AB329A"/>
    <w:rsid w:val="00AB4312"/>
    <w:rsid w:val="00AB6AEB"/>
    <w:rsid w:val="00AB6D25"/>
    <w:rsid w:val="00AC023F"/>
    <w:rsid w:val="00AC309E"/>
    <w:rsid w:val="00AD444D"/>
    <w:rsid w:val="00AD5D19"/>
    <w:rsid w:val="00AD5EA8"/>
    <w:rsid w:val="00AE2D4B"/>
    <w:rsid w:val="00AE384F"/>
    <w:rsid w:val="00AE485C"/>
    <w:rsid w:val="00AE4F99"/>
    <w:rsid w:val="00AE53C3"/>
    <w:rsid w:val="00AE6AC5"/>
    <w:rsid w:val="00AE78D1"/>
    <w:rsid w:val="00AF4E19"/>
    <w:rsid w:val="00AF5E24"/>
    <w:rsid w:val="00AF719A"/>
    <w:rsid w:val="00B0006D"/>
    <w:rsid w:val="00B11B69"/>
    <w:rsid w:val="00B14952"/>
    <w:rsid w:val="00B17158"/>
    <w:rsid w:val="00B233BF"/>
    <w:rsid w:val="00B27C83"/>
    <w:rsid w:val="00B31E5A"/>
    <w:rsid w:val="00B349C1"/>
    <w:rsid w:val="00B44C06"/>
    <w:rsid w:val="00B51472"/>
    <w:rsid w:val="00B54129"/>
    <w:rsid w:val="00B5622F"/>
    <w:rsid w:val="00B5702F"/>
    <w:rsid w:val="00B618C5"/>
    <w:rsid w:val="00B62159"/>
    <w:rsid w:val="00B653AB"/>
    <w:rsid w:val="00B65F9E"/>
    <w:rsid w:val="00B66B19"/>
    <w:rsid w:val="00B71CA4"/>
    <w:rsid w:val="00B80C6D"/>
    <w:rsid w:val="00B82634"/>
    <w:rsid w:val="00B83B7D"/>
    <w:rsid w:val="00B914E9"/>
    <w:rsid w:val="00B94E11"/>
    <w:rsid w:val="00B956EE"/>
    <w:rsid w:val="00B95CEF"/>
    <w:rsid w:val="00B977DD"/>
    <w:rsid w:val="00BA2BA1"/>
    <w:rsid w:val="00BA3562"/>
    <w:rsid w:val="00BA39B6"/>
    <w:rsid w:val="00BA3E54"/>
    <w:rsid w:val="00BA66E4"/>
    <w:rsid w:val="00BA67A6"/>
    <w:rsid w:val="00BB4F09"/>
    <w:rsid w:val="00BB606C"/>
    <w:rsid w:val="00BC0E57"/>
    <w:rsid w:val="00BC1D6C"/>
    <w:rsid w:val="00BC243A"/>
    <w:rsid w:val="00BD097C"/>
    <w:rsid w:val="00BD3691"/>
    <w:rsid w:val="00BD38E3"/>
    <w:rsid w:val="00BD4E33"/>
    <w:rsid w:val="00BD601D"/>
    <w:rsid w:val="00BE3C36"/>
    <w:rsid w:val="00BE6260"/>
    <w:rsid w:val="00BE6622"/>
    <w:rsid w:val="00BE684D"/>
    <w:rsid w:val="00BF32A1"/>
    <w:rsid w:val="00BF4D8E"/>
    <w:rsid w:val="00BF65C3"/>
    <w:rsid w:val="00C00BB8"/>
    <w:rsid w:val="00C00FA8"/>
    <w:rsid w:val="00C01503"/>
    <w:rsid w:val="00C02FC3"/>
    <w:rsid w:val="00C030DE"/>
    <w:rsid w:val="00C064E1"/>
    <w:rsid w:val="00C10867"/>
    <w:rsid w:val="00C13855"/>
    <w:rsid w:val="00C1646D"/>
    <w:rsid w:val="00C22105"/>
    <w:rsid w:val="00C244B6"/>
    <w:rsid w:val="00C279F2"/>
    <w:rsid w:val="00C3118A"/>
    <w:rsid w:val="00C31691"/>
    <w:rsid w:val="00C33721"/>
    <w:rsid w:val="00C358FC"/>
    <w:rsid w:val="00C3702F"/>
    <w:rsid w:val="00C4383D"/>
    <w:rsid w:val="00C4500A"/>
    <w:rsid w:val="00C52B29"/>
    <w:rsid w:val="00C6271D"/>
    <w:rsid w:val="00C63D61"/>
    <w:rsid w:val="00C64A37"/>
    <w:rsid w:val="00C7158E"/>
    <w:rsid w:val="00C7250B"/>
    <w:rsid w:val="00C7346B"/>
    <w:rsid w:val="00C75769"/>
    <w:rsid w:val="00C757B8"/>
    <w:rsid w:val="00C77C0E"/>
    <w:rsid w:val="00C80120"/>
    <w:rsid w:val="00C80B4B"/>
    <w:rsid w:val="00C81C3B"/>
    <w:rsid w:val="00C835A2"/>
    <w:rsid w:val="00C839CC"/>
    <w:rsid w:val="00C83ED1"/>
    <w:rsid w:val="00C8489D"/>
    <w:rsid w:val="00C84B39"/>
    <w:rsid w:val="00C84C99"/>
    <w:rsid w:val="00C87FE8"/>
    <w:rsid w:val="00C908F9"/>
    <w:rsid w:val="00C91687"/>
    <w:rsid w:val="00C921AF"/>
    <w:rsid w:val="00C924A8"/>
    <w:rsid w:val="00C92F09"/>
    <w:rsid w:val="00C93177"/>
    <w:rsid w:val="00C945FE"/>
    <w:rsid w:val="00C94C47"/>
    <w:rsid w:val="00C965E2"/>
    <w:rsid w:val="00C96FAA"/>
    <w:rsid w:val="00C97A04"/>
    <w:rsid w:val="00CA107B"/>
    <w:rsid w:val="00CA20F9"/>
    <w:rsid w:val="00CA484D"/>
    <w:rsid w:val="00CA4FB6"/>
    <w:rsid w:val="00CB1646"/>
    <w:rsid w:val="00CB5CC0"/>
    <w:rsid w:val="00CC0890"/>
    <w:rsid w:val="00CC6A79"/>
    <w:rsid w:val="00CC6EF4"/>
    <w:rsid w:val="00CC739E"/>
    <w:rsid w:val="00CD1BB3"/>
    <w:rsid w:val="00CD2203"/>
    <w:rsid w:val="00CD58B7"/>
    <w:rsid w:val="00CE05BE"/>
    <w:rsid w:val="00CE2CF8"/>
    <w:rsid w:val="00CE54BB"/>
    <w:rsid w:val="00CF232E"/>
    <w:rsid w:val="00CF3700"/>
    <w:rsid w:val="00CF4099"/>
    <w:rsid w:val="00CF592D"/>
    <w:rsid w:val="00CF5988"/>
    <w:rsid w:val="00CF5F01"/>
    <w:rsid w:val="00CF65B2"/>
    <w:rsid w:val="00D005CA"/>
    <w:rsid w:val="00D00796"/>
    <w:rsid w:val="00D04C42"/>
    <w:rsid w:val="00D11E50"/>
    <w:rsid w:val="00D11F25"/>
    <w:rsid w:val="00D127F2"/>
    <w:rsid w:val="00D21705"/>
    <w:rsid w:val="00D220D3"/>
    <w:rsid w:val="00D22E49"/>
    <w:rsid w:val="00D233B2"/>
    <w:rsid w:val="00D25633"/>
    <w:rsid w:val="00D261A2"/>
    <w:rsid w:val="00D26638"/>
    <w:rsid w:val="00D33311"/>
    <w:rsid w:val="00D3367A"/>
    <w:rsid w:val="00D35AB7"/>
    <w:rsid w:val="00D37EB5"/>
    <w:rsid w:val="00D40647"/>
    <w:rsid w:val="00D40876"/>
    <w:rsid w:val="00D4232A"/>
    <w:rsid w:val="00D448F1"/>
    <w:rsid w:val="00D46BE3"/>
    <w:rsid w:val="00D530CE"/>
    <w:rsid w:val="00D5388A"/>
    <w:rsid w:val="00D604B5"/>
    <w:rsid w:val="00D61141"/>
    <w:rsid w:val="00D616D2"/>
    <w:rsid w:val="00D63014"/>
    <w:rsid w:val="00D63B5F"/>
    <w:rsid w:val="00D6434E"/>
    <w:rsid w:val="00D64523"/>
    <w:rsid w:val="00D70DD6"/>
    <w:rsid w:val="00D70EF7"/>
    <w:rsid w:val="00D749DB"/>
    <w:rsid w:val="00D755A1"/>
    <w:rsid w:val="00D76D29"/>
    <w:rsid w:val="00D8397C"/>
    <w:rsid w:val="00D86310"/>
    <w:rsid w:val="00D869D9"/>
    <w:rsid w:val="00D92DB8"/>
    <w:rsid w:val="00D947AB"/>
    <w:rsid w:val="00D94EED"/>
    <w:rsid w:val="00D96026"/>
    <w:rsid w:val="00D96040"/>
    <w:rsid w:val="00D964EF"/>
    <w:rsid w:val="00D9783D"/>
    <w:rsid w:val="00DA28ED"/>
    <w:rsid w:val="00DA2D79"/>
    <w:rsid w:val="00DA7A18"/>
    <w:rsid w:val="00DA7C1C"/>
    <w:rsid w:val="00DB147A"/>
    <w:rsid w:val="00DB1B7A"/>
    <w:rsid w:val="00DB2C4B"/>
    <w:rsid w:val="00DB3F6F"/>
    <w:rsid w:val="00DC27B5"/>
    <w:rsid w:val="00DC3686"/>
    <w:rsid w:val="00DC4AFA"/>
    <w:rsid w:val="00DC4C6D"/>
    <w:rsid w:val="00DC55D0"/>
    <w:rsid w:val="00DC6708"/>
    <w:rsid w:val="00DD1B5F"/>
    <w:rsid w:val="00DD21E3"/>
    <w:rsid w:val="00DD358A"/>
    <w:rsid w:val="00DD4C9C"/>
    <w:rsid w:val="00DD50F8"/>
    <w:rsid w:val="00DD5E33"/>
    <w:rsid w:val="00DE44C0"/>
    <w:rsid w:val="00DE5863"/>
    <w:rsid w:val="00DE5E03"/>
    <w:rsid w:val="00DF17C4"/>
    <w:rsid w:val="00DF5C3C"/>
    <w:rsid w:val="00E01436"/>
    <w:rsid w:val="00E042E1"/>
    <w:rsid w:val="00E045BD"/>
    <w:rsid w:val="00E05040"/>
    <w:rsid w:val="00E05E14"/>
    <w:rsid w:val="00E07E08"/>
    <w:rsid w:val="00E113FA"/>
    <w:rsid w:val="00E13DA0"/>
    <w:rsid w:val="00E17227"/>
    <w:rsid w:val="00E178CE"/>
    <w:rsid w:val="00E17B77"/>
    <w:rsid w:val="00E23337"/>
    <w:rsid w:val="00E259EA"/>
    <w:rsid w:val="00E275B3"/>
    <w:rsid w:val="00E32061"/>
    <w:rsid w:val="00E34EAA"/>
    <w:rsid w:val="00E35E85"/>
    <w:rsid w:val="00E408EB"/>
    <w:rsid w:val="00E42FF9"/>
    <w:rsid w:val="00E43091"/>
    <w:rsid w:val="00E448A4"/>
    <w:rsid w:val="00E44AD2"/>
    <w:rsid w:val="00E46889"/>
    <w:rsid w:val="00E4714C"/>
    <w:rsid w:val="00E51AEB"/>
    <w:rsid w:val="00E522A7"/>
    <w:rsid w:val="00E54452"/>
    <w:rsid w:val="00E5708B"/>
    <w:rsid w:val="00E6405B"/>
    <w:rsid w:val="00E64B66"/>
    <w:rsid w:val="00E659EE"/>
    <w:rsid w:val="00E664C5"/>
    <w:rsid w:val="00E671A2"/>
    <w:rsid w:val="00E70ED0"/>
    <w:rsid w:val="00E74157"/>
    <w:rsid w:val="00E7514A"/>
    <w:rsid w:val="00E761AE"/>
    <w:rsid w:val="00E76D26"/>
    <w:rsid w:val="00E803FD"/>
    <w:rsid w:val="00E85FA7"/>
    <w:rsid w:val="00E86126"/>
    <w:rsid w:val="00E86263"/>
    <w:rsid w:val="00E9365A"/>
    <w:rsid w:val="00E956C7"/>
    <w:rsid w:val="00E96947"/>
    <w:rsid w:val="00E97B7B"/>
    <w:rsid w:val="00EA2C2D"/>
    <w:rsid w:val="00EB074D"/>
    <w:rsid w:val="00EB1390"/>
    <w:rsid w:val="00EB2C71"/>
    <w:rsid w:val="00EB4340"/>
    <w:rsid w:val="00EB4898"/>
    <w:rsid w:val="00EB556D"/>
    <w:rsid w:val="00EB5A7D"/>
    <w:rsid w:val="00EB5E7F"/>
    <w:rsid w:val="00EC0751"/>
    <w:rsid w:val="00EC1A16"/>
    <w:rsid w:val="00EC2DC3"/>
    <w:rsid w:val="00EC5F4C"/>
    <w:rsid w:val="00EC6EFC"/>
    <w:rsid w:val="00EC722E"/>
    <w:rsid w:val="00EC724A"/>
    <w:rsid w:val="00EC7761"/>
    <w:rsid w:val="00ED1DC2"/>
    <w:rsid w:val="00ED4DCE"/>
    <w:rsid w:val="00ED55C0"/>
    <w:rsid w:val="00ED5BA5"/>
    <w:rsid w:val="00ED682B"/>
    <w:rsid w:val="00ED68C9"/>
    <w:rsid w:val="00EE0BFE"/>
    <w:rsid w:val="00EE313A"/>
    <w:rsid w:val="00EE41D5"/>
    <w:rsid w:val="00EE457C"/>
    <w:rsid w:val="00EE5155"/>
    <w:rsid w:val="00EE59F7"/>
    <w:rsid w:val="00EE5DDD"/>
    <w:rsid w:val="00EF0DD3"/>
    <w:rsid w:val="00EF4CDB"/>
    <w:rsid w:val="00EF55F2"/>
    <w:rsid w:val="00F037A4"/>
    <w:rsid w:val="00F05DA7"/>
    <w:rsid w:val="00F078AF"/>
    <w:rsid w:val="00F122A6"/>
    <w:rsid w:val="00F17264"/>
    <w:rsid w:val="00F2062C"/>
    <w:rsid w:val="00F20E8E"/>
    <w:rsid w:val="00F2481A"/>
    <w:rsid w:val="00F25976"/>
    <w:rsid w:val="00F27C8F"/>
    <w:rsid w:val="00F32749"/>
    <w:rsid w:val="00F344AD"/>
    <w:rsid w:val="00F37172"/>
    <w:rsid w:val="00F3752A"/>
    <w:rsid w:val="00F41498"/>
    <w:rsid w:val="00F4477E"/>
    <w:rsid w:val="00F56602"/>
    <w:rsid w:val="00F56ACC"/>
    <w:rsid w:val="00F5773F"/>
    <w:rsid w:val="00F6332F"/>
    <w:rsid w:val="00F649B0"/>
    <w:rsid w:val="00F67D8F"/>
    <w:rsid w:val="00F71033"/>
    <w:rsid w:val="00F802BE"/>
    <w:rsid w:val="00F8063B"/>
    <w:rsid w:val="00F80E93"/>
    <w:rsid w:val="00F84DD6"/>
    <w:rsid w:val="00F86024"/>
    <w:rsid w:val="00F8611A"/>
    <w:rsid w:val="00FA36DE"/>
    <w:rsid w:val="00FA4553"/>
    <w:rsid w:val="00FA5128"/>
    <w:rsid w:val="00FA7078"/>
    <w:rsid w:val="00FA72C9"/>
    <w:rsid w:val="00FB1358"/>
    <w:rsid w:val="00FB208D"/>
    <w:rsid w:val="00FB34D2"/>
    <w:rsid w:val="00FB42D4"/>
    <w:rsid w:val="00FB5906"/>
    <w:rsid w:val="00FB762F"/>
    <w:rsid w:val="00FC0BD2"/>
    <w:rsid w:val="00FC2AED"/>
    <w:rsid w:val="00FC4A80"/>
    <w:rsid w:val="00FC7440"/>
    <w:rsid w:val="00FD146F"/>
    <w:rsid w:val="00FD3130"/>
    <w:rsid w:val="00FD33BE"/>
    <w:rsid w:val="00FD3C08"/>
    <w:rsid w:val="00FD5EA7"/>
    <w:rsid w:val="00FE66C2"/>
    <w:rsid w:val="00FE710B"/>
    <w:rsid w:val="00FE748A"/>
    <w:rsid w:val="00FE77AF"/>
    <w:rsid w:val="00FF1B17"/>
    <w:rsid w:val="00FF541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2DC30FE-777B-4722-9852-126F1A13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859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B17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F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F15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F1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6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E2A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2A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stat.gov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stat.gov.pl/obszary-tematyczne/podmioty-gospodarcze-wyniki-finansowe/przedsiebiorstwa-finansowe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metainformacje/slownik-pojec/pojecia-stosowane-w-statystyce-publicznej/1646,pojeci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stat.gov.pl/metainformacje/slownik-pojec/pojecia-stosowane-w-statystyce-publicznej/1526,pojecie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bdm.stat.gov.pl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FCCF1425-D506-42DA-91FF-306C32F2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otwartych funduszy emerytalnych i powszechnych towarzystw emerytalnych w 2017 roku</vt:lpstr>
    </vt:vector>
  </TitlesOfParts>
  <Company>Główny Urząd Statystyczny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otwartych funduszy emerytalnych i powszechnych towarzystw emerytalnych w 2017 roku</dc:title>
  <dc:subject>Wyniki finansowe otwartych funduszy emerytalnych i powszechnych towarzystw emerytalnych w 2017 roku</dc:subject>
  <cp:keywords>ofe; otwarte fundusze emerytalne; powszechne towarzystwa emerytalne; wynik finansowy ofe</cp:keywords>
  <dc:description>Wyniki finansowe otwartych funduszy emerytalnych i powszechnych towarzystw emerytalnych w 2017 roku</dc:description>
  <cp:lastPrinted>2019-06-14T12:21:00Z</cp:lastPrinted>
  <dcterms:created xsi:type="dcterms:W3CDTF">2020-06-19T10:18:00Z</dcterms:created>
  <dcterms:modified xsi:type="dcterms:W3CDTF">2020-06-23T07:36:00Z</dcterms:modified>
  <cp:category>Wyniki finansowe otwartych funduszy emerytalnych i powszechnych towarzystw emerytalnych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