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873" w:rsidRPr="00B8049B" w:rsidRDefault="00EC1873" w:rsidP="00EC1873">
      <w:pPr>
        <w:spacing w:before="0" w:after="0" w:line="240" w:lineRule="auto"/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</w:rPr>
      </w:pPr>
      <w:r w:rsidRPr="00B8049B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</w:rPr>
        <w:t xml:space="preserve">Instrumenty finansowe przedsiębiorstw </w:t>
      </w:r>
    </w:p>
    <w:p w:rsidR="00EC1873" w:rsidRPr="00B8049B" w:rsidRDefault="00EC1873" w:rsidP="00EC1873">
      <w:pPr>
        <w:spacing w:before="0" w:after="0" w:line="240" w:lineRule="auto"/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</w:rPr>
      </w:pPr>
      <w:r w:rsidRPr="00B8049B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</w:rPr>
        <w:t>niefinansowych w 2017 roku</w:t>
      </w:r>
    </w:p>
    <w:p w:rsidR="00EC1873" w:rsidRPr="00B8049B" w:rsidRDefault="00EC1873" w:rsidP="00EC1873">
      <w:pPr>
        <w:spacing w:after="0" w:line="240" w:lineRule="auto"/>
        <w:rPr>
          <w:rFonts w:ascii="Fira Sans Extra Condensed SemiB" w:eastAsia="Fira Sans Light" w:hAnsi="Fira Sans Extra Condensed SemiB" w:cs="Times New Roman"/>
          <w:color w:val="000000"/>
          <w:sz w:val="32"/>
          <w:szCs w:val="26"/>
        </w:rPr>
      </w:pPr>
    </w:p>
    <w:p w:rsidR="00EC1873" w:rsidRPr="00B8049B" w:rsidRDefault="00EC1873" w:rsidP="00EC1873">
      <w:pPr>
        <w:spacing w:after="80"/>
        <w:jc w:val="both"/>
        <w:rPr>
          <w:rFonts w:eastAsia="Fira Sans Light" w:cs="Times New Roman"/>
          <w:b/>
          <w:noProof/>
          <w:szCs w:val="19"/>
          <w:lang w:eastAsia="pl-PL"/>
        </w:rPr>
      </w:pPr>
      <w:r w:rsidRPr="00B8049B">
        <w:rPr>
          <w:rFonts w:eastAsia="Fira Sans Light" w:cs="Times New Roman"/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38217AB" wp14:editId="60D301C4">
                <wp:simplePos x="0" y="0"/>
                <wp:positionH relativeFrom="margin">
                  <wp:posOffset>5080</wp:posOffset>
                </wp:positionH>
                <wp:positionV relativeFrom="paragraph">
                  <wp:posOffset>52705</wp:posOffset>
                </wp:positionV>
                <wp:extent cx="1714500" cy="1172210"/>
                <wp:effectExtent l="0" t="0" r="0" b="889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7221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43B" w:rsidRPr="00B66B19" w:rsidRDefault="0012543B" w:rsidP="00EC1873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55E16CE" wp14:editId="559D8E83">
                                  <wp:extent cx="333375" cy="333375"/>
                                  <wp:effectExtent l="0" t="0" r="9525" b="9525"/>
                                  <wp:docPr id="210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444DF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14,7</w:t>
                            </w:r>
                            <w:r w:rsidRPr="00444DFA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%</w:t>
                            </w:r>
                          </w:p>
                          <w:p w:rsidR="0012543B" w:rsidRDefault="0012543B" w:rsidP="00EC1873">
                            <w:pPr>
                              <w:pStyle w:val="tekstnaniebieskimtle"/>
                            </w:pPr>
                            <w:r>
                              <w:t xml:space="preserve">Wzrost instrumentów </w:t>
                            </w:r>
                          </w:p>
                          <w:p w:rsidR="0012543B" w:rsidRDefault="0012543B" w:rsidP="00EC1873">
                            <w:pPr>
                              <w:pStyle w:val="tekstnaniebieskimtle"/>
                            </w:pPr>
                            <w:r>
                              <w:t xml:space="preserve">finansowych w aktywach </w:t>
                            </w:r>
                          </w:p>
                          <w:p w:rsidR="0012543B" w:rsidRPr="007C7F88" w:rsidRDefault="0012543B" w:rsidP="00EC187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 </w:t>
                            </w:r>
                            <w:r w:rsidRPr="007C7F88">
                              <w:t>20</w:t>
                            </w:r>
                            <w:r>
                              <w:t>17</w:t>
                            </w:r>
                            <w:r w:rsidRPr="007C7F88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38217A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.4pt;margin-top:4.15pt;width:135pt;height:92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" fillcolor="#001d77" stroked="f">
                <v:textbox>
                  <w:txbxContent>
                    <w:p w:rsidR="0012543B" w:rsidRPr="00B66B19" w:rsidRDefault="0012543B" w:rsidP="00EC1873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55E16CE" wp14:editId="559D8E83">
                            <wp:extent cx="333375" cy="333375"/>
                            <wp:effectExtent l="0" t="0" r="9525" b="9525"/>
                            <wp:docPr id="210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444DF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14,7</w:t>
                      </w:r>
                      <w:r w:rsidRPr="00444DFA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%</w:t>
                      </w:r>
                    </w:p>
                    <w:p w:rsidR="0012543B" w:rsidRDefault="0012543B" w:rsidP="00EC1873">
                      <w:pPr>
                        <w:pStyle w:val="tekstnaniebieskimtle"/>
                      </w:pPr>
                      <w:r>
                        <w:t xml:space="preserve">Wzrost instrumentów </w:t>
                      </w:r>
                    </w:p>
                    <w:p w:rsidR="0012543B" w:rsidRDefault="0012543B" w:rsidP="00EC1873">
                      <w:pPr>
                        <w:pStyle w:val="tekstnaniebieskimtle"/>
                      </w:pPr>
                      <w:r>
                        <w:t xml:space="preserve">finansowych w aktywach </w:t>
                      </w:r>
                    </w:p>
                    <w:p w:rsidR="0012543B" w:rsidRPr="007C7F88" w:rsidRDefault="0012543B" w:rsidP="00EC187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 </w:t>
                      </w:r>
                      <w:r w:rsidRPr="007C7F88">
                        <w:t>20</w:t>
                      </w:r>
                      <w:r>
                        <w:t>17</w:t>
                      </w:r>
                      <w:r w:rsidRPr="007C7F88"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049B">
        <w:rPr>
          <w:rFonts w:eastAsia="Fira Sans Light" w:cs="Times New Roman"/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9F7A5C8" wp14:editId="4C9F9A82">
                <wp:simplePos x="0" y="0"/>
                <wp:positionH relativeFrom="column">
                  <wp:posOffset>5233035</wp:posOffset>
                </wp:positionH>
                <wp:positionV relativeFrom="paragraph">
                  <wp:posOffset>418465</wp:posOffset>
                </wp:positionV>
                <wp:extent cx="1591945" cy="871220"/>
                <wp:effectExtent l="0" t="0" r="0" b="5080"/>
                <wp:wrapTight wrapText="bothSides">
                  <wp:wrapPolygon edited="0">
                    <wp:start x="775" y="0"/>
                    <wp:lineTo x="775" y="21254"/>
                    <wp:lineTo x="20678" y="21254"/>
                    <wp:lineTo x="20678" y="0"/>
                    <wp:lineTo x="77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43B" w:rsidRPr="009711F5" w:rsidRDefault="0012543B" w:rsidP="00EC1873">
                            <w:pPr>
                              <w:pStyle w:val="tekstzboku"/>
                              <w:jc w:val="both"/>
                            </w:pPr>
                            <w:r>
                              <w:t>I</w:t>
                            </w:r>
                            <w:r w:rsidRPr="000A68B1">
                              <w:t>nstrumenty finanso</w:t>
                            </w:r>
                            <w:r>
                              <w:t>we w aktywach </w:t>
                            </w:r>
                            <w:r w:rsidRPr="000A68B1">
                              <w:t>wyni</w:t>
                            </w:r>
                            <w:r>
                              <w:t xml:space="preserve">osły </w:t>
                            </w:r>
                            <w:r w:rsidRPr="000A68B1">
                              <w:t>35</w:t>
                            </w:r>
                            <w:r>
                              <w:t>2</w:t>
                            </w:r>
                            <w:r w:rsidRPr="000A68B1">
                              <w:t>,5</w:t>
                            </w:r>
                            <w:r>
                              <w:t> </w:t>
                            </w:r>
                            <w:r w:rsidRPr="000A68B1">
                              <w:t>mld</w:t>
                            </w:r>
                            <w:r>
                              <w:t xml:space="preserve"> zł, </w:t>
                            </w:r>
                            <w:r w:rsidRPr="000A68B1">
                              <w:t>a w pasywach 334,2 mld zł.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F7A5C8" id="_x0000_s1027" type="#_x0000_t202" style="position:absolute;left:0;text-align:left;margin-left:412.05pt;margin-top:32.95pt;width:125.35pt;height:68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" filled="f" stroked="f">
                <v:textbox>
                  <w:txbxContent>
                    <w:p w:rsidR="0012543B" w:rsidRPr="009711F5" w:rsidRDefault="0012543B" w:rsidP="00EC1873">
                      <w:pPr>
                        <w:pStyle w:val="tekstzboku"/>
                        <w:jc w:val="both"/>
                      </w:pPr>
                      <w:r>
                        <w:t>I</w:t>
                      </w:r>
                      <w:r w:rsidRPr="000A68B1">
                        <w:t>nstrumenty finanso</w:t>
                      </w:r>
                      <w:r>
                        <w:t>we w aktywach </w:t>
                      </w:r>
                      <w:r w:rsidRPr="000A68B1">
                        <w:t>wyni</w:t>
                      </w:r>
                      <w:r>
                        <w:t xml:space="preserve">osły </w:t>
                      </w:r>
                      <w:r w:rsidRPr="000A68B1">
                        <w:t>35</w:t>
                      </w:r>
                      <w:r>
                        <w:t>2</w:t>
                      </w:r>
                      <w:r w:rsidRPr="000A68B1">
                        <w:t>,5</w:t>
                      </w:r>
                      <w:r>
                        <w:t> </w:t>
                      </w:r>
                      <w:r w:rsidRPr="000A68B1">
                        <w:t>mld</w:t>
                      </w:r>
                      <w:r>
                        <w:t xml:space="preserve"> zł, </w:t>
                      </w:r>
                      <w:r w:rsidRPr="000A68B1">
                        <w:t>a w pasywach 334,2 mld zł.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8049B">
        <w:rPr>
          <w:rFonts w:eastAsia="Fira Sans Light" w:cs="Times New Roman"/>
          <w:b/>
          <w:noProof/>
          <w:szCs w:val="19"/>
          <w:lang w:eastAsia="pl-PL"/>
        </w:rPr>
        <w:t xml:space="preserve"> W badaniu </w:t>
      </w:r>
      <w:r>
        <w:rPr>
          <w:rFonts w:eastAsia="Fira Sans Light" w:cs="Times New Roman"/>
          <w:b/>
          <w:noProof/>
          <w:szCs w:val="19"/>
          <w:lang w:eastAsia="pl-PL"/>
        </w:rPr>
        <w:t>za 2017 </w:t>
      </w:r>
      <w:r w:rsidRPr="00B8049B">
        <w:rPr>
          <w:rFonts w:eastAsia="Fira Sans Light" w:cs="Times New Roman"/>
          <w:b/>
          <w:noProof/>
          <w:szCs w:val="19"/>
          <w:lang w:eastAsia="pl-PL"/>
        </w:rPr>
        <w:t>r. uczestniczyło 1711</w:t>
      </w:r>
      <w:r>
        <w:rPr>
          <w:rFonts w:eastAsia="Fira Sans Light" w:cs="Times New Roman"/>
          <w:b/>
          <w:noProof/>
          <w:szCs w:val="19"/>
          <w:lang w:eastAsia="pl-PL"/>
        </w:rPr>
        <w:t xml:space="preserve"> </w:t>
      </w:r>
      <w:r w:rsidRPr="00B8049B">
        <w:rPr>
          <w:rFonts w:eastAsia="Fira Sans Light" w:cs="Times New Roman"/>
          <w:b/>
          <w:noProof/>
          <w:szCs w:val="19"/>
          <w:lang w:eastAsia="pl-PL"/>
        </w:rPr>
        <w:t>podmiotów</w:t>
      </w:r>
      <w:r w:rsidRPr="00B8049B">
        <w:rPr>
          <w:rFonts w:eastAsia="Fira Sans Light" w:cs="Times New Roman"/>
          <w:b/>
          <w:noProof/>
          <w:szCs w:val="19"/>
          <w:vertAlign w:val="superscript"/>
          <w:lang w:eastAsia="pl-PL"/>
        </w:rPr>
        <w:footnoteReference w:id="1"/>
      </w:r>
      <w:r w:rsidRPr="00B8049B">
        <w:rPr>
          <w:rFonts w:eastAsia="Fira Sans Light" w:cs="Times New Roman"/>
          <w:b/>
          <w:noProof/>
          <w:szCs w:val="19"/>
          <w:lang w:eastAsia="pl-PL"/>
        </w:rPr>
        <w:t>. Instrumenty finansowe w aktywach wykazało 1641</w:t>
      </w:r>
      <w:r>
        <w:rPr>
          <w:rFonts w:eastAsia="Fira Sans Light" w:cs="Times New Roman"/>
          <w:b/>
          <w:noProof/>
          <w:szCs w:val="19"/>
          <w:lang w:eastAsia="pl-PL"/>
        </w:rPr>
        <w:t> </w:t>
      </w:r>
      <w:r w:rsidRPr="00B8049B">
        <w:rPr>
          <w:rFonts w:eastAsia="Fira Sans Light" w:cs="Times New Roman"/>
          <w:b/>
          <w:noProof/>
          <w:szCs w:val="19"/>
          <w:lang w:eastAsia="pl-PL"/>
        </w:rPr>
        <w:t>przedsiębiorstw na kwotę 352,5</w:t>
      </w:r>
      <w:r w:rsidR="0012543B">
        <w:rPr>
          <w:rFonts w:eastAsia="Fira Sans Light" w:cs="Times New Roman"/>
          <w:b/>
          <w:noProof/>
          <w:szCs w:val="19"/>
          <w:lang w:eastAsia="pl-PL"/>
        </w:rPr>
        <w:t> </w:t>
      </w:r>
      <w:r w:rsidRPr="00B8049B">
        <w:rPr>
          <w:rFonts w:eastAsia="Fira Sans Light" w:cs="Times New Roman"/>
          <w:b/>
          <w:noProof/>
          <w:szCs w:val="19"/>
          <w:lang w:eastAsia="pl-PL"/>
        </w:rPr>
        <w:t>mld</w:t>
      </w:r>
      <w:r w:rsidR="0012543B">
        <w:rPr>
          <w:rFonts w:eastAsia="Fira Sans Light" w:cs="Times New Roman"/>
          <w:b/>
          <w:noProof/>
          <w:szCs w:val="19"/>
          <w:lang w:eastAsia="pl-PL"/>
        </w:rPr>
        <w:t> </w:t>
      </w:r>
      <w:r w:rsidRPr="00B8049B">
        <w:rPr>
          <w:rFonts w:eastAsia="Fira Sans Light" w:cs="Times New Roman"/>
          <w:b/>
          <w:noProof/>
          <w:szCs w:val="19"/>
          <w:lang w:eastAsia="pl-PL"/>
        </w:rPr>
        <w:t>zł, natomiast w</w:t>
      </w:r>
      <w:r>
        <w:rPr>
          <w:rFonts w:eastAsia="Fira Sans Light" w:cs="Times New Roman"/>
          <w:b/>
          <w:noProof/>
          <w:szCs w:val="19"/>
          <w:lang w:eastAsia="pl-PL"/>
        </w:rPr>
        <w:t> </w:t>
      </w:r>
      <w:r w:rsidRPr="00B8049B">
        <w:rPr>
          <w:rFonts w:eastAsia="Fira Sans Light" w:cs="Times New Roman"/>
          <w:b/>
          <w:noProof/>
          <w:szCs w:val="19"/>
          <w:lang w:eastAsia="pl-PL"/>
        </w:rPr>
        <w:t>pasywach instrumenty finansowe wykazało 1406</w:t>
      </w:r>
      <w:r>
        <w:rPr>
          <w:rFonts w:eastAsia="Fira Sans Light" w:cs="Times New Roman"/>
          <w:b/>
          <w:noProof/>
          <w:szCs w:val="19"/>
          <w:lang w:eastAsia="pl-PL"/>
        </w:rPr>
        <w:t> </w:t>
      </w:r>
      <w:r w:rsidRPr="00B8049B">
        <w:rPr>
          <w:rFonts w:eastAsia="Fira Sans Light" w:cs="Times New Roman"/>
          <w:b/>
          <w:noProof/>
          <w:szCs w:val="19"/>
          <w:lang w:eastAsia="pl-PL"/>
        </w:rPr>
        <w:t>przedsiębiors</w:t>
      </w:r>
      <w:r>
        <w:rPr>
          <w:rFonts w:eastAsia="Fira Sans Light" w:cs="Times New Roman"/>
          <w:b/>
          <w:noProof/>
          <w:szCs w:val="19"/>
          <w:lang w:eastAsia="pl-PL"/>
        </w:rPr>
        <w:t xml:space="preserve">tw o wartości 334,2 mld zł. </w:t>
      </w:r>
      <w:r w:rsidRPr="00B8049B">
        <w:rPr>
          <w:rFonts w:eastAsia="Fira Sans Light" w:cs="Times New Roman"/>
          <w:b/>
          <w:noProof/>
          <w:szCs w:val="19"/>
          <w:lang w:eastAsia="pl-PL"/>
        </w:rPr>
        <w:t xml:space="preserve">Instrumenty pochodne w aktywach </w:t>
      </w:r>
      <w:r>
        <w:rPr>
          <w:rFonts w:eastAsia="Fira Sans Light" w:cs="Times New Roman"/>
          <w:b/>
          <w:noProof/>
          <w:szCs w:val="19"/>
          <w:lang w:eastAsia="pl-PL"/>
        </w:rPr>
        <w:t>i pasywach wykazały odpowiednio 362 i 324 badane podmioty</w:t>
      </w:r>
      <w:r w:rsidRPr="00B8049B">
        <w:rPr>
          <w:rFonts w:eastAsia="Fira Sans Light" w:cs="Times New Roman"/>
          <w:b/>
          <w:noProof/>
          <w:szCs w:val="19"/>
          <w:lang w:eastAsia="pl-PL"/>
        </w:rPr>
        <w:t xml:space="preserve"> na kwotę </w:t>
      </w:r>
      <w:r>
        <w:rPr>
          <w:rFonts w:eastAsia="Fira Sans Light" w:cs="Times New Roman"/>
          <w:b/>
          <w:noProof/>
          <w:szCs w:val="19"/>
          <w:lang w:eastAsia="pl-PL"/>
        </w:rPr>
        <w:t xml:space="preserve">7,9 mld zł i </w:t>
      </w:r>
      <w:r w:rsidRPr="00B8049B">
        <w:rPr>
          <w:rFonts w:eastAsia="Fira Sans Light" w:cs="Times New Roman"/>
          <w:b/>
          <w:noProof/>
          <w:szCs w:val="19"/>
          <w:lang w:eastAsia="pl-PL"/>
        </w:rPr>
        <w:t>6,3 mld zł.</w:t>
      </w:r>
    </w:p>
    <w:p w:rsidR="00EC1873" w:rsidRPr="00B8049B" w:rsidRDefault="00EC1873" w:rsidP="00EC1873">
      <w:pPr>
        <w:rPr>
          <w:rFonts w:eastAsia="Fira Sans Light" w:cs="Times New Roman"/>
          <w:b/>
          <w:spacing w:val="-2"/>
          <w:sz w:val="18"/>
          <w:shd w:val="clear" w:color="auto" w:fill="FFFFFF"/>
        </w:rPr>
      </w:pPr>
      <w:r w:rsidRPr="00B8049B">
        <w:rPr>
          <w:rFonts w:eastAsia="Fira Sans Light" w:cs="Times New Roman"/>
          <w:b/>
          <w:spacing w:val="-2"/>
          <w:sz w:val="18"/>
          <w:shd w:val="clear" w:color="auto" w:fill="FFFFFF"/>
        </w:rPr>
        <w:t>Tablica 1. Instrumenty finansowe i pochodne według statusu organizacyjnego przedsiębiorstw</w:t>
      </w:r>
    </w:p>
    <w:tbl>
      <w:tblPr>
        <w:tblStyle w:val="Siatkatabelijasna11"/>
        <w:tblpPr w:leftFromText="141" w:rightFromText="141" w:vertAnchor="text" w:horzAnchor="margin" w:tblpY="1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808"/>
        <w:gridCol w:w="1503"/>
        <w:gridCol w:w="1658"/>
        <w:gridCol w:w="1657"/>
        <w:gridCol w:w="1657"/>
      </w:tblGrid>
      <w:tr w:rsidR="00EC1873" w:rsidRPr="00B8049B" w:rsidTr="0012543B">
        <w:trPr>
          <w:trHeight w:val="57"/>
        </w:trPr>
        <w:tc>
          <w:tcPr>
            <w:tcW w:w="1092" w:type="pct"/>
            <w:vMerge w:val="restart"/>
            <w:vAlign w:val="center"/>
          </w:tcPr>
          <w:p w:rsidR="00EC1873" w:rsidRPr="008D45C1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</w:pPr>
            <w:r w:rsidRPr="008D45C1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907" w:type="pct"/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Przedsiębiorstwa działające</w:t>
            </w:r>
          </w:p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samodzielnie</w:t>
            </w:r>
          </w:p>
        </w:tc>
        <w:tc>
          <w:tcPr>
            <w:tcW w:w="1001" w:type="pct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Jednostki</w:t>
            </w:r>
          </w:p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dominujące w grupie kapitałowej</w:t>
            </w:r>
          </w:p>
        </w:tc>
        <w:tc>
          <w:tcPr>
            <w:tcW w:w="1000" w:type="pct"/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Jednostki</w:t>
            </w:r>
          </w:p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zależne w grupie</w:t>
            </w:r>
          </w:p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kapitałowej</w:t>
            </w:r>
          </w:p>
        </w:tc>
        <w:tc>
          <w:tcPr>
            <w:tcW w:w="1000" w:type="pct"/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Jednostki domin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u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jące i zależne w grupie kapitałowej</w:t>
            </w:r>
          </w:p>
        </w:tc>
      </w:tr>
      <w:tr w:rsidR="00EC1873" w:rsidRPr="00B8049B" w:rsidTr="0012543B">
        <w:trPr>
          <w:trHeight w:val="112"/>
        </w:trPr>
        <w:tc>
          <w:tcPr>
            <w:tcW w:w="1092" w:type="pct"/>
            <w:vMerge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908" w:type="pct"/>
            <w:gridSpan w:val="4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sz w:val="16"/>
                <w:szCs w:val="16"/>
              </w:rPr>
              <w:t>w mln zł</w:t>
            </w:r>
          </w:p>
        </w:tc>
      </w:tr>
      <w:tr w:rsidR="00EC1873" w:rsidRPr="00B8049B" w:rsidTr="0012543B">
        <w:trPr>
          <w:trHeight w:val="57"/>
        </w:trPr>
        <w:tc>
          <w:tcPr>
            <w:tcW w:w="109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keepLines/>
              <w:tabs>
                <w:tab w:val="right" w:leader="dot" w:pos="7088"/>
              </w:tabs>
              <w:spacing w:before="0" w:after="0" w:line="240" w:lineRule="auto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 xml:space="preserve">Instrumenty </w:t>
            </w:r>
          </w:p>
          <w:p w:rsidR="00EC1873" w:rsidRPr="00B8049B" w:rsidRDefault="00EC1873" w:rsidP="0012543B">
            <w:pPr>
              <w:keepLines/>
              <w:tabs>
                <w:tab w:val="right" w:leader="dot" w:pos="7088"/>
              </w:tabs>
              <w:spacing w:before="0" w:after="0" w:line="240" w:lineRule="auto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finansowe - aktywa</w:t>
            </w:r>
          </w:p>
        </w:tc>
        <w:tc>
          <w:tcPr>
            <w:tcW w:w="907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18 721,6</w:t>
            </w:r>
          </w:p>
        </w:tc>
        <w:tc>
          <w:tcPr>
            <w:tcW w:w="1001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200 901,1</w:t>
            </w:r>
          </w:p>
        </w:tc>
        <w:tc>
          <w:tcPr>
            <w:tcW w:w="1000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45 687,3</w:t>
            </w:r>
          </w:p>
        </w:tc>
        <w:tc>
          <w:tcPr>
            <w:tcW w:w="1000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87 243,5</w:t>
            </w:r>
          </w:p>
        </w:tc>
      </w:tr>
      <w:tr w:rsidR="00EC1873" w:rsidRPr="00B8049B" w:rsidTr="0012543B">
        <w:trPr>
          <w:trHeight w:val="57"/>
        </w:trPr>
        <w:tc>
          <w:tcPr>
            <w:tcW w:w="1092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keepLines/>
              <w:tabs>
                <w:tab w:val="right" w:leader="dot" w:pos="7088"/>
              </w:tabs>
              <w:spacing w:before="0" w:after="0" w:line="240" w:lineRule="auto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 xml:space="preserve">Instrumenty </w:t>
            </w:r>
          </w:p>
          <w:p w:rsidR="00EC1873" w:rsidRPr="00B8049B" w:rsidRDefault="00EC1873" w:rsidP="0012543B">
            <w:pPr>
              <w:keepLines/>
              <w:tabs>
                <w:tab w:val="right" w:leader="dot" w:pos="7088"/>
              </w:tabs>
              <w:spacing w:before="0" w:after="0" w:line="240" w:lineRule="auto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finansowe - pasywa</w:t>
            </w:r>
          </w:p>
        </w:tc>
        <w:tc>
          <w:tcPr>
            <w:tcW w:w="907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17 300,4</w:t>
            </w:r>
          </w:p>
        </w:tc>
        <w:tc>
          <w:tcPr>
            <w:tcW w:w="1001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144 698,3</w:t>
            </w:r>
          </w:p>
        </w:tc>
        <w:tc>
          <w:tcPr>
            <w:tcW w:w="1000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39 963,7</w:t>
            </w:r>
          </w:p>
        </w:tc>
        <w:tc>
          <w:tcPr>
            <w:tcW w:w="1000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132 197,0</w:t>
            </w:r>
          </w:p>
        </w:tc>
      </w:tr>
      <w:tr w:rsidR="00EC1873" w:rsidRPr="00B8049B" w:rsidTr="0012543B">
        <w:trPr>
          <w:trHeight w:val="57"/>
        </w:trPr>
        <w:tc>
          <w:tcPr>
            <w:tcW w:w="1092" w:type="pct"/>
            <w:vAlign w:val="bottom"/>
          </w:tcPr>
          <w:p w:rsidR="00EC1873" w:rsidRPr="00B8049B" w:rsidRDefault="00EC1873" w:rsidP="0012543B">
            <w:pPr>
              <w:keepLines/>
              <w:tabs>
                <w:tab w:val="right" w:leader="dot" w:pos="7088"/>
              </w:tabs>
              <w:spacing w:before="0" w:after="0" w:line="240" w:lineRule="auto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 xml:space="preserve">Instrumenty </w:t>
            </w:r>
          </w:p>
          <w:p w:rsidR="00EC1873" w:rsidRPr="00B8049B" w:rsidRDefault="00EC1873" w:rsidP="0012543B">
            <w:pPr>
              <w:keepLines/>
              <w:tabs>
                <w:tab w:val="right" w:leader="dot" w:pos="7088"/>
              </w:tabs>
              <w:spacing w:before="0" w:after="0" w:line="240" w:lineRule="auto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pochodne - aktywa</w:t>
            </w:r>
          </w:p>
        </w:tc>
        <w:tc>
          <w:tcPr>
            <w:tcW w:w="907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475,9</w:t>
            </w:r>
          </w:p>
        </w:tc>
        <w:tc>
          <w:tcPr>
            <w:tcW w:w="100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1 831,3</w:t>
            </w:r>
          </w:p>
        </w:tc>
        <w:tc>
          <w:tcPr>
            <w:tcW w:w="1000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4 472,7</w:t>
            </w:r>
          </w:p>
        </w:tc>
        <w:tc>
          <w:tcPr>
            <w:tcW w:w="1000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1 101,3</w:t>
            </w:r>
          </w:p>
        </w:tc>
      </w:tr>
      <w:tr w:rsidR="00EC1873" w:rsidRPr="00B8049B" w:rsidTr="0012543B">
        <w:trPr>
          <w:trHeight w:val="57"/>
        </w:trPr>
        <w:tc>
          <w:tcPr>
            <w:tcW w:w="1092" w:type="pct"/>
            <w:vAlign w:val="bottom"/>
          </w:tcPr>
          <w:p w:rsidR="00EC1873" w:rsidRPr="00B8049B" w:rsidRDefault="00EC1873" w:rsidP="0012543B">
            <w:pPr>
              <w:keepLines/>
              <w:tabs>
                <w:tab w:val="right" w:leader="dot" w:pos="7088"/>
              </w:tabs>
              <w:spacing w:before="0" w:after="0" w:line="240" w:lineRule="auto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 xml:space="preserve">Instrumenty </w:t>
            </w:r>
          </w:p>
          <w:p w:rsidR="00EC1873" w:rsidRPr="00B8049B" w:rsidRDefault="00EC1873" w:rsidP="0012543B">
            <w:pPr>
              <w:keepLines/>
              <w:tabs>
                <w:tab w:val="right" w:leader="dot" w:pos="7088"/>
              </w:tabs>
              <w:spacing w:before="0" w:after="0" w:line="240" w:lineRule="auto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pochodne - pasywa</w:t>
            </w:r>
          </w:p>
        </w:tc>
        <w:tc>
          <w:tcPr>
            <w:tcW w:w="907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383,2</w:t>
            </w:r>
          </w:p>
        </w:tc>
        <w:tc>
          <w:tcPr>
            <w:tcW w:w="100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886,0</w:t>
            </w:r>
          </w:p>
        </w:tc>
        <w:tc>
          <w:tcPr>
            <w:tcW w:w="1000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4 120,3</w:t>
            </w:r>
          </w:p>
        </w:tc>
        <w:tc>
          <w:tcPr>
            <w:tcW w:w="1000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944,7</w:t>
            </w:r>
          </w:p>
        </w:tc>
      </w:tr>
    </w:tbl>
    <w:p w:rsidR="00EC1873" w:rsidRPr="00B8049B" w:rsidRDefault="00EC1873" w:rsidP="00EC1873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B8049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Podstawowe in</w:t>
      </w: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formacje na temat badanych przedsiębiorstw</w:t>
      </w:r>
    </w:p>
    <w:p w:rsidR="00EC1873" w:rsidRPr="00B8049B" w:rsidRDefault="00EC1873" w:rsidP="00EC1873">
      <w:pPr>
        <w:keepNext/>
        <w:spacing w:line="240" w:lineRule="auto"/>
        <w:jc w:val="both"/>
        <w:outlineLvl w:val="0"/>
        <w:rPr>
          <w:rFonts w:eastAsia="Times New Roman" w:cs="Times New Roman"/>
          <w:bCs/>
          <w:szCs w:val="24"/>
          <w:shd w:val="clear" w:color="auto" w:fill="FFFFFF"/>
          <w:lang w:eastAsia="pl-PL"/>
        </w:rPr>
      </w:pPr>
      <w:r w:rsidRPr="00B8049B">
        <w:rPr>
          <w:rFonts w:eastAsia="Times New Roman" w:cs="Times New Roman"/>
          <w:bCs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21F7578D" wp14:editId="28E68C66">
                <wp:simplePos x="0" y="0"/>
                <wp:positionH relativeFrom="column">
                  <wp:posOffset>5222240</wp:posOffset>
                </wp:positionH>
                <wp:positionV relativeFrom="paragraph">
                  <wp:posOffset>37465</wp:posOffset>
                </wp:positionV>
                <wp:extent cx="1725295" cy="1010285"/>
                <wp:effectExtent l="0" t="0" r="0" b="0"/>
                <wp:wrapTight wrapText="bothSides">
                  <wp:wrapPolygon edited="0">
                    <wp:start x="715" y="0"/>
                    <wp:lineTo x="715" y="21179"/>
                    <wp:lineTo x="20749" y="21179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0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43B" w:rsidRPr="00D616D2" w:rsidRDefault="0012543B" w:rsidP="00EC187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badaniu uczestniczyło 1711 podmiotów, w tym 1533 to jednostki  z sektora prywatnego.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F7578D" id="_x0000_s1028" type="#_x0000_t202" style="position:absolute;left:0;text-align:left;margin-left:411.2pt;margin-top:2.95pt;width:135.85pt;height:79.5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" filled="f" stroked="f">
                <v:textbox>
                  <w:txbxContent>
                    <w:p w:rsidR="0012543B" w:rsidRPr="00D616D2" w:rsidRDefault="0012543B" w:rsidP="00EC187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badaniu uczestniczyło 1711 podmiotów, w tym 1533 to jednostki  z sektora prywatnego.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8049B">
        <w:rPr>
          <w:rFonts w:eastAsia="Times New Roman" w:cs="Times New Roman"/>
          <w:bCs/>
          <w:szCs w:val="24"/>
          <w:shd w:val="clear" w:color="auto" w:fill="FFFFFF"/>
          <w:lang w:eastAsia="pl-PL"/>
        </w:rPr>
        <w:t>W niniejszej informacji przedstawiono wyniki badania przedsiębiorstw niefinansowych, które wykazały w b</w:t>
      </w:r>
      <w:r>
        <w:rPr>
          <w:rFonts w:eastAsia="Times New Roman" w:cs="Times New Roman"/>
          <w:bCs/>
          <w:szCs w:val="24"/>
          <w:shd w:val="clear" w:color="auto" w:fill="FFFFFF"/>
          <w:lang w:eastAsia="pl-PL"/>
        </w:rPr>
        <w:t>ilansach instrumenty finansowe</w:t>
      </w:r>
      <w:r w:rsidRPr="00B8049B">
        <w:rPr>
          <w:rFonts w:eastAsia="Times New Roman" w:cs="Times New Roman"/>
          <w:bCs/>
          <w:szCs w:val="24"/>
          <w:shd w:val="clear" w:color="auto" w:fill="FFFFFF"/>
          <w:vertAlign w:val="superscript"/>
          <w:lang w:eastAsia="pl-PL"/>
        </w:rPr>
        <w:footnoteReference w:id="2"/>
      </w:r>
      <w:r w:rsidRPr="00B8049B">
        <w:rPr>
          <w:rFonts w:eastAsia="Times New Roman" w:cs="Times New Roman"/>
          <w:bCs/>
          <w:szCs w:val="24"/>
          <w:shd w:val="clear" w:color="auto" w:fill="FFFFFF"/>
          <w:lang w:eastAsia="pl-PL"/>
        </w:rPr>
        <w:t>. Wśród badanych przedsiębiorstw zdecydow</w:t>
      </w:r>
      <w:r w:rsidRPr="00B8049B">
        <w:rPr>
          <w:rFonts w:eastAsia="Times New Roman" w:cs="Times New Roman"/>
          <w:bCs/>
          <w:szCs w:val="24"/>
          <w:shd w:val="clear" w:color="auto" w:fill="FFFFFF"/>
          <w:lang w:eastAsia="pl-PL"/>
        </w:rPr>
        <w:t>a</w:t>
      </w:r>
      <w:r w:rsidRPr="00B8049B">
        <w:rPr>
          <w:rFonts w:eastAsia="Times New Roman" w:cs="Times New Roman"/>
          <w:bCs/>
          <w:szCs w:val="24"/>
          <w:shd w:val="clear" w:color="auto" w:fill="FFFFFF"/>
          <w:lang w:eastAsia="pl-PL"/>
        </w:rPr>
        <w:t>ną większość, czyli 89,6%, stanowiły podmioty należące do sektora prywatnego. Udział prze</w:t>
      </w:r>
      <w:r w:rsidRPr="00B8049B">
        <w:rPr>
          <w:rFonts w:eastAsia="Times New Roman" w:cs="Times New Roman"/>
          <w:bCs/>
          <w:szCs w:val="24"/>
          <w:shd w:val="clear" w:color="auto" w:fill="FFFFFF"/>
          <w:lang w:eastAsia="pl-PL"/>
        </w:rPr>
        <w:t>d</w:t>
      </w:r>
      <w:r w:rsidRPr="00B8049B">
        <w:rPr>
          <w:rFonts w:eastAsia="Times New Roman" w:cs="Times New Roman"/>
          <w:bCs/>
          <w:szCs w:val="24"/>
          <w:shd w:val="clear" w:color="auto" w:fill="FFFFFF"/>
          <w:lang w:eastAsia="pl-PL"/>
        </w:rPr>
        <w:t xml:space="preserve">siębiorstw należących do sektora publicznego wyniósł 10,4%. </w:t>
      </w:r>
    </w:p>
    <w:p w:rsidR="00EC1873" w:rsidRPr="00B8049B" w:rsidRDefault="00EC1873" w:rsidP="00EC1873">
      <w:pPr>
        <w:jc w:val="both"/>
        <w:rPr>
          <w:rFonts w:eastAsia="Fira Sans Light" w:cs="Times New Roman"/>
          <w:b/>
          <w:sz w:val="18"/>
          <w:szCs w:val="18"/>
          <w:shd w:val="clear" w:color="auto" w:fill="FFFFFF"/>
        </w:rPr>
      </w:pPr>
      <w:r w:rsidRPr="00B8049B">
        <w:rPr>
          <w:rFonts w:eastAsia="Fira Sans Light" w:cs="Times New Roman"/>
          <w:b/>
          <w:sz w:val="18"/>
          <w:szCs w:val="18"/>
          <w:shd w:val="clear" w:color="auto" w:fill="FFFFFF"/>
        </w:rPr>
        <w:t>Wykres 1. Badane przedsiębiorstwa niefinansowe według sekcji PKD</w:t>
      </w:r>
    </w:p>
    <w:p w:rsidR="00EC1873" w:rsidRPr="00B8049B" w:rsidRDefault="00EC1873" w:rsidP="00EC1873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B8049B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drawing>
          <wp:inline distT="0" distB="0" distL="0" distR="0" wp14:anchorId="2FA4E62B" wp14:editId="641ED38A">
            <wp:extent cx="5120640" cy="1140310"/>
            <wp:effectExtent l="0" t="0" r="3810" b="3175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B8049B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A63FC2" wp14:editId="3DE8BB29">
                <wp:simplePos x="0" y="0"/>
                <wp:positionH relativeFrom="column">
                  <wp:posOffset>3362325</wp:posOffset>
                </wp:positionH>
                <wp:positionV relativeFrom="paragraph">
                  <wp:posOffset>1397000</wp:posOffset>
                </wp:positionV>
                <wp:extent cx="495300" cy="333375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543B" w:rsidRPr="000F14E6" w:rsidRDefault="0012543B" w:rsidP="00EC187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A63FC2" id="Pole tekstowe 17" o:spid="_x0000_s1029" type="#_x0000_t202" style="position:absolute;margin-left:264.75pt;margin-top:110pt;width:39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" filled="f" stroked="f" strokeweight=".5pt">
                <v:textbox>
                  <w:txbxContent>
                    <w:p w:rsidR="0012543B" w:rsidRPr="000F14E6" w:rsidRDefault="0012543B" w:rsidP="00EC187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49B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60EAE3" wp14:editId="351FDBE2">
                <wp:simplePos x="0" y="0"/>
                <wp:positionH relativeFrom="column">
                  <wp:posOffset>3333750</wp:posOffset>
                </wp:positionH>
                <wp:positionV relativeFrom="paragraph">
                  <wp:posOffset>2006600</wp:posOffset>
                </wp:positionV>
                <wp:extent cx="457200" cy="323850"/>
                <wp:effectExtent l="0" t="0" r="0" b="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543B" w:rsidRPr="000F14E6" w:rsidRDefault="0012543B" w:rsidP="00EC18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60EAE3" id="Pole tekstowe 15" o:spid="_x0000_s1030" type="#_x0000_t202" style="position:absolute;margin-left:262.5pt;margin-top:158pt;width:36pt;height: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" filled="f" stroked="f" strokeweight=".5pt">
                <v:textbox>
                  <w:txbxContent>
                    <w:p w:rsidR="0012543B" w:rsidRPr="000F14E6" w:rsidRDefault="0012543B" w:rsidP="00EC187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49B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4349A4" wp14:editId="0A6CD892">
                <wp:simplePos x="0" y="0"/>
                <wp:positionH relativeFrom="column">
                  <wp:posOffset>3114676</wp:posOffset>
                </wp:positionH>
                <wp:positionV relativeFrom="paragraph">
                  <wp:posOffset>2759075</wp:posOffset>
                </wp:positionV>
                <wp:extent cx="400050" cy="36195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543B" w:rsidRPr="00775B09" w:rsidRDefault="0012543B" w:rsidP="00EC18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4349A4" id="Pole tekstowe 13" o:spid="_x0000_s1031" type="#_x0000_t202" style="position:absolute;margin-left:245.25pt;margin-top:217.25pt;width:31.5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" filled="f" stroked="f" strokeweight=".5pt">
                <v:textbox>
                  <w:txbxContent>
                    <w:p w:rsidR="0012543B" w:rsidRPr="00775B09" w:rsidRDefault="0012543B" w:rsidP="00EC187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49B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BD112A" wp14:editId="4C482D9B">
                <wp:simplePos x="0" y="0"/>
                <wp:positionH relativeFrom="column">
                  <wp:posOffset>2905125</wp:posOffset>
                </wp:positionH>
                <wp:positionV relativeFrom="paragraph">
                  <wp:posOffset>1730375</wp:posOffset>
                </wp:positionV>
                <wp:extent cx="485775" cy="40005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543B" w:rsidRPr="00775B09" w:rsidRDefault="0012543B" w:rsidP="00EC187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BD112A" id="Pole tekstowe 12" o:spid="_x0000_s1032" type="#_x0000_t202" style="position:absolute;margin-left:228.75pt;margin-top:136.25pt;width:38.25pt;height:3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" filled="f" stroked="f" strokeweight=".5pt">
                <v:textbox>
                  <w:txbxContent>
                    <w:p w:rsidR="0012543B" w:rsidRPr="00775B09" w:rsidRDefault="0012543B" w:rsidP="00EC187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49B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0A79BD" wp14:editId="14ED06C1">
                <wp:simplePos x="0" y="0"/>
                <wp:positionH relativeFrom="column">
                  <wp:posOffset>2905125</wp:posOffset>
                </wp:positionH>
                <wp:positionV relativeFrom="paragraph">
                  <wp:posOffset>2378075</wp:posOffset>
                </wp:positionV>
                <wp:extent cx="485775" cy="323850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543B" w:rsidRPr="00775B09" w:rsidRDefault="0012543B" w:rsidP="00EC18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0A79BD" id="Pole tekstowe 7" o:spid="_x0000_s1033" type="#_x0000_t202" style="position:absolute;margin-left:228.75pt;margin-top:187.25pt;width:38.25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" filled="f" stroked="f" strokeweight=".5pt">
                <v:textbox>
                  <w:txbxContent>
                    <w:p w:rsidR="0012543B" w:rsidRPr="00775B09" w:rsidRDefault="0012543B" w:rsidP="00EC187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873" w:rsidRPr="00B8049B" w:rsidRDefault="00EC1873" w:rsidP="00EC1873">
      <w:pPr>
        <w:spacing w:before="0" w:after="0" w:line="240" w:lineRule="auto"/>
        <w:jc w:val="both"/>
        <w:rPr>
          <w:rFonts w:eastAsia="Fira Sans Light" w:cs="Times New Roman"/>
          <w:sz w:val="16"/>
          <w:szCs w:val="16"/>
          <w:shd w:val="clear" w:color="auto" w:fill="FFFFFF"/>
        </w:rPr>
      </w:pPr>
      <w:r w:rsidRPr="00B8049B">
        <w:rPr>
          <w:rFonts w:eastAsia="Fira Sans Light" w:cs="Times New Roman"/>
          <w:sz w:val="16"/>
          <w:szCs w:val="16"/>
          <w:shd w:val="clear" w:color="auto" w:fill="FFFFFF"/>
        </w:rPr>
        <w:t>Badane podmioty niefinansowe działające w sekcjach PKD 2007: B – Górnictwo i wydobywanie, C – Przetwó</w:t>
      </w:r>
      <w:r w:rsidRPr="00B8049B">
        <w:rPr>
          <w:rFonts w:eastAsia="Fira Sans Light" w:cs="Times New Roman"/>
          <w:sz w:val="16"/>
          <w:szCs w:val="16"/>
          <w:shd w:val="clear" w:color="auto" w:fill="FFFFFF"/>
        </w:rPr>
        <w:t>r</w:t>
      </w:r>
      <w:r w:rsidRPr="00B8049B">
        <w:rPr>
          <w:rFonts w:eastAsia="Fira Sans Light" w:cs="Times New Roman"/>
          <w:sz w:val="16"/>
          <w:szCs w:val="16"/>
          <w:shd w:val="clear" w:color="auto" w:fill="FFFFFF"/>
        </w:rPr>
        <w:t>stwo przemysłowe, D – Wytwarzanie i zaopatrywanie w energię elektryczną, gaz, parę wodną i gorącą wodę, E – Dostawa wody, gospodarowanie ściekami i odpadami, rekultywacja, F – Budownictwo, G – Handel hurtowy i</w:t>
      </w:r>
      <w:r w:rsidR="00664D6E">
        <w:rPr>
          <w:rFonts w:eastAsia="Fira Sans Light" w:cs="Times New Roman"/>
          <w:sz w:val="16"/>
          <w:szCs w:val="16"/>
          <w:shd w:val="clear" w:color="auto" w:fill="FFFFFF"/>
        </w:rPr>
        <w:t> </w:t>
      </w:r>
      <w:r w:rsidRPr="00B8049B">
        <w:rPr>
          <w:rFonts w:eastAsia="Fira Sans Light" w:cs="Times New Roman"/>
          <w:sz w:val="16"/>
          <w:szCs w:val="16"/>
          <w:shd w:val="clear" w:color="auto" w:fill="FFFFFF"/>
        </w:rPr>
        <w:t>detaliczny, naprawa pojazdów samochodowych, motocykli, H – Transport i gospodarka magazynowa, J – I</w:t>
      </w:r>
      <w:r w:rsidRPr="00B8049B">
        <w:rPr>
          <w:rFonts w:eastAsia="Fira Sans Light" w:cs="Times New Roman"/>
          <w:sz w:val="16"/>
          <w:szCs w:val="16"/>
          <w:shd w:val="clear" w:color="auto" w:fill="FFFFFF"/>
        </w:rPr>
        <w:t>n</w:t>
      </w:r>
      <w:r w:rsidRPr="00B8049B">
        <w:rPr>
          <w:rFonts w:eastAsia="Fira Sans Light" w:cs="Times New Roman"/>
          <w:sz w:val="16"/>
          <w:szCs w:val="16"/>
          <w:shd w:val="clear" w:color="auto" w:fill="FFFFFF"/>
        </w:rPr>
        <w:t>formacja i komunikacja,  L – Działalność związana z obsługą rynku nieruchomości, M – Działalność profesjona</w:t>
      </w:r>
      <w:r w:rsidRPr="00B8049B">
        <w:rPr>
          <w:rFonts w:eastAsia="Fira Sans Light" w:cs="Times New Roman"/>
          <w:sz w:val="16"/>
          <w:szCs w:val="16"/>
          <w:shd w:val="clear" w:color="auto" w:fill="FFFFFF"/>
        </w:rPr>
        <w:t>l</w:t>
      </w:r>
      <w:r w:rsidRPr="00B8049B">
        <w:rPr>
          <w:rFonts w:eastAsia="Fira Sans Light" w:cs="Times New Roman"/>
          <w:sz w:val="16"/>
          <w:szCs w:val="16"/>
          <w:shd w:val="clear" w:color="auto" w:fill="FFFFFF"/>
        </w:rPr>
        <w:t>na, naukowa i techniczna, N – Działalność w zakresie usług administrowania i działalność wspierająca.</w:t>
      </w:r>
    </w:p>
    <w:p w:rsidR="00EC1873" w:rsidRPr="00B8049B" w:rsidRDefault="00EC1873" w:rsidP="00EC1873">
      <w:pPr>
        <w:jc w:val="both"/>
        <w:rPr>
          <w:rFonts w:eastAsia="Fira Sans Light" w:cs="Times New Roman"/>
          <w:shd w:val="clear" w:color="auto" w:fill="FFFFFF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28CB57" wp14:editId="0C0DAF69">
                <wp:simplePos x="0" y="0"/>
                <wp:positionH relativeFrom="column">
                  <wp:posOffset>5209540</wp:posOffset>
                </wp:positionH>
                <wp:positionV relativeFrom="paragraph">
                  <wp:posOffset>812800</wp:posOffset>
                </wp:positionV>
                <wp:extent cx="1720850" cy="925158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925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43B" w:rsidRPr="00FB7557" w:rsidRDefault="0012543B" w:rsidP="00EC1873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Przedsiębiorstwa o liczbie pracujących powyżej 249 osób stanowiły 47,9% ogółu badanych.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28CB57" id="Pole tekstowe 5" o:spid="_x0000_s1034" type="#_x0000_t202" style="position:absolute;left:0;text-align:left;margin-left:410.2pt;margin-top:64pt;width:135.5pt;height:72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" filled="f" stroked="f" strokeweight=".5pt">
                <v:textbox>
                  <w:txbxContent>
                    <w:p w:rsidR="0012543B" w:rsidRPr="00FB7557" w:rsidRDefault="0012543B" w:rsidP="00EC1873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FB7557">
                        <w:rPr>
                          <w:color w:val="002060"/>
                          <w:sz w:val="18"/>
                          <w:szCs w:val="18"/>
                        </w:rPr>
                        <w:t>Przedsiębiorstwa o liczbie pracujących powyżej 249 osób stanowiły 47,9% ogółu badanych.</w:t>
                      </w:r>
                    </w:p>
                  </w:txbxContent>
                </v:textbox>
              </v:shape>
            </w:pict>
          </mc:Fallback>
        </mc:AlternateContent>
      </w:r>
      <w:r w:rsidRPr="00B8049B">
        <w:rPr>
          <w:rFonts w:eastAsia="Fira Sans Light" w:cs="Times New Roman"/>
          <w:shd w:val="clear" w:color="auto" w:fill="FFFFFF"/>
        </w:rPr>
        <w:t>Ze względu na formę prawną, wśród badanej zbiorowości 97,4% ogólnej liczby podmiotów było zorganizowanych w formie spółek: akcyjnych – 602, z ograniczoną odpowiedzialnością – 920, jawnych – 38, komandytowych – 97 oraz komandytowo-akcyjnych – 9. Pozostałe podmi</w:t>
      </w:r>
      <w:r w:rsidRPr="00B8049B">
        <w:rPr>
          <w:rFonts w:eastAsia="Fira Sans Light" w:cs="Times New Roman"/>
          <w:shd w:val="clear" w:color="auto" w:fill="FFFFFF"/>
        </w:rPr>
        <w:t>o</w:t>
      </w:r>
      <w:r w:rsidRPr="00B8049B">
        <w:rPr>
          <w:rFonts w:eastAsia="Fira Sans Light" w:cs="Times New Roman"/>
          <w:shd w:val="clear" w:color="auto" w:fill="FFFFFF"/>
        </w:rPr>
        <w:t>ty stanowiły 2,6% ogółu badanych, wśród nich było 39 spółdzielni. Spośród badanych prze</w:t>
      </w:r>
      <w:r w:rsidRPr="00B8049B">
        <w:rPr>
          <w:rFonts w:eastAsia="Fira Sans Light" w:cs="Times New Roman"/>
          <w:shd w:val="clear" w:color="auto" w:fill="FFFFFF"/>
        </w:rPr>
        <w:t>d</w:t>
      </w:r>
      <w:r w:rsidRPr="00B8049B">
        <w:rPr>
          <w:rFonts w:eastAsia="Fira Sans Light" w:cs="Times New Roman"/>
          <w:shd w:val="clear" w:color="auto" w:fill="FFFFFF"/>
        </w:rPr>
        <w:t>siębiorstw 159 to spółki, których akcje notowane były na rynku regulowanym, z tego</w:t>
      </w:r>
      <w:r>
        <w:rPr>
          <w:rFonts w:eastAsia="Fira Sans Light" w:cs="Times New Roman"/>
          <w:shd w:val="clear" w:color="auto" w:fill="FFFFFF"/>
        </w:rPr>
        <w:t>:</w:t>
      </w:r>
      <w:r w:rsidRPr="00B8049B">
        <w:rPr>
          <w:rFonts w:eastAsia="Fira Sans Light" w:cs="Times New Roman"/>
          <w:shd w:val="clear" w:color="auto" w:fill="FFFFFF"/>
        </w:rPr>
        <w:t xml:space="preserve"> jednos</w:t>
      </w:r>
      <w:r w:rsidRPr="00B8049B">
        <w:rPr>
          <w:rFonts w:eastAsia="Fira Sans Light" w:cs="Times New Roman"/>
          <w:shd w:val="clear" w:color="auto" w:fill="FFFFFF"/>
        </w:rPr>
        <w:t>t</w:t>
      </w:r>
      <w:r>
        <w:rPr>
          <w:rFonts w:eastAsia="Fira Sans Light" w:cs="Times New Roman"/>
          <w:shd w:val="clear" w:color="auto" w:fill="FFFFFF"/>
        </w:rPr>
        <w:t xml:space="preserve">ki </w:t>
      </w:r>
      <w:r w:rsidRPr="00B8049B">
        <w:rPr>
          <w:rFonts w:eastAsia="Fira Sans Light" w:cs="Times New Roman"/>
          <w:shd w:val="clear" w:color="auto" w:fill="FFFFFF"/>
        </w:rPr>
        <w:t>dominujące w grupie kapitałowej – 105, zależne – 9, dominujące i zależne – 35 oraz 10</w:t>
      </w:r>
      <w:r w:rsidR="00664D6E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 xml:space="preserve">przedsiębiorstw działających samodzielnie. </w:t>
      </w:r>
    </w:p>
    <w:p w:rsidR="00EC1873" w:rsidRPr="00B8049B" w:rsidRDefault="00EC1873" w:rsidP="00EC1873">
      <w:pPr>
        <w:jc w:val="both"/>
        <w:rPr>
          <w:rFonts w:eastAsia="Fira Sans Light" w:cs="Times New Roman"/>
          <w:shd w:val="clear" w:color="auto" w:fill="FFFFFF"/>
        </w:rPr>
      </w:pPr>
      <w:r w:rsidRPr="00B8049B">
        <w:rPr>
          <w:rFonts w:eastAsia="Fira Sans Light" w:cs="Times New Roman"/>
          <w:shd w:val="clear" w:color="auto" w:fill="FFFFFF"/>
        </w:rPr>
        <w:t>W 2017</w:t>
      </w:r>
      <w:r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r. w badanych przedsiębiorstwach pracowało 1</w:t>
      </w:r>
      <w:r w:rsidR="0012543B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547,6</w:t>
      </w:r>
      <w:r w:rsidR="0012543B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tys. osób, z tego w podmiotach o</w:t>
      </w:r>
      <w:r w:rsidR="0012543B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liczbie pracujących powyżej 249 pracowało – 1</w:t>
      </w:r>
      <w:r w:rsidR="0012543B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387,9</w:t>
      </w:r>
      <w:r w:rsidR="0012543B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tys. osób, a w przedsiębiorstwach o</w:t>
      </w:r>
      <w:r w:rsidR="0012543B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liczbie pracujących do 249 było to 159,7 tys. osób. W przedsiębiorstwach działających s</w:t>
      </w:r>
      <w:r w:rsidRPr="00B8049B">
        <w:rPr>
          <w:rFonts w:eastAsia="Fira Sans Light" w:cs="Times New Roman"/>
          <w:shd w:val="clear" w:color="auto" w:fill="FFFFFF"/>
        </w:rPr>
        <w:t>a</w:t>
      </w:r>
      <w:r w:rsidRPr="00B8049B">
        <w:rPr>
          <w:rFonts w:eastAsia="Fira Sans Light" w:cs="Times New Roman"/>
          <w:shd w:val="clear" w:color="auto" w:fill="FFFFFF"/>
        </w:rPr>
        <w:t>modzielnie zatrudnionych było 170,6</w:t>
      </w:r>
      <w:r w:rsidR="0012543B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tys. osób, w jednostkach dominujących – 289,8 tys., w</w:t>
      </w:r>
      <w:r w:rsidR="0012543B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zależnych – 351,7</w:t>
      </w:r>
      <w:r w:rsidR="0012543B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tys., a w dominujących i zależnych – 368,6</w:t>
      </w:r>
      <w:r w:rsidR="0012543B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tys. osób.</w:t>
      </w:r>
    </w:p>
    <w:p w:rsidR="00EC1873" w:rsidRPr="00B8049B" w:rsidRDefault="00EC1873" w:rsidP="00EC1873">
      <w:pPr>
        <w:spacing w:before="0" w:after="0"/>
        <w:jc w:val="both"/>
        <w:rPr>
          <w:rFonts w:eastAsia="Fira Sans Light" w:cs="Times New Roman"/>
          <w:b/>
          <w:sz w:val="18"/>
          <w:szCs w:val="18"/>
          <w:shd w:val="clear" w:color="auto" w:fill="FFFFFF"/>
        </w:rPr>
      </w:pPr>
      <w:r w:rsidRPr="00B8049B">
        <w:rPr>
          <w:rFonts w:eastAsia="Fira Sans Light" w:cs="Times New Roman"/>
          <w:b/>
          <w:sz w:val="18"/>
          <w:szCs w:val="18"/>
          <w:shd w:val="clear" w:color="auto" w:fill="FFFFFF"/>
        </w:rPr>
        <w:t xml:space="preserve">Tablica 2. Badane przedsiębiorstwa niefinansowe według liczby pracujących i statusu </w:t>
      </w:r>
    </w:p>
    <w:p w:rsidR="00EC1873" w:rsidRPr="00B8049B" w:rsidRDefault="00EC1873" w:rsidP="00EC1873">
      <w:pPr>
        <w:spacing w:before="0" w:after="0"/>
        <w:ind w:left="708"/>
        <w:jc w:val="both"/>
        <w:rPr>
          <w:rFonts w:eastAsia="Fira Sans Light" w:cs="Times New Roman"/>
          <w:b/>
          <w:sz w:val="18"/>
          <w:szCs w:val="18"/>
          <w:shd w:val="clear" w:color="auto" w:fill="FFFFFF"/>
        </w:rPr>
      </w:pPr>
      <w:r w:rsidRPr="00B8049B">
        <w:rPr>
          <w:rFonts w:eastAsia="Fira Sans Light" w:cs="Times New Roman"/>
          <w:b/>
          <w:sz w:val="18"/>
          <w:szCs w:val="18"/>
          <w:shd w:val="clear" w:color="auto" w:fill="FFFFFF"/>
        </w:rPr>
        <w:t xml:space="preserve">   organizacyjnego</w:t>
      </w:r>
    </w:p>
    <w:tbl>
      <w:tblPr>
        <w:tblStyle w:val="Siatkatabelijasna11"/>
        <w:tblpPr w:leftFromText="141" w:rightFromText="141" w:vertAnchor="text" w:horzAnchor="margin" w:tblpY="1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376"/>
        <w:gridCol w:w="1397"/>
        <w:gridCol w:w="1128"/>
        <w:gridCol w:w="1128"/>
        <w:gridCol w:w="1128"/>
        <w:gridCol w:w="1126"/>
      </w:tblGrid>
      <w:tr w:rsidR="00EC1873" w:rsidRPr="00B8049B" w:rsidTr="0012543B">
        <w:trPr>
          <w:trHeight w:val="369"/>
        </w:trPr>
        <w:tc>
          <w:tcPr>
            <w:tcW w:w="1434" w:type="pct"/>
            <w:vMerge w:val="restart"/>
            <w:vAlign w:val="center"/>
          </w:tcPr>
          <w:p w:rsidR="00EC1873" w:rsidRPr="008D45C1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8D45C1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WYSZCZEGÓLNIENIE</w:t>
            </w:r>
            <w:bookmarkStart w:id="0" w:name="_GoBack"/>
            <w:bookmarkEnd w:id="0"/>
          </w:p>
        </w:tc>
        <w:tc>
          <w:tcPr>
            <w:tcW w:w="843" w:type="pct"/>
            <w:vMerge w:val="restart"/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l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iczba </w:t>
            </w:r>
          </w:p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przedsiębiorstw</w:t>
            </w:r>
          </w:p>
        </w:tc>
        <w:tc>
          <w:tcPr>
            <w:tcW w:w="681" w:type="pct"/>
            <w:vMerge w:val="restart"/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l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iczba </w:t>
            </w:r>
            <w:proofErr w:type="spellStart"/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przeds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>ięb</w:t>
            </w:r>
            <w:proofErr w:type="spellEnd"/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>o 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liczbie prac. &lt;=249</w:t>
            </w:r>
          </w:p>
        </w:tc>
        <w:tc>
          <w:tcPr>
            <w:tcW w:w="681" w:type="pct"/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s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truktura</w:t>
            </w:r>
          </w:p>
        </w:tc>
        <w:tc>
          <w:tcPr>
            <w:tcW w:w="681" w:type="pct"/>
            <w:vMerge w:val="restart"/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l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iczba </w:t>
            </w:r>
            <w:proofErr w:type="spellStart"/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przeds</w:t>
            </w:r>
            <w:r>
              <w:rPr>
                <w:rFonts w:eastAsia="Times New Roman" w:cs="Times New Roman"/>
                <w:color w:val="000000"/>
                <w:sz w:val="16"/>
                <w:szCs w:val="16"/>
              </w:rPr>
              <w:t>ięb</w:t>
            </w:r>
            <w:proofErr w:type="spellEnd"/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. o liczbie prac. &gt;249</w:t>
            </w:r>
          </w:p>
        </w:tc>
        <w:tc>
          <w:tcPr>
            <w:tcW w:w="680" w:type="pct"/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s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truktura</w:t>
            </w:r>
          </w:p>
        </w:tc>
      </w:tr>
      <w:tr w:rsidR="00EC1873" w:rsidRPr="00B8049B" w:rsidTr="0012543B">
        <w:trPr>
          <w:trHeight w:val="57"/>
        </w:trPr>
        <w:tc>
          <w:tcPr>
            <w:tcW w:w="1434" w:type="pct"/>
            <w:vMerge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center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843" w:type="pct"/>
            <w:vMerge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center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681" w:type="pct"/>
            <w:vMerge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center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681" w:type="pc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 xml:space="preserve">w 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%</w:t>
            </w:r>
          </w:p>
        </w:tc>
        <w:tc>
          <w:tcPr>
            <w:tcW w:w="681" w:type="pct"/>
            <w:vMerge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center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680" w:type="pc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 xml:space="preserve">w 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%</w:t>
            </w:r>
          </w:p>
        </w:tc>
      </w:tr>
      <w:tr w:rsidR="00EC1873" w:rsidRPr="00B8049B" w:rsidTr="0012543B">
        <w:trPr>
          <w:trHeight w:val="57"/>
        </w:trPr>
        <w:tc>
          <w:tcPr>
            <w:tcW w:w="1434" w:type="pct"/>
            <w:tcBorders>
              <w:top w:val="single" w:sz="12" w:space="0" w:color="212492"/>
              <w:bottom w:val="single" w:sz="4" w:space="0" w:color="212492"/>
            </w:tcBorders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>Ogółem, z tego:</w:t>
            </w:r>
          </w:p>
        </w:tc>
        <w:tc>
          <w:tcPr>
            <w:tcW w:w="843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bCs/>
                <w:sz w:val="16"/>
                <w:szCs w:val="16"/>
              </w:rPr>
              <w:t>1</w:t>
            </w:r>
            <w:r>
              <w:rPr>
                <w:rFonts w:eastAsia="Fira Sans Light" w:cs="Calibri"/>
                <w:b/>
                <w:bCs/>
                <w:sz w:val="16"/>
                <w:szCs w:val="16"/>
              </w:rPr>
              <w:t> </w:t>
            </w:r>
            <w:r w:rsidRPr="00B8049B">
              <w:rPr>
                <w:rFonts w:eastAsia="Fira Sans Light" w:cs="Calibri"/>
                <w:b/>
                <w:bCs/>
                <w:sz w:val="16"/>
                <w:szCs w:val="16"/>
              </w:rPr>
              <w:t>711</w:t>
            </w:r>
          </w:p>
        </w:tc>
        <w:tc>
          <w:tcPr>
            <w:tcW w:w="681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sz w:val="16"/>
                <w:szCs w:val="16"/>
              </w:rPr>
              <w:t>892</w:t>
            </w:r>
          </w:p>
        </w:tc>
        <w:tc>
          <w:tcPr>
            <w:tcW w:w="681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81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Calibri" w:cs="Calibri"/>
                <w:b/>
                <w:sz w:val="16"/>
                <w:szCs w:val="16"/>
              </w:rPr>
            </w:pPr>
            <w:r w:rsidRPr="00B8049B">
              <w:rPr>
                <w:rFonts w:eastAsia="Calibri" w:cs="Calibri"/>
                <w:b/>
                <w:sz w:val="16"/>
                <w:szCs w:val="16"/>
              </w:rPr>
              <w:t>819</w:t>
            </w:r>
          </w:p>
        </w:tc>
        <w:tc>
          <w:tcPr>
            <w:tcW w:w="680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val="57"/>
        </w:trPr>
        <w:tc>
          <w:tcPr>
            <w:tcW w:w="1434" w:type="pct"/>
            <w:tcBorders>
              <w:top w:val="single" w:sz="4" w:space="0" w:color="212492"/>
            </w:tcBorders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przedsiębiorstwa działające samodzielnie</w:t>
            </w:r>
          </w:p>
        </w:tc>
        <w:tc>
          <w:tcPr>
            <w:tcW w:w="843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657</w:t>
            </w:r>
          </w:p>
        </w:tc>
        <w:tc>
          <w:tcPr>
            <w:tcW w:w="681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479</w:t>
            </w:r>
          </w:p>
        </w:tc>
        <w:tc>
          <w:tcPr>
            <w:tcW w:w="681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53,7</w:t>
            </w:r>
          </w:p>
        </w:tc>
        <w:tc>
          <w:tcPr>
            <w:tcW w:w="681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178</w:t>
            </w:r>
          </w:p>
        </w:tc>
        <w:tc>
          <w:tcPr>
            <w:tcW w:w="680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21,7</w:t>
            </w:r>
          </w:p>
        </w:tc>
      </w:tr>
      <w:tr w:rsidR="00EC1873" w:rsidRPr="00B8049B" w:rsidTr="0012543B">
        <w:trPr>
          <w:trHeight w:val="507"/>
        </w:trPr>
        <w:tc>
          <w:tcPr>
            <w:tcW w:w="1434" w:type="pct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w grupie kapitałowej</w:t>
            </w:r>
          </w:p>
        </w:tc>
        <w:tc>
          <w:tcPr>
            <w:tcW w:w="843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290</w:t>
            </w:r>
          </w:p>
        </w:tc>
        <w:tc>
          <w:tcPr>
            <w:tcW w:w="68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122</w:t>
            </w:r>
          </w:p>
        </w:tc>
        <w:tc>
          <w:tcPr>
            <w:tcW w:w="68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68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168</w:t>
            </w:r>
          </w:p>
        </w:tc>
        <w:tc>
          <w:tcPr>
            <w:tcW w:w="68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20,5</w:t>
            </w:r>
          </w:p>
        </w:tc>
      </w:tr>
      <w:tr w:rsidR="00EC1873" w:rsidRPr="00B8049B" w:rsidTr="0012543B">
        <w:trPr>
          <w:trHeight w:val="57"/>
        </w:trPr>
        <w:tc>
          <w:tcPr>
            <w:tcW w:w="1434" w:type="pct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zależne w grupie kapitałowej</w:t>
            </w:r>
          </w:p>
        </w:tc>
        <w:tc>
          <w:tcPr>
            <w:tcW w:w="843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524</w:t>
            </w:r>
          </w:p>
        </w:tc>
        <w:tc>
          <w:tcPr>
            <w:tcW w:w="68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230</w:t>
            </w:r>
          </w:p>
        </w:tc>
        <w:tc>
          <w:tcPr>
            <w:tcW w:w="68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68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294</w:t>
            </w:r>
          </w:p>
        </w:tc>
        <w:tc>
          <w:tcPr>
            <w:tcW w:w="68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35,9</w:t>
            </w:r>
          </w:p>
        </w:tc>
      </w:tr>
      <w:tr w:rsidR="00EC1873" w:rsidRPr="00B8049B" w:rsidTr="0012543B">
        <w:trPr>
          <w:trHeight w:val="57"/>
        </w:trPr>
        <w:tc>
          <w:tcPr>
            <w:tcW w:w="1434" w:type="pct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i zale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ż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ne w grupie kapitałowej</w:t>
            </w:r>
          </w:p>
        </w:tc>
        <w:tc>
          <w:tcPr>
            <w:tcW w:w="843" w:type="pct"/>
            <w:vAlign w:val="center"/>
          </w:tcPr>
          <w:p w:rsidR="00EC1873" w:rsidRPr="00B8049B" w:rsidRDefault="00EC1873" w:rsidP="0012543B">
            <w:pPr>
              <w:keepLines/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240</w:t>
            </w:r>
          </w:p>
        </w:tc>
        <w:tc>
          <w:tcPr>
            <w:tcW w:w="68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61</w:t>
            </w:r>
          </w:p>
        </w:tc>
        <w:tc>
          <w:tcPr>
            <w:tcW w:w="68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68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179</w:t>
            </w:r>
          </w:p>
        </w:tc>
        <w:tc>
          <w:tcPr>
            <w:tcW w:w="68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21,9</w:t>
            </w:r>
          </w:p>
        </w:tc>
      </w:tr>
    </w:tbl>
    <w:p w:rsidR="00EC1873" w:rsidRPr="00B8049B" w:rsidRDefault="00EC1873" w:rsidP="00EC1873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0F0AB7" wp14:editId="501AD177">
                <wp:simplePos x="0" y="0"/>
                <wp:positionH relativeFrom="column">
                  <wp:posOffset>5284470</wp:posOffset>
                </wp:positionH>
                <wp:positionV relativeFrom="paragraph">
                  <wp:posOffset>2161540</wp:posOffset>
                </wp:positionV>
                <wp:extent cx="1820545" cy="774551"/>
                <wp:effectExtent l="0" t="0" r="0" b="698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774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43B" w:rsidRPr="00FB7557" w:rsidRDefault="0012543B" w:rsidP="00EC1873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Aktywa przedsiębiorstw wyk</w:t>
                            </w: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a</w:t>
                            </w: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zujących skonsolidowane sprawozdania finansowe w</w:t>
                            </w: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y</w:t>
                            </w: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niosły 851,7 mld zł.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0F0AB7" id="Pole tekstowe 14" o:spid="_x0000_s1035" type="#_x0000_t202" style="position:absolute;left:0;text-align:left;margin-left:416.1pt;margin-top:170.2pt;width:143.35pt;height:6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" filled="f" stroked="f" strokeweight=".5pt">
                <v:textbox>
                  <w:txbxContent>
                    <w:p w:rsidR="0012543B" w:rsidRPr="00FB7557" w:rsidRDefault="0012543B" w:rsidP="00EC1873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FB7557">
                        <w:rPr>
                          <w:color w:val="002060"/>
                          <w:sz w:val="18"/>
                          <w:szCs w:val="18"/>
                        </w:rPr>
                        <w:t>Aktywa przedsiębiorstw wykazujących skonsolidowane sprawozdania finansowe wyniosły 851,7 mld zł.</w:t>
                      </w:r>
                    </w:p>
                  </w:txbxContent>
                </v:textbox>
              </v:shape>
            </w:pict>
          </mc:Fallback>
        </mc:AlternateContent>
      </w:r>
      <w:r w:rsidRPr="00B8049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Dane finansowe badanych przedsiębiorstw</w:t>
      </w:r>
      <w:r>
        <w:rPr>
          <w:rStyle w:val="Odwoanieprzypisudolnego"/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footnoteReference w:id="3"/>
      </w:r>
    </w:p>
    <w:p w:rsidR="00EC1873" w:rsidRPr="00B8049B" w:rsidRDefault="00EC1873" w:rsidP="00EC1873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a. </w:t>
      </w:r>
      <w:r w:rsidRPr="00B8049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Skonsolidowane dane finansowe</w:t>
      </w:r>
    </w:p>
    <w:p w:rsidR="00EC1873" w:rsidRPr="00B8049B" w:rsidRDefault="00EC1873" w:rsidP="00EC1873">
      <w:pPr>
        <w:jc w:val="both"/>
        <w:rPr>
          <w:rFonts w:eastAsia="Times New Roman" w:cs="Times New Roman"/>
          <w:bCs/>
          <w:szCs w:val="24"/>
          <w:lang w:eastAsia="pl-PL"/>
        </w:rPr>
      </w:pPr>
      <w:r w:rsidRPr="00B8049B">
        <w:rPr>
          <w:rFonts w:eastAsia="Times New Roman" w:cs="Times New Roman"/>
          <w:bCs/>
          <w:szCs w:val="24"/>
          <w:lang w:eastAsia="pl-PL"/>
        </w:rPr>
        <w:t xml:space="preserve">Spośród ogółu badanych podmiotów skonsolidowane sprawozdanie </w:t>
      </w:r>
      <w:r w:rsidR="00C44A40">
        <w:rPr>
          <w:rFonts w:eastAsia="Times New Roman" w:cs="Times New Roman"/>
          <w:bCs/>
          <w:szCs w:val="24"/>
          <w:lang w:eastAsia="pl-PL"/>
        </w:rPr>
        <w:t xml:space="preserve">finansowe wykazały </w:t>
      </w:r>
      <w:r w:rsidRPr="00B8049B">
        <w:rPr>
          <w:rFonts w:eastAsia="Times New Roman" w:cs="Times New Roman"/>
          <w:bCs/>
          <w:szCs w:val="24"/>
          <w:lang w:eastAsia="pl-PL"/>
        </w:rPr>
        <w:t>353 podmioty, ich aktywa wyniosły 851,7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zł. W majątku ogółem tych podmiotów udział akt</w:t>
      </w:r>
      <w:r w:rsidRPr="00B8049B">
        <w:rPr>
          <w:rFonts w:eastAsia="Times New Roman" w:cs="Times New Roman"/>
          <w:bCs/>
          <w:szCs w:val="24"/>
          <w:lang w:eastAsia="pl-PL"/>
        </w:rPr>
        <w:t>y</w:t>
      </w:r>
      <w:r w:rsidRPr="00B8049B">
        <w:rPr>
          <w:rFonts w:eastAsia="Times New Roman" w:cs="Times New Roman"/>
          <w:bCs/>
          <w:szCs w:val="24"/>
          <w:lang w:eastAsia="pl-PL"/>
        </w:rPr>
        <w:t>wów trwałych wyniósł 68,0%, zaś aktywów obrotowych 31,8%</w:t>
      </w:r>
      <w:r w:rsidR="00F8127E">
        <w:rPr>
          <w:rStyle w:val="Odwoanieprzypisudolnego"/>
          <w:rFonts w:eastAsia="Times New Roman" w:cs="Times New Roman"/>
          <w:bCs/>
          <w:szCs w:val="24"/>
          <w:lang w:eastAsia="pl-PL"/>
        </w:rPr>
        <w:footnoteReference w:id="4"/>
      </w:r>
      <w:r w:rsidRPr="00B8049B">
        <w:rPr>
          <w:rFonts w:eastAsia="Times New Roman" w:cs="Times New Roman"/>
          <w:bCs/>
          <w:szCs w:val="24"/>
          <w:lang w:eastAsia="pl-PL"/>
        </w:rPr>
        <w:t xml:space="preserve">. </w:t>
      </w:r>
    </w:p>
    <w:p w:rsidR="00EC1873" w:rsidRPr="00B8049B" w:rsidRDefault="00EC1873" w:rsidP="00EC1873">
      <w:pPr>
        <w:jc w:val="both"/>
        <w:rPr>
          <w:rFonts w:eastAsia="Times New Roman" w:cs="Times New Roman"/>
          <w:bCs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E2AAE8" wp14:editId="25C3569B">
                <wp:simplePos x="0" y="0"/>
                <wp:positionH relativeFrom="column">
                  <wp:posOffset>5287384</wp:posOffset>
                </wp:positionH>
                <wp:positionV relativeFrom="paragraph">
                  <wp:posOffset>539152</wp:posOffset>
                </wp:positionV>
                <wp:extent cx="1645920" cy="935916"/>
                <wp:effectExtent l="0" t="0" r="0" b="0"/>
                <wp:wrapNone/>
                <wp:docPr id="194" name="Pole tekstow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935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43B" w:rsidRPr="00FB7557" w:rsidRDefault="0012543B" w:rsidP="00EC1873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Podmioty wykazujące sko</w:t>
                            </w: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n</w:t>
                            </w: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solidowane sprawozdania finansowe wykazały zysk netto w kwocie 36,5 mld zł.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E2AAE8" id="Pole tekstowe 194" o:spid="_x0000_s1036" type="#_x0000_t202" style="position:absolute;left:0;text-align:left;margin-left:416.35pt;margin-top:42.45pt;width:129.6pt;height:73.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" filled="f" stroked="f" strokeweight=".5pt">
                <v:textbox>
                  <w:txbxContent>
                    <w:p w:rsidR="0012543B" w:rsidRPr="00FB7557" w:rsidRDefault="0012543B" w:rsidP="00EC1873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FB7557">
                        <w:rPr>
                          <w:color w:val="002060"/>
                          <w:sz w:val="18"/>
                          <w:szCs w:val="18"/>
                        </w:rPr>
                        <w:t>Podmioty wykazujące skonsolidowane sprawozdania finansowe wykazały zysk netto w kwocie 36,5 mld zł.</w:t>
                      </w:r>
                    </w:p>
                  </w:txbxContent>
                </v:textbox>
              </v:shape>
            </w:pict>
          </mc:Fallback>
        </mc:AlternateContent>
      </w:r>
      <w:r w:rsidRPr="00B8049B">
        <w:rPr>
          <w:rFonts w:eastAsia="Times New Roman" w:cs="Times New Roman"/>
          <w:bCs/>
          <w:szCs w:val="24"/>
          <w:lang w:eastAsia="pl-PL"/>
        </w:rPr>
        <w:t>Kapitał własny podmiotów sporządzających skonsolidowane sprawozdanie finansowe w</w:t>
      </w:r>
      <w:r w:rsidRPr="00B8049B">
        <w:rPr>
          <w:rFonts w:eastAsia="Times New Roman" w:cs="Times New Roman"/>
          <w:bCs/>
          <w:szCs w:val="24"/>
          <w:lang w:eastAsia="pl-PL"/>
        </w:rPr>
        <w:t>y</w:t>
      </w:r>
      <w:r w:rsidRPr="00B8049B">
        <w:rPr>
          <w:rFonts w:eastAsia="Times New Roman" w:cs="Times New Roman"/>
          <w:bCs/>
          <w:szCs w:val="24"/>
          <w:lang w:eastAsia="pl-PL"/>
        </w:rPr>
        <w:t>niósł 402,1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 i stanowił 47,2% pasywów tej grupy podmiotów. Zobowiązania ogółem z</w:t>
      </w:r>
      <w:r w:rsidRPr="00B8049B">
        <w:rPr>
          <w:rFonts w:eastAsia="Times New Roman" w:cs="Times New Roman"/>
          <w:bCs/>
          <w:szCs w:val="24"/>
          <w:lang w:eastAsia="pl-PL"/>
        </w:rPr>
        <w:t>a</w:t>
      </w:r>
      <w:r w:rsidRPr="00B8049B">
        <w:rPr>
          <w:rFonts w:eastAsia="Times New Roman" w:cs="Times New Roman"/>
          <w:bCs/>
          <w:szCs w:val="24"/>
          <w:lang w:eastAsia="pl-PL"/>
        </w:rPr>
        <w:t>notowano w kwocie 382,2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 i stanowiły one 44,9% pasywów. W strukturze zobowiązań nieznacznie przeważały zobowiązania długoterminowe, których udział w zobowiązaniach ogółem podmiotów</w:t>
      </w:r>
      <w:r>
        <w:rPr>
          <w:rFonts w:eastAsia="Times New Roman" w:cs="Times New Roman"/>
          <w:bCs/>
          <w:szCs w:val="24"/>
          <w:lang w:eastAsia="pl-PL"/>
        </w:rPr>
        <w:t xml:space="preserve"> wykazujących skonsolidowane sprawozdania finansowe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wyniósł 51,2%</w:t>
      </w:r>
      <w:r>
        <w:rPr>
          <w:rFonts w:eastAsia="Times New Roman" w:cs="Times New Roman"/>
          <w:bCs/>
          <w:szCs w:val="24"/>
          <w:lang w:eastAsia="pl-PL"/>
        </w:rPr>
        <w:t>.</w:t>
      </w:r>
    </w:p>
    <w:p w:rsidR="00EC1873" w:rsidRDefault="00EC1873" w:rsidP="00EC1873">
      <w:pPr>
        <w:jc w:val="both"/>
        <w:rPr>
          <w:rFonts w:eastAsia="Times New Roman" w:cs="Times New Roman"/>
          <w:bCs/>
          <w:szCs w:val="24"/>
          <w:lang w:eastAsia="pl-PL"/>
        </w:rPr>
      </w:pPr>
      <w:r w:rsidRPr="00B8049B">
        <w:rPr>
          <w:rFonts w:eastAsia="Times New Roman" w:cs="Times New Roman"/>
          <w:bCs/>
          <w:szCs w:val="24"/>
          <w:lang w:eastAsia="pl-PL"/>
        </w:rPr>
        <w:t xml:space="preserve">Wynik finansowy </w:t>
      </w:r>
      <w:r>
        <w:rPr>
          <w:rFonts w:eastAsia="Times New Roman" w:cs="Times New Roman"/>
          <w:bCs/>
          <w:szCs w:val="24"/>
          <w:lang w:eastAsia="pl-PL"/>
        </w:rPr>
        <w:t xml:space="preserve">netto </w:t>
      </w:r>
      <w:r w:rsidRPr="00B8049B">
        <w:rPr>
          <w:rFonts w:eastAsia="Times New Roman" w:cs="Times New Roman"/>
          <w:bCs/>
          <w:szCs w:val="24"/>
          <w:lang w:eastAsia="pl-PL"/>
        </w:rPr>
        <w:t>podmiotów w skonsolidowanych sprawozdaniach finansowych w</w:t>
      </w:r>
      <w:r w:rsidRPr="00B8049B">
        <w:rPr>
          <w:rFonts w:eastAsia="Times New Roman" w:cs="Times New Roman"/>
          <w:bCs/>
          <w:szCs w:val="24"/>
          <w:lang w:eastAsia="pl-PL"/>
        </w:rPr>
        <w:t>y</w:t>
      </w:r>
      <w:r w:rsidRPr="00B8049B">
        <w:rPr>
          <w:rFonts w:eastAsia="Times New Roman" w:cs="Times New Roman"/>
          <w:bCs/>
          <w:szCs w:val="24"/>
          <w:lang w:eastAsia="pl-PL"/>
        </w:rPr>
        <w:t>niósł łącznie 36,5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zł, w tym 32,0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 to zysk wygenerowany przez jednostki dominujące w grupie kapitałowej, natomiast 4,5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 to zysk jednostek dominujących i zależnych. Po</w:t>
      </w:r>
      <w:r w:rsidRPr="00B8049B">
        <w:rPr>
          <w:rFonts w:eastAsia="Times New Roman" w:cs="Times New Roman"/>
          <w:bCs/>
          <w:szCs w:val="24"/>
          <w:lang w:eastAsia="pl-PL"/>
        </w:rPr>
        <w:t>d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mioty </w:t>
      </w:r>
      <w:r>
        <w:rPr>
          <w:rFonts w:eastAsia="Times New Roman" w:cs="Times New Roman"/>
          <w:bCs/>
          <w:szCs w:val="24"/>
          <w:lang w:eastAsia="pl-PL"/>
        </w:rPr>
        <w:t>wykazujące skonsolidowane sprawozdania finansowe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odnotowały zysk na działalności operacyjnej, w kwocie 51,9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</w:t>
      </w:r>
      <w:r>
        <w:rPr>
          <w:rFonts w:eastAsia="Times New Roman" w:cs="Times New Roman"/>
          <w:bCs/>
          <w:szCs w:val="24"/>
          <w:lang w:eastAsia="pl-PL"/>
        </w:rPr>
        <w:t>.</w:t>
      </w:r>
    </w:p>
    <w:p w:rsidR="00EC1873" w:rsidRPr="00B8049B" w:rsidRDefault="00EC1873" w:rsidP="00EC1873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b. </w:t>
      </w:r>
      <w:r w:rsidRPr="00B8049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Jednostkowe dane finansowe</w:t>
      </w:r>
    </w:p>
    <w:p w:rsidR="00EC1873" w:rsidRPr="00B8049B" w:rsidRDefault="00EC1873" w:rsidP="00EC1873">
      <w:pPr>
        <w:jc w:val="both"/>
        <w:rPr>
          <w:rFonts w:eastAsia="Times New Roman" w:cs="Times New Roman"/>
          <w:bCs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DE475B" wp14:editId="57646019">
                <wp:simplePos x="0" y="0"/>
                <wp:positionH relativeFrom="column">
                  <wp:posOffset>5212080</wp:posOffset>
                </wp:positionH>
                <wp:positionV relativeFrom="paragraph">
                  <wp:posOffset>45720</wp:posOffset>
                </wp:positionV>
                <wp:extent cx="1721224" cy="774550"/>
                <wp:effectExtent l="0" t="0" r="0" b="6985"/>
                <wp:wrapNone/>
                <wp:docPr id="195" name="Pole tekstow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4" cy="77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43B" w:rsidRPr="00FB7557" w:rsidRDefault="0012543B" w:rsidP="00EC1873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Aktywa przedsiębiorstw w</w:t>
                            </w: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y</w:t>
                            </w:r>
                            <w:r w:rsidRPr="00FB7557">
                              <w:rPr>
                                <w:color w:val="002060"/>
                                <w:sz w:val="18"/>
                                <w:szCs w:val="18"/>
                              </w:rPr>
                              <w:t>kazujących jednostkowe sprawozdania finansowe wyniosły 661,9 mld zł.</w:t>
                            </w:r>
                          </w:p>
                          <w:p w:rsidR="0012543B" w:rsidRDefault="0012543B" w:rsidP="00EC1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DE475B" id="Pole tekstowe 195" o:spid="_x0000_s1037" type="#_x0000_t202" style="position:absolute;left:0;text-align:left;margin-left:410.4pt;margin-top:3.6pt;width:135.55pt;height:6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" filled="f" stroked="f" strokeweight=".5pt">
                <v:textbox>
                  <w:txbxContent>
                    <w:p w:rsidR="0012543B" w:rsidRPr="00FB7557" w:rsidRDefault="0012543B" w:rsidP="00EC1873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FB7557">
                        <w:rPr>
                          <w:color w:val="002060"/>
                          <w:sz w:val="18"/>
                          <w:szCs w:val="18"/>
                        </w:rPr>
                        <w:t>Aktywa przedsiębiorstw wykazujących jednostkowe sprawozdania finansowe wyniosły 661,9 mld zł.</w:t>
                      </w:r>
                    </w:p>
                    <w:p w:rsidR="0012543B" w:rsidRDefault="0012543B" w:rsidP="00EC1873"/>
                  </w:txbxContent>
                </v:textbox>
              </v:shape>
            </w:pict>
          </mc:Fallback>
        </mc:AlternateContent>
      </w:r>
      <w:r w:rsidRPr="00B8049B">
        <w:rPr>
          <w:rFonts w:eastAsia="Times New Roman" w:cs="Times New Roman"/>
          <w:bCs/>
          <w:szCs w:val="24"/>
          <w:lang w:eastAsia="pl-PL"/>
        </w:rPr>
        <w:t>Sprawozdania finansowe jednostkowe wykazało 1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358 przedsiębiorstw; ich aktywa wyniosły 661,9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zł. W majątku ogółem tej grupy podmiotów udział aktywów trwałych wyniósł 66,3%, zaś aktywów obrotowych 33,6%.</w:t>
      </w:r>
    </w:p>
    <w:p w:rsidR="00EC1873" w:rsidRPr="00B8049B" w:rsidRDefault="00EC1873" w:rsidP="00EC1873">
      <w:pPr>
        <w:jc w:val="both"/>
        <w:rPr>
          <w:rFonts w:eastAsia="Times New Roman" w:cs="Times New Roman"/>
          <w:bCs/>
          <w:szCs w:val="24"/>
          <w:lang w:eastAsia="pl-PL"/>
        </w:rPr>
      </w:pPr>
      <w:r w:rsidRPr="00B8049B">
        <w:rPr>
          <w:rFonts w:eastAsia="Times New Roman" w:cs="Times New Roman"/>
          <w:bCs/>
          <w:szCs w:val="24"/>
          <w:lang w:eastAsia="pl-PL"/>
        </w:rPr>
        <w:lastRenderedPageBreak/>
        <w:t>Kapitał własny podmiotów prezentujących jednostkowe sprawozdania finansowe wyniósł 346,6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 i stanowił 52,4% pasywów. Zobowiązania ogółem zanotowano w kwocie 253,0</w:t>
      </w:r>
      <w:r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</w:t>
      </w:r>
      <w:r>
        <w:rPr>
          <w:rFonts w:eastAsia="Times New Roman" w:cs="Times New Roman"/>
          <w:bCs/>
          <w:szCs w:val="24"/>
          <w:lang w:eastAsia="pl-PL"/>
        </w:rPr>
        <w:t xml:space="preserve"> i stanowiły one 38,2% pasywów. </w:t>
      </w:r>
      <w:r w:rsidRPr="00B8049B">
        <w:rPr>
          <w:rFonts w:eastAsia="Times New Roman" w:cs="Times New Roman"/>
          <w:bCs/>
          <w:szCs w:val="24"/>
          <w:lang w:eastAsia="pl-PL"/>
        </w:rPr>
        <w:t>W strukturze zobowiązań przeważały zobowiąz</w:t>
      </w:r>
      <w:r w:rsidRPr="00B8049B">
        <w:rPr>
          <w:rFonts w:eastAsia="Times New Roman" w:cs="Times New Roman"/>
          <w:bCs/>
          <w:szCs w:val="24"/>
          <w:lang w:eastAsia="pl-PL"/>
        </w:rPr>
        <w:t>a</w:t>
      </w:r>
      <w:r w:rsidRPr="00B8049B">
        <w:rPr>
          <w:rFonts w:eastAsia="Times New Roman" w:cs="Times New Roman"/>
          <w:bCs/>
          <w:szCs w:val="24"/>
          <w:lang w:eastAsia="pl-PL"/>
        </w:rPr>
        <w:t>nia krótkoterminowe, których udział w zobowiązaniach razem podmiotów wykazujących je</w:t>
      </w:r>
      <w:r w:rsidRPr="00B8049B">
        <w:rPr>
          <w:rFonts w:eastAsia="Times New Roman" w:cs="Times New Roman"/>
          <w:bCs/>
          <w:szCs w:val="24"/>
          <w:lang w:eastAsia="pl-PL"/>
        </w:rPr>
        <w:t>d</w:t>
      </w:r>
      <w:r w:rsidRPr="00B8049B">
        <w:rPr>
          <w:rFonts w:eastAsia="Times New Roman" w:cs="Times New Roman"/>
          <w:bCs/>
          <w:szCs w:val="24"/>
          <w:lang w:eastAsia="pl-PL"/>
        </w:rPr>
        <w:t>nostkowe sprawozdania finansowe wyniósł 65,7%.</w:t>
      </w:r>
    </w:p>
    <w:p w:rsidR="00EC1873" w:rsidRDefault="00EC1873" w:rsidP="00EC1873">
      <w:pPr>
        <w:jc w:val="both"/>
        <w:rPr>
          <w:rFonts w:eastAsia="Times New Roman" w:cs="Times New Roman"/>
          <w:bCs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C78A74" wp14:editId="42176925">
                <wp:simplePos x="0" y="0"/>
                <wp:positionH relativeFrom="column">
                  <wp:posOffset>5287384</wp:posOffset>
                </wp:positionH>
                <wp:positionV relativeFrom="paragraph">
                  <wp:posOffset>61856</wp:posOffset>
                </wp:positionV>
                <wp:extent cx="1645546" cy="870772"/>
                <wp:effectExtent l="0" t="0" r="0" b="5715"/>
                <wp:wrapNone/>
                <wp:docPr id="196" name="Pole tekstow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546" cy="870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43B" w:rsidRPr="00644C13" w:rsidRDefault="0012543B" w:rsidP="00EC1873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>Podmioty wykazujące je</w:t>
                            </w: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>d</w:t>
                            </w: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>nostkowe sprawozdania finansowe wykazały zysk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netto</w:t>
                            </w: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w kwocie 3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4,0</w:t>
                            </w: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> mld zł.</w:t>
                            </w:r>
                          </w:p>
                          <w:p w:rsidR="0012543B" w:rsidRDefault="0012543B" w:rsidP="00EC1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C78A74" id="Pole tekstowe 196" o:spid="_x0000_s1038" type="#_x0000_t202" style="position:absolute;left:0;text-align:left;margin-left:416.35pt;margin-top:4.85pt;width:129.55pt;height:68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" filled="f" stroked="f" strokeweight=".5pt">
                <v:textbox>
                  <w:txbxContent>
                    <w:p w:rsidR="0012543B" w:rsidRPr="00644C13" w:rsidRDefault="0012543B" w:rsidP="00EC1873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644C13">
                        <w:rPr>
                          <w:color w:val="002060"/>
                          <w:sz w:val="18"/>
                          <w:szCs w:val="18"/>
                        </w:rPr>
                        <w:t>Podmioty wykazujące jednostkowe sprawozdania finansowe wykazały zysk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netto</w:t>
                      </w:r>
                      <w:r w:rsidRPr="00644C13">
                        <w:rPr>
                          <w:color w:val="002060"/>
                          <w:sz w:val="18"/>
                          <w:szCs w:val="18"/>
                        </w:rPr>
                        <w:t xml:space="preserve"> w kwocie 3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>4,0</w:t>
                      </w:r>
                      <w:r w:rsidRPr="00644C13">
                        <w:rPr>
                          <w:color w:val="002060"/>
                          <w:sz w:val="18"/>
                          <w:szCs w:val="18"/>
                        </w:rPr>
                        <w:t> mld zł.</w:t>
                      </w:r>
                    </w:p>
                    <w:p w:rsidR="0012543B" w:rsidRDefault="0012543B" w:rsidP="00EC1873"/>
                  </w:txbxContent>
                </v:textbox>
              </v:shape>
            </w:pict>
          </mc:Fallback>
        </mc:AlternateContent>
      </w:r>
      <w:r w:rsidRPr="00B8049B">
        <w:rPr>
          <w:rFonts w:eastAsia="Times New Roman" w:cs="Times New Roman"/>
          <w:bCs/>
          <w:szCs w:val="24"/>
          <w:lang w:eastAsia="pl-PL"/>
        </w:rPr>
        <w:t xml:space="preserve">Wynik finansowy </w:t>
      </w:r>
      <w:r>
        <w:rPr>
          <w:rFonts w:eastAsia="Times New Roman" w:cs="Times New Roman"/>
          <w:bCs/>
          <w:szCs w:val="24"/>
          <w:lang w:eastAsia="pl-PL"/>
        </w:rPr>
        <w:t xml:space="preserve">netto </w:t>
      </w:r>
      <w:r w:rsidRPr="00B8049B">
        <w:rPr>
          <w:rFonts w:eastAsia="Times New Roman" w:cs="Times New Roman"/>
          <w:bCs/>
          <w:szCs w:val="24"/>
          <w:lang w:eastAsia="pl-PL"/>
        </w:rPr>
        <w:t>podmiotów wykazany w jednostkowych sprawozdaniach finansowych wyniósł 34,0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zł, w tym najwięcej, bo 15,2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 zysku wygenerowały jednostki zależne w</w:t>
      </w:r>
      <w:r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grupie kapitałowej. Z kolei, wynik finansowy na działalności op</w:t>
      </w:r>
      <w:r>
        <w:rPr>
          <w:rFonts w:eastAsia="Times New Roman" w:cs="Times New Roman"/>
          <w:bCs/>
          <w:szCs w:val="24"/>
          <w:lang w:eastAsia="pl-PL"/>
        </w:rPr>
        <w:t>eracyjnej w podmiotach wykazujących jednostkowe sprawozdanie finansowe wyniósł 41,9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>
        <w:rPr>
          <w:rFonts w:eastAsia="Times New Roman" w:cs="Times New Roman"/>
          <w:bCs/>
          <w:szCs w:val="24"/>
          <w:lang w:eastAsia="pl-PL"/>
        </w:rPr>
        <w:t>zł.</w:t>
      </w:r>
    </w:p>
    <w:p w:rsidR="00EC1873" w:rsidRDefault="00EC1873" w:rsidP="00EC1873">
      <w:pPr>
        <w:jc w:val="both"/>
        <w:rPr>
          <w:rFonts w:eastAsia="Times New Roman" w:cs="Times New Roman"/>
          <w:bCs/>
          <w:szCs w:val="24"/>
          <w:lang w:eastAsia="pl-PL"/>
        </w:rPr>
      </w:pPr>
      <w:r w:rsidRPr="00B8049B">
        <w:rPr>
          <w:rFonts w:eastAsia="Times New Roman" w:cs="Times New Roman"/>
          <w:bCs/>
          <w:szCs w:val="24"/>
          <w:lang w:eastAsia="pl-PL"/>
        </w:rPr>
        <w:t>Saldo przepływów pieniężnych netto razem było ujemne w kwocie 55,6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zł, na co złożyły się ujemne salda przepływów pieniężnych z działalności finansowej 730,5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 i z działaln</w:t>
      </w:r>
      <w:r w:rsidRPr="00B8049B">
        <w:rPr>
          <w:rFonts w:eastAsia="Times New Roman" w:cs="Times New Roman"/>
          <w:bCs/>
          <w:szCs w:val="24"/>
          <w:lang w:eastAsia="pl-PL"/>
        </w:rPr>
        <w:t>o</w:t>
      </w:r>
      <w:r w:rsidRPr="00B8049B">
        <w:rPr>
          <w:rFonts w:eastAsia="Times New Roman" w:cs="Times New Roman"/>
          <w:bCs/>
          <w:szCs w:val="24"/>
          <w:lang w:eastAsia="pl-PL"/>
        </w:rPr>
        <w:t>ści inwestycyjnej 122,1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12543B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zł oraz dodatnie saldo z działalności operacyjnej </w:t>
      </w:r>
      <w:r>
        <w:rPr>
          <w:rFonts w:eastAsia="Times New Roman" w:cs="Times New Roman"/>
          <w:bCs/>
          <w:szCs w:val="24"/>
          <w:lang w:eastAsia="pl-PL"/>
        </w:rPr>
        <w:t xml:space="preserve">w wysokości </w:t>
      </w:r>
      <w:r w:rsidRPr="00B8049B">
        <w:rPr>
          <w:rFonts w:eastAsia="Times New Roman" w:cs="Times New Roman"/>
          <w:bCs/>
          <w:szCs w:val="24"/>
          <w:lang w:eastAsia="pl-PL"/>
        </w:rPr>
        <w:t>797,0</w:t>
      </w:r>
      <w:r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zł.</w:t>
      </w:r>
    </w:p>
    <w:p w:rsidR="00EC1873" w:rsidRPr="00DB56E1" w:rsidRDefault="00EC1873" w:rsidP="00EC1873">
      <w:pPr>
        <w:spacing w:line="20" w:lineRule="atLeast"/>
        <w:jc w:val="both"/>
        <w:rPr>
          <w:rFonts w:eastAsia="Times New Roman" w:cs="Calibri"/>
          <w:i/>
          <w:sz w:val="16"/>
          <w:szCs w:val="16"/>
          <w:lang w:eastAsia="pl-PL"/>
        </w:rPr>
      </w:pPr>
      <w:r w:rsidRPr="00DB56E1">
        <w:rPr>
          <w:rFonts w:eastAsia="Times New Roman" w:cs="Calibri"/>
          <w:i/>
          <w:sz w:val="16"/>
          <w:szCs w:val="16"/>
          <w:lang w:eastAsia="pl-PL"/>
        </w:rPr>
        <w:t xml:space="preserve">Szczegółowe dane odnośnie bilansów, rachunków zysków i strat, przepływów pieniężnych zawarto w załączniku do </w:t>
      </w:r>
      <w:r>
        <w:rPr>
          <w:rFonts w:eastAsia="Times New Roman" w:cs="Calibri"/>
          <w:i/>
          <w:sz w:val="16"/>
          <w:szCs w:val="16"/>
          <w:lang w:eastAsia="pl-PL"/>
        </w:rPr>
        <w:t xml:space="preserve">Informacji sygnalnej </w:t>
      </w:r>
      <w:r w:rsidRPr="00DB56E1">
        <w:rPr>
          <w:rFonts w:eastAsia="Times New Roman" w:cs="Calibri"/>
          <w:i/>
          <w:sz w:val="16"/>
          <w:szCs w:val="16"/>
          <w:lang w:eastAsia="pl-PL"/>
        </w:rPr>
        <w:t xml:space="preserve">w Tabl. 1-14. </w:t>
      </w:r>
    </w:p>
    <w:p w:rsidR="00EC1873" w:rsidRPr="00B8049B" w:rsidRDefault="00CC4999" w:rsidP="00EC1873">
      <w:pPr>
        <w:spacing w:before="240" w:after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eastAsia="Fira Sans Light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214629" wp14:editId="708D4B9D">
                <wp:simplePos x="0" y="0"/>
                <wp:positionH relativeFrom="column">
                  <wp:posOffset>5286375</wp:posOffset>
                </wp:positionH>
                <wp:positionV relativeFrom="paragraph">
                  <wp:posOffset>130810</wp:posOffset>
                </wp:positionV>
                <wp:extent cx="1798955" cy="699135"/>
                <wp:effectExtent l="0" t="0" r="0" b="5715"/>
                <wp:wrapNone/>
                <wp:docPr id="197" name="Pole tekstow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43B" w:rsidRPr="00644C13" w:rsidRDefault="0012543B" w:rsidP="00EC1873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>Eksport badanych przedsi</w:t>
                            </w: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>ę</w:t>
                            </w: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biorstw wyniósł 320,4 mln zł, </w:t>
                            </w:r>
                            <w:r w:rsidR="008D45C1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>a import 304,9 mld zł.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214629" id="Pole tekstowe 197" o:spid="_x0000_s1039" type="#_x0000_t202" style="position:absolute;left:0;text-align:left;margin-left:416.25pt;margin-top:10.3pt;width:141.6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" filled="f" stroked="f" strokeweight=".5pt">
                <v:textbox>
                  <w:txbxContent>
                    <w:p w:rsidR="0012543B" w:rsidRPr="00644C13" w:rsidRDefault="0012543B" w:rsidP="00EC1873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644C13">
                        <w:rPr>
                          <w:color w:val="002060"/>
                          <w:sz w:val="18"/>
                          <w:szCs w:val="18"/>
                        </w:rPr>
                        <w:t xml:space="preserve">Eksport badanych przedsiębiorstw wyniósł 320,4 mln zł, </w:t>
                      </w:r>
                      <w:r w:rsidR="008D45C1">
                        <w:rPr>
                          <w:color w:val="002060"/>
                          <w:sz w:val="18"/>
                          <w:szCs w:val="18"/>
                        </w:rPr>
                        <w:t xml:space="preserve">  </w:t>
                      </w:r>
                      <w:r w:rsidRPr="00644C13">
                        <w:rPr>
                          <w:color w:val="002060"/>
                          <w:sz w:val="18"/>
                          <w:szCs w:val="18"/>
                        </w:rPr>
                        <w:t>a import 304,9 mld zł.</w:t>
                      </w:r>
                    </w:p>
                  </w:txbxContent>
                </v:textbox>
              </v:shape>
            </w:pict>
          </mc:Fallback>
        </mc:AlternateContent>
      </w:r>
      <w:r w:rsidR="00EC1873" w:rsidRPr="00B8049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Wartość eksportu </w:t>
      </w:r>
      <w:r w:rsidR="00EC1873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i</w:t>
      </w:r>
      <w:r w:rsidR="00EC1873" w:rsidRPr="00B8049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 importu</w:t>
      </w:r>
      <w:r w:rsidR="00EC1873">
        <w:rPr>
          <w:rStyle w:val="Odwoanieprzypisudolnego"/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footnoteReference w:id="5"/>
      </w:r>
      <w:r w:rsidR="00EC1873" w:rsidRPr="00B8049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 badanych przedsiębiorstw</w:t>
      </w:r>
    </w:p>
    <w:p w:rsidR="00EC1873" w:rsidRDefault="00EC1873" w:rsidP="00EC1873">
      <w:pPr>
        <w:jc w:val="both"/>
        <w:rPr>
          <w:rFonts w:eastAsia="Fira Sans Light" w:cs="Times New Roman"/>
          <w:shd w:val="clear" w:color="auto" w:fill="FFFFFF"/>
        </w:rPr>
      </w:pPr>
      <w:r w:rsidRPr="00B8049B">
        <w:rPr>
          <w:rFonts w:eastAsia="Fira Sans Light" w:cs="Times New Roman"/>
          <w:shd w:val="clear" w:color="auto" w:fill="FFFFFF"/>
        </w:rPr>
        <w:t xml:space="preserve">Spośród badanej zbiorowości </w:t>
      </w:r>
      <w:r>
        <w:rPr>
          <w:rFonts w:eastAsia="Fira Sans Light" w:cs="Times New Roman"/>
          <w:shd w:val="clear" w:color="auto" w:fill="FFFFFF"/>
        </w:rPr>
        <w:t>w 2017</w:t>
      </w:r>
      <w:r w:rsidR="0012543B">
        <w:rPr>
          <w:rFonts w:eastAsia="Fira Sans Light" w:cs="Times New Roman"/>
          <w:shd w:val="clear" w:color="auto" w:fill="FFFFFF"/>
        </w:rPr>
        <w:t> </w:t>
      </w:r>
      <w:r>
        <w:rPr>
          <w:rFonts w:eastAsia="Fira Sans Light" w:cs="Times New Roman"/>
          <w:shd w:val="clear" w:color="auto" w:fill="FFFFFF"/>
        </w:rPr>
        <w:t xml:space="preserve">r. </w:t>
      </w:r>
      <w:r w:rsidRPr="00B8049B">
        <w:rPr>
          <w:rFonts w:eastAsia="Fira Sans Light" w:cs="Times New Roman"/>
          <w:shd w:val="clear" w:color="auto" w:fill="FFFFFF"/>
        </w:rPr>
        <w:t>eksport wykazało 1</w:t>
      </w:r>
      <w:r w:rsidR="0090117D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212 podmiotów a import 1</w:t>
      </w:r>
      <w:r w:rsidR="0090117D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299 podmiotów i</w:t>
      </w:r>
      <w:r w:rsidR="0090117D">
        <w:rPr>
          <w:rFonts w:eastAsia="Fira Sans Light" w:cs="Times New Roman"/>
          <w:shd w:val="clear" w:color="auto" w:fill="FFFFFF"/>
        </w:rPr>
        <w:t xml:space="preserve"> </w:t>
      </w:r>
      <w:r w:rsidRPr="00B8049B">
        <w:rPr>
          <w:rFonts w:eastAsia="Fira Sans Light" w:cs="Times New Roman"/>
          <w:shd w:val="clear" w:color="auto" w:fill="FFFFFF"/>
        </w:rPr>
        <w:t>stanowiły one 70,8% i 75,9% ogółu badanych. Eksport badanych przedsiębiorstw</w:t>
      </w:r>
      <w:r>
        <w:rPr>
          <w:rFonts w:eastAsia="Fira Sans Light" w:cs="Times New Roman"/>
          <w:shd w:val="clear" w:color="auto" w:fill="FFFFFF"/>
        </w:rPr>
        <w:t xml:space="preserve"> wyniósł 320,4</w:t>
      </w:r>
      <w:r w:rsidR="0090117D">
        <w:rPr>
          <w:rFonts w:eastAsia="Fira Sans Light" w:cs="Times New Roman"/>
          <w:shd w:val="clear" w:color="auto" w:fill="FFFFFF"/>
        </w:rPr>
        <w:t> </w:t>
      </w:r>
      <w:r>
        <w:rPr>
          <w:rFonts w:eastAsia="Fira Sans Light" w:cs="Times New Roman"/>
          <w:shd w:val="clear" w:color="auto" w:fill="FFFFFF"/>
        </w:rPr>
        <w:t>mld</w:t>
      </w:r>
      <w:r w:rsidR="0090117D">
        <w:rPr>
          <w:rFonts w:eastAsia="Fira Sans Light" w:cs="Times New Roman"/>
          <w:shd w:val="clear" w:color="auto" w:fill="FFFFFF"/>
        </w:rPr>
        <w:t> </w:t>
      </w:r>
      <w:r>
        <w:rPr>
          <w:rFonts w:eastAsia="Fira Sans Light" w:cs="Times New Roman"/>
          <w:shd w:val="clear" w:color="auto" w:fill="FFFFFF"/>
        </w:rPr>
        <w:t>zł a i</w:t>
      </w:r>
      <w:r w:rsidRPr="00B8049B">
        <w:rPr>
          <w:rFonts w:eastAsia="Fira Sans Light" w:cs="Times New Roman"/>
          <w:shd w:val="clear" w:color="auto" w:fill="FFFFFF"/>
        </w:rPr>
        <w:t>mport 304,9</w:t>
      </w:r>
      <w:r w:rsidR="0090117D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mld</w:t>
      </w:r>
      <w:r w:rsidR="0090117D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 xml:space="preserve">zł. </w:t>
      </w:r>
    </w:p>
    <w:p w:rsidR="00EC1873" w:rsidRPr="00B8049B" w:rsidRDefault="00EC1873" w:rsidP="00EC1873">
      <w:pPr>
        <w:jc w:val="both"/>
        <w:rPr>
          <w:rFonts w:eastAsia="Fira Sans Light" w:cs="Times New Roman"/>
          <w:b/>
          <w:sz w:val="18"/>
          <w:szCs w:val="18"/>
          <w:shd w:val="clear" w:color="auto" w:fill="FFFFFF"/>
        </w:rPr>
      </w:pPr>
      <w:r w:rsidRPr="00B8049B">
        <w:rPr>
          <w:rFonts w:eastAsia="Fira Sans Light" w:cs="Times New Roman"/>
          <w:b/>
          <w:sz w:val="18"/>
          <w:szCs w:val="18"/>
          <w:shd w:val="clear" w:color="auto" w:fill="FFFFFF"/>
        </w:rPr>
        <w:t>Tablica 3. Eksport i import według statusu organizacyjnego przedsiębiorstw</w:t>
      </w:r>
    </w:p>
    <w:tbl>
      <w:tblPr>
        <w:tblStyle w:val="Siatkatabelijasna11"/>
        <w:tblpPr w:leftFromText="141" w:rightFromText="141" w:vertAnchor="text" w:horzAnchor="margin" w:tblpY="1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77"/>
        <w:gridCol w:w="1474"/>
        <w:gridCol w:w="1367"/>
        <w:gridCol w:w="1365"/>
      </w:tblGrid>
      <w:tr w:rsidR="00EC1873" w:rsidRPr="00B8049B" w:rsidTr="0012543B">
        <w:trPr>
          <w:trHeight w:hRule="exact" w:val="623"/>
        </w:trPr>
        <w:tc>
          <w:tcPr>
            <w:tcW w:w="2461" w:type="pct"/>
            <w:vMerge w:val="restart"/>
            <w:vAlign w:val="center"/>
          </w:tcPr>
          <w:p w:rsidR="00EC1873" w:rsidRPr="00B8049B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B8049B">
              <w:rPr>
                <w:rFonts w:ascii="Fira Sans SemiBold" w:eastAsia="Times New Roman" w:hAnsi="Fira Sans SemiBold" w:cs="Times New Roman"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890" w:type="pct"/>
            <w:vMerge w:val="restart"/>
            <w:tcBorders>
              <w:top w:val="nil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l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iczba </w:t>
            </w:r>
          </w:p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przedsiębiorstw</w:t>
            </w:r>
          </w:p>
        </w:tc>
        <w:tc>
          <w:tcPr>
            <w:tcW w:w="825" w:type="pct"/>
            <w:tcBorders>
              <w:lef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w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artość</w:t>
            </w:r>
          </w:p>
        </w:tc>
        <w:tc>
          <w:tcPr>
            <w:tcW w:w="824" w:type="pct"/>
            <w:tcBorders>
              <w:top w:val="nil"/>
              <w:right w:val="nil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s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truktura wg wartości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Merge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90" w:type="pct"/>
            <w:vMerge/>
            <w:tcBorders>
              <w:bottom w:val="single" w:sz="12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5" w:type="pct"/>
            <w:tcBorders>
              <w:left w:val="single" w:sz="4" w:space="0" w:color="212492"/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824" w:type="pct"/>
            <w:tcBorders>
              <w:bottom w:val="single" w:sz="12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w %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 xml:space="preserve">Eksport 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ogółem, z tego:</w:t>
            </w:r>
          </w:p>
        </w:tc>
        <w:tc>
          <w:tcPr>
            <w:tcW w:w="890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sz w:val="16"/>
                <w:szCs w:val="16"/>
              </w:rPr>
              <w:t>1</w:t>
            </w:r>
            <w:r>
              <w:rPr>
                <w:rFonts w:eastAsia="Fira Sans Light" w:cs="Calibri"/>
                <w:b/>
                <w:sz w:val="16"/>
                <w:szCs w:val="16"/>
              </w:rPr>
              <w:t> </w:t>
            </w:r>
            <w:r w:rsidRPr="00B8049B">
              <w:rPr>
                <w:rFonts w:eastAsia="Fira Sans Light" w:cs="Calibri"/>
                <w:b/>
                <w:sz w:val="16"/>
                <w:szCs w:val="16"/>
              </w:rPr>
              <w:t>212</w:t>
            </w:r>
          </w:p>
        </w:tc>
        <w:tc>
          <w:tcPr>
            <w:tcW w:w="82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sz w:val="16"/>
                <w:szCs w:val="16"/>
              </w:rPr>
              <w:t>320 424,8</w:t>
            </w:r>
          </w:p>
        </w:tc>
        <w:tc>
          <w:tcPr>
            <w:tcW w:w="824" w:type="pct"/>
            <w:tcBorders>
              <w:top w:val="single" w:sz="12" w:space="0" w:color="212492"/>
              <w:bottom w:val="single" w:sz="4" w:space="0" w:color="212492"/>
              <w:right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przedsiębiorstwa działające samodzielnie</w:t>
            </w:r>
          </w:p>
        </w:tc>
        <w:tc>
          <w:tcPr>
            <w:tcW w:w="890" w:type="pct"/>
            <w:tcBorders>
              <w:top w:val="single" w:sz="4" w:space="0" w:color="212492"/>
              <w:right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380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44 174,7</w:t>
            </w:r>
          </w:p>
        </w:tc>
        <w:tc>
          <w:tcPr>
            <w:tcW w:w="824" w:type="pct"/>
            <w:tcBorders>
              <w:top w:val="single" w:sz="4" w:space="0" w:color="212492"/>
              <w:right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13,8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w grupie kapitałowej</w:t>
            </w:r>
          </w:p>
        </w:tc>
        <w:tc>
          <w:tcPr>
            <w:tcW w:w="890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219</w:t>
            </w:r>
          </w:p>
        </w:tc>
        <w:tc>
          <w:tcPr>
            <w:tcW w:w="825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88 860,2</w:t>
            </w:r>
          </w:p>
        </w:tc>
        <w:tc>
          <w:tcPr>
            <w:tcW w:w="824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27,7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zależne w grupie kapitałowej</w:t>
            </w:r>
          </w:p>
        </w:tc>
        <w:tc>
          <w:tcPr>
            <w:tcW w:w="890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420</w:t>
            </w:r>
          </w:p>
        </w:tc>
        <w:tc>
          <w:tcPr>
            <w:tcW w:w="825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124 807,9</w:t>
            </w:r>
          </w:p>
        </w:tc>
        <w:tc>
          <w:tcPr>
            <w:tcW w:w="824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39,0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i zależne w grupie kapitałowej</w:t>
            </w:r>
          </w:p>
        </w:tc>
        <w:tc>
          <w:tcPr>
            <w:tcW w:w="890" w:type="pct"/>
            <w:tcBorders>
              <w:bottom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193</w:t>
            </w:r>
          </w:p>
        </w:tc>
        <w:tc>
          <w:tcPr>
            <w:tcW w:w="825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62 582,0</w:t>
            </w:r>
          </w:p>
        </w:tc>
        <w:tc>
          <w:tcPr>
            <w:tcW w:w="824" w:type="pct"/>
            <w:tcBorders>
              <w:bottom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19,5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 xml:space="preserve">Import 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ogółem, z tego:</w:t>
            </w:r>
          </w:p>
        </w:tc>
        <w:tc>
          <w:tcPr>
            <w:tcW w:w="890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sz w:val="16"/>
                <w:szCs w:val="16"/>
              </w:rPr>
              <w:t>1</w:t>
            </w:r>
            <w:r>
              <w:rPr>
                <w:rFonts w:eastAsia="Fira Sans Light" w:cs="Calibri"/>
                <w:b/>
                <w:sz w:val="16"/>
                <w:szCs w:val="16"/>
              </w:rPr>
              <w:t> </w:t>
            </w:r>
            <w:r w:rsidRPr="00B8049B">
              <w:rPr>
                <w:rFonts w:eastAsia="Fira Sans Light" w:cs="Calibri"/>
                <w:b/>
                <w:sz w:val="16"/>
                <w:szCs w:val="16"/>
              </w:rPr>
              <w:t>299</w:t>
            </w:r>
          </w:p>
        </w:tc>
        <w:tc>
          <w:tcPr>
            <w:tcW w:w="82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sz w:val="16"/>
                <w:szCs w:val="16"/>
              </w:rPr>
              <w:t>304 917,3</w:t>
            </w:r>
          </w:p>
        </w:tc>
        <w:tc>
          <w:tcPr>
            <w:tcW w:w="824" w:type="pct"/>
            <w:tcBorders>
              <w:top w:val="single" w:sz="12" w:space="0" w:color="212492"/>
              <w:bottom w:val="single" w:sz="4" w:space="0" w:color="212492"/>
              <w:right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p</w:t>
            </w:r>
            <w:r>
              <w:rPr>
                <w:rFonts w:eastAsia="Fira Sans Light" w:cs="Times New Roman"/>
                <w:sz w:val="16"/>
                <w:szCs w:val="16"/>
              </w:rPr>
              <w:t>rzedsiębiorstwa działające samo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dzielnie</w:t>
            </w:r>
          </w:p>
        </w:tc>
        <w:tc>
          <w:tcPr>
            <w:tcW w:w="890" w:type="pct"/>
            <w:tcBorders>
              <w:top w:val="single" w:sz="4" w:space="0" w:color="212492"/>
              <w:right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418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29 767,6</w:t>
            </w:r>
          </w:p>
        </w:tc>
        <w:tc>
          <w:tcPr>
            <w:tcW w:w="824" w:type="pct"/>
            <w:tcBorders>
              <w:top w:val="single" w:sz="4" w:space="0" w:color="212492"/>
              <w:right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9,8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w grupie kapitałowej</w:t>
            </w:r>
          </w:p>
        </w:tc>
        <w:tc>
          <w:tcPr>
            <w:tcW w:w="890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227</w:t>
            </w:r>
          </w:p>
        </w:tc>
        <w:tc>
          <w:tcPr>
            <w:tcW w:w="825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116 555,1</w:t>
            </w:r>
          </w:p>
        </w:tc>
        <w:tc>
          <w:tcPr>
            <w:tcW w:w="824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38,2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zależne w grupie kapitałowej</w:t>
            </w:r>
          </w:p>
        </w:tc>
        <w:tc>
          <w:tcPr>
            <w:tcW w:w="890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449</w:t>
            </w:r>
          </w:p>
        </w:tc>
        <w:tc>
          <w:tcPr>
            <w:tcW w:w="825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99 328,1</w:t>
            </w:r>
          </w:p>
        </w:tc>
        <w:tc>
          <w:tcPr>
            <w:tcW w:w="824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32,6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i zależne w grupie kapitałowej</w:t>
            </w:r>
          </w:p>
        </w:tc>
        <w:tc>
          <w:tcPr>
            <w:tcW w:w="890" w:type="pct"/>
            <w:tcBorders>
              <w:bottom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205</w:t>
            </w:r>
          </w:p>
        </w:tc>
        <w:tc>
          <w:tcPr>
            <w:tcW w:w="825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59 266,6</w:t>
            </w:r>
          </w:p>
        </w:tc>
        <w:tc>
          <w:tcPr>
            <w:tcW w:w="824" w:type="pct"/>
            <w:tcBorders>
              <w:bottom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19,4</w:t>
            </w:r>
          </w:p>
        </w:tc>
      </w:tr>
    </w:tbl>
    <w:p w:rsidR="00EC1873" w:rsidRDefault="00EC1873" w:rsidP="00EC1873">
      <w:pPr>
        <w:spacing w:before="0" w:after="0" w:line="240" w:lineRule="auto"/>
        <w:jc w:val="both"/>
        <w:rPr>
          <w:rFonts w:eastAsia="Fira Sans Light" w:cs="Times New Roman"/>
          <w:i/>
          <w:sz w:val="16"/>
          <w:szCs w:val="16"/>
          <w:shd w:val="clear" w:color="auto" w:fill="FFFFFF"/>
        </w:rPr>
      </w:pPr>
    </w:p>
    <w:p w:rsidR="00EC1873" w:rsidRPr="00B8049B" w:rsidRDefault="00EC1873" w:rsidP="00EC1873">
      <w:pPr>
        <w:spacing w:before="0" w:after="0" w:line="240" w:lineRule="auto"/>
        <w:jc w:val="both"/>
        <w:rPr>
          <w:rFonts w:eastAsia="Fira Sans Light" w:cs="Times New Roman"/>
          <w:i/>
          <w:sz w:val="16"/>
          <w:szCs w:val="16"/>
          <w:shd w:val="clear" w:color="auto" w:fill="FFFFFF"/>
        </w:rPr>
      </w:pPr>
      <w:r w:rsidRPr="00B8049B">
        <w:rPr>
          <w:rFonts w:eastAsia="Fira Sans Light" w:cs="Times New Roman"/>
          <w:i/>
          <w:sz w:val="16"/>
          <w:szCs w:val="16"/>
          <w:shd w:val="clear" w:color="auto" w:fill="FFFFFF"/>
        </w:rPr>
        <w:t xml:space="preserve">Szczegółowe dane o wartości importu i eksportu oraz ich strukturze walutowej zamieszczono w załączniku do </w:t>
      </w:r>
      <w:r w:rsidRPr="00A7231B">
        <w:rPr>
          <w:rFonts w:eastAsia="Fira Sans Light" w:cs="Times New Roman"/>
          <w:i/>
          <w:sz w:val="16"/>
          <w:szCs w:val="16"/>
          <w:shd w:val="clear" w:color="auto" w:fill="FFFFFF"/>
        </w:rPr>
        <w:t xml:space="preserve">Informacji sygnalnej </w:t>
      </w:r>
      <w:r w:rsidRPr="00B8049B">
        <w:rPr>
          <w:rFonts w:eastAsia="Fira Sans Light" w:cs="Times New Roman"/>
          <w:i/>
          <w:sz w:val="16"/>
          <w:szCs w:val="16"/>
          <w:shd w:val="clear" w:color="auto" w:fill="FFFFFF"/>
        </w:rPr>
        <w:t>w Tabl. 15-20.</w:t>
      </w:r>
    </w:p>
    <w:p w:rsidR="00EC1873" w:rsidRDefault="00EC1873" w:rsidP="00EC1873">
      <w:pPr>
        <w:spacing w:before="240" w:after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:rsidR="00EC1873" w:rsidRPr="00B8049B" w:rsidRDefault="00EC1873" w:rsidP="00EC1873">
      <w:pPr>
        <w:spacing w:before="240" w:after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59D7B8" wp14:editId="1CB55F99">
                <wp:simplePos x="0" y="0"/>
                <wp:positionH relativeFrom="column">
                  <wp:posOffset>5213445</wp:posOffset>
                </wp:positionH>
                <wp:positionV relativeFrom="paragraph">
                  <wp:posOffset>221776</wp:posOffset>
                </wp:positionV>
                <wp:extent cx="1806949" cy="1289714"/>
                <wp:effectExtent l="0" t="0" r="0" b="5715"/>
                <wp:wrapNone/>
                <wp:docPr id="198" name="Pole tekstow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949" cy="1289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43B" w:rsidRPr="00644C13" w:rsidRDefault="0012543B" w:rsidP="00EC1873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J</w:t>
                            </w: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>ednostki dominujące w grupie kapitałowej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wykazały najwię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szą wartość instrumentów finansowych – udziały w stru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turze odpowiednio </w:t>
                            </w:r>
                            <w:r w:rsidRPr="00644C13">
                              <w:rPr>
                                <w:color w:val="002060"/>
                                <w:sz w:val="18"/>
                                <w:szCs w:val="18"/>
                              </w:rPr>
                              <w:t>57,0% i 43,3%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po stronie aktywów i pasywów.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59D7B8" id="Pole tekstowe 198" o:spid="_x0000_s1040" type="#_x0000_t202" style="position:absolute;left:0;text-align:left;margin-left:410.5pt;margin-top:17.45pt;width:142.3pt;height:101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" filled="f" stroked="f" strokeweight=".5pt">
                <v:textbox>
                  <w:txbxContent>
                    <w:p w:rsidR="0012543B" w:rsidRPr="00644C13" w:rsidRDefault="0012543B" w:rsidP="00EC1873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>J</w:t>
                      </w:r>
                      <w:r w:rsidRPr="00644C13">
                        <w:rPr>
                          <w:color w:val="002060"/>
                          <w:sz w:val="18"/>
                          <w:szCs w:val="18"/>
                        </w:rPr>
                        <w:t>ednostki dominujące w grupie kapitałowej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wykazały największą wartość instrumentów finansowych – udziały w strukturze odpowiednio </w:t>
                      </w:r>
                      <w:r w:rsidRPr="00644C13">
                        <w:rPr>
                          <w:color w:val="002060"/>
                          <w:sz w:val="18"/>
                          <w:szCs w:val="18"/>
                        </w:rPr>
                        <w:t>57,0% i 43,3%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po stronie aktywów i pasywów.</w:t>
                      </w:r>
                    </w:p>
                  </w:txbxContent>
                </v:textbox>
              </v:shape>
            </w:pict>
          </mc:Fallback>
        </mc:AlternateContent>
      </w:r>
      <w:r w:rsidRPr="00B8049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Instrumenty finansowe, w tym instrumenty pochodne badanych przedsiębiorstw</w:t>
      </w:r>
      <w:r>
        <w:rPr>
          <w:rStyle w:val="Odwoanieprzypisudolnego"/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footnoteReference w:id="6"/>
      </w:r>
    </w:p>
    <w:p w:rsidR="00EC1873" w:rsidRPr="00B8049B" w:rsidRDefault="00EC1873" w:rsidP="00EC1873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a. </w:t>
      </w:r>
      <w:r w:rsidRPr="00B8049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Instrumenty finansowe</w:t>
      </w:r>
    </w:p>
    <w:p w:rsidR="00EC1873" w:rsidRPr="00B8049B" w:rsidRDefault="00EC1873" w:rsidP="00EC1873">
      <w:pPr>
        <w:jc w:val="both"/>
        <w:rPr>
          <w:rFonts w:eastAsia="Times New Roman" w:cs="Times New Roman"/>
          <w:bCs/>
          <w:szCs w:val="24"/>
          <w:lang w:eastAsia="pl-PL"/>
        </w:rPr>
      </w:pPr>
      <w:r w:rsidRPr="00B8049B">
        <w:rPr>
          <w:rFonts w:eastAsia="Times New Roman" w:cs="Times New Roman"/>
          <w:bCs/>
          <w:szCs w:val="24"/>
          <w:lang w:eastAsia="pl-PL"/>
        </w:rPr>
        <w:t>Instrumenty finansowe po stronie aktywów lub pasywów wykazało w 2017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r. łącznie 1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705 podmiotów. Instrumenty finansowe w aktywach wykazało 1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641 przedsiębiorstw i stanowiły one 95,9% ogółu badanych podmiotów. Instrumenty finansowe w pasywach wykazało 1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406 podmiotów, czyli 82,2% ogółu.</w:t>
      </w:r>
    </w:p>
    <w:p w:rsidR="00EC1873" w:rsidRDefault="00EC1873" w:rsidP="00EC1873">
      <w:pPr>
        <w:jc w:val="both"/>
        <w:rPr>
          <w:rFonts w:eastAsia="Times New Roman" w:cs="Times New Roman"/>
          <w:b/>
          <w:bCs/>
          <w:sz w:val="18"/>
          <w:szCs w:val="18"/>
          <w:lang w:eastAsia="pl-PL"/>
        </w:rPr>
      </w:pPr>
    </w:p>
    <w:p w:rsidR="00EC1873" w:rsidRDefault="00EC1873" w:rsidP="00EC1873">
      <w:pPr>
        <w:jc w:val="both"/>
        <w:rPr>
          <w:rFonts w:eastAsia="Times New Roman" w:cs="Times New Roman"/>
          <w:b/>
          <w:bCs/>
          <w:sz w:val="18"/>
          <w:szCs w:val="18"/>
          <w:lang w:eastAsia="pl-PL"/>
        </w:rPr>
      </w:pPr>
    </w:p>
    <w:p w:rsidR="00EC1873" w:rsidRDefault="00EC1873" w:rsidP="00EC1873">
      <w:pPr>
        <w:jc w:val="both"/>
        <w:rPr>
          <w:rFonts w:eastAsia="Times New Roman" w:cs="Times New Roman"/>
          <w:b/>
          <w:bCs/>
          <w:sz w:val="18"/>
          <w:szCs w:val="18"/>
          <w:lang w:eastAsia="pl-PL"/>
        </w:rPr>
      </w:pPr>
    </w:p>
    <w:p w:rsidR="00EC1873" w:rsidRPr="00B8049B" w:rsidRDefault="00EC1873" w:rsidP="00EC1873">
      <w:pPr>
        <w:jc w:val="both"/>
        <w:rPr>
          <w:rFonts w:eastAsia="Times New Roman" w:cs="Times New Roman"/>
          <w:b/>
          <w:bCs/>
          <w:sz w:val="18"/>
          <w:szCs w:val="18"/>
          <w:lang w:eastAsia="pl-PL"/>
        </w:rPr>
      </w:pPr>
      <w:r w:rsidRPr="00B8049B">
        <w:rPr>
          <w:rFonts w:eastAsia="Times New Roman" w:cs="Times New Roman"/>
          <w:b/>
          <w:bCs/>
          <w:sz w:val="18"/>
          <w:szCs w:val="18"/>
          <w:lang w:eastAsia="pl-PL"/>
        </w:rPr>
        <w:t>Tablica 4. Instrumenty finansowe według statusu organizacyjnego przedsiębiorstw</w:t>
      </w:r>
    </w:p>
    <w:tbl>
      <w:tblPr>
        <w:tblStyle w:val="Siatkatabelijasna11"/>
        <w:tblpPr w:leftFromText="141" w:rightFromText="141" w:vertAnchor="text" w:horzAnchor="margin" w:tblpY="1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77"/>
        <w:gridCol w:w="1474"/>
        <w:gridCol w:w="1367"/>
        <w:gridCol w:w="1365"/>
      </w:tblGrid>
      <w:tr w:rsidR="00EC1873" w:rsidRPr="00B8049B" w:rsidTr="0012543B">
        <w:trPr>
          <w:trHeight w:hRule="exact" w:val="619"/>
        </w:trPr>
        <w:tc>
          <w:tcPr>
            <w:tcW w:w="2461" w:type="pct"/>
            <w:vMerge w:val="restart"/>
            <w:vAlign w:val="center"/>
          </w:tcPr>
          <w:p w:rsidR="00EC1873" w:rsidRPr="00B8049B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B8049B">
              <w:rPr>
                <w:rFonts w:ascii="Fira Sans SemiBold" w:eastAsia="Times New Roman" w:hAnsi="Fira Sans SemiBold" w:cs="Times New Roman"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890" w:type="pct"/>
            <w:vMerge w:val="restart"/>
            <w:tcBorders>
              <w:top w:val="nil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l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iczba </w:t>
            </w:r>
          </w:p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przedsiębiorstw</w:t>
            </w:r>
          </w:p>
        </w:tc>
        <w:tc>
          <w:tcPr>
            <w:tcW w:w="825" w:type="pct"/>
            <w:tcBorders>
              <w:lef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Wartość</w:t>
            </w:r>
          </w:p>
        </w:tc>
        <w:tc>
          <w:tcPr>
            <w:tcW w:w="824" w:type="pct"/>
            <w:tcBorders>
              <w:top w:val="nil"/>
              <w:right w:val="nil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Struktura wg wartości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Merge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90" w:type="pct"/>
            <w:vMerge/>
            <w:tcBorders>
              <w:bottom w:val="single" w:sz="12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5" w:type="pct"/>
            <w:tcBorders>
              <w:left w:val="single" w:sz="4" w:space="0" w:color="212492"/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824" w:type="pct"/>
            <w:tcBorders>
              <w:bottom w:val="single" w:sz="12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w %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 xml:space="preserve">Instrumenty finansowe – aktywa 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ogółem, z tego:</w:t>
            </w:r>
          </w:p>
        </w:tc>
        <w:tc>
          <w:tcPr>
            <w:tcW w:w="890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bCs/>
                <w:sz w:val="16"/>
                <w:szCs w:val="16"/>
              </w:rPr>
              <w:t>1</w:t>
            </w:r>
            <w:r>
              <w:rPr>
                <w:rFonts w:eastAsia="Fira Sans Light" w:cs="Calibri"/>
                <w:b/>
                <w:bCs/>
                <w:sz w:val="16"/>
                <w:szCs w:val="16"/>
              </w:rPr>
              <w:t> </w:t>
            </w:r>
            <w:r w:rsidRPr="00B8049B">
              <w:rPr>
                <w:rFonts w:eastAsia="Fira Sans Light" w:cs="Calibri"/>
                <w:b/>
                <w:bCs/>
                <w:sz w:val="16"/>
                <w:szCs w:val="16"/>
              </w:rPr>
              <w:t>641</w:t>
            </w:r>
          </w:p>
        </w:tc>
        <w:tc>
          <w:tcPr>
            <w:tcW w:w="82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Calibri" w:cs="Calibri"/>
                <w:b/>
                <w:sz w:val="16"/>
                <w:szCs w:val="16"/>
              </w:rPr>
            </w:pPr>
            <w:r w:rsidRPr="00B8049B">
              <w:rPr>
                <w:rFonts w:eastAsia="Calibri" w:cs="Calibri"/>
                <w:b/>
                <w:sz w:val="16"/>
                <w:szCs w:val="16"/>
              </w:rPr>
              <w:t>352 553,4</w:t>
            </w:r>
          </w:p>
        </w:tc>
        <w:tc>
          <w:tcPr>
            <w:tcW w:w="824" w:type="pct"/>
            <w:tcBorders>
              <w:top w:val="single" w:sz="12" w:space="0" w:color="212492"/>
              <w:bottom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Calibri" w:cs="Calibri"/>
                <w:b/>
                <w:sz w:val="16"/>
                <w:szCs w:val="16"/>
              </w:rPr>
            </w:pPr>
            <w:r w:rsidRPr="00B8049B">
              <w:rPr>
                <w:rFonts w:eastAsia="Calibri" w:cs="Calibri"/>
                <w:b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przedsiębiorstwa działające samodzielnie</w:t>
            </w:r>
          </w:p>
        </w:tc>
        <w:tc>
          <w:tcPr>
            <w:tcW w:w="890" w:type="pct"/>
            <w:tcBorders>
              <w:top w:val="single" w:sz="4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618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18 721,6</w:t>
            </w:r>
          </w:p>
        </w:tc>
        <w:tc>
          <w:tcPr>
            <w:tcW w:w="824" w:type="pct"/>
            <w:tcBorders>
              <w:top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5,3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w grupie kapitałowej</w:t>
            </w:r>
          </w:p>
        </w:tc>
        <w:tc>
          <w:tcPr>
            <w:tcW w:w="89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289</w:t>
            </w:r>
          </w:p>
        </w:tc>
        <w:tc>
          <w:tcPr>
            <w:tcW w:w="825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200 901,1</w:t>
            </w:r>
          </w:p>
        </w:tc>
        <w:tc>
          <w:tcPr>
            <w:tcW w:w="824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57,0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zależne w grupie kapitałowej</w:t>
            </w:r>
          </w:p>
        </w:tc>
        <w:tc>
          <w:tcPr>
            <w:tcW w:w="89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496</w:t>
            </w:r>
          </w:p>
        </w:tc>
        <w:tc>
          <w:tcPr>
            <w:tcW w:w="825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45 687,3</w:t>
            </w:r>
          </w:p>
        </w:tc>
        <w:tc>
          <w:tcPr>
            <w:tcW w:w="824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13,0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i zależne w grupie kapitałowej</w:t>
            </w:r>
          </w:p>
        </w:tc>
        <w:tc>
          <w:tcPr>
            <w:tcW w:w="890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238</w:t>
            </w:r>
          </w:p>
        </w:tc>
        <w:tc>
          <w:tcPr>
            <w:tcW w:w="825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87 243,5</w:t>
            </w:r>
          </w:p>
        </w:tc>
        <w:tc>
          <w:tcPr>
            <w:tcW w:w="824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24,7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 xml:space="preserve">Instrumenty finansowe – pasywa 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ogółem, z tego:</w:t>
            </w:r>
          </w:p>
        </w:tc>
        <w:tc>
          <w:tcPr>
            <w:tcW w:w="890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bCs/>
                <w:sz w:val="16"/>
                <w:szCs w:val="16"/>
              </w:rPr>
              <w:t>1</w:t>
            </w:r>
            <w:r>
              <w:rPr>
                <w:rFonts w:eastAsia="Fira Sans Light" w:cs="Calibri"/>
                <w:b/>
                <w:bCs/>
                <w:sz w:val="16"/>
                <w:szCs w:val="16"/>
              </w:rPr>
              <w:t> </w:t>
            </w:r>
            <w:r w:rsidRPr="00B8049B">
              <w:rPr>
                <w:rFonts w:eastAsia="Fira Sans Light" w:cs="Calibri"/>
                <w:b/>
                <w:bCs/>
                <w:sz w:val="16"/>
                <w:szCs w:val="16"/>
              </w:rPr>
              <w:t>406</w:t>
            </w:r>
          </w:p>
        </w:tc>
        <w:tc>
          <w:tcPr>
            <w:tcW w:w="82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bCs/>
                <w:sz w:val="16"/>
                <w:szCs w:val="16"/>
              </w:rPr>
              <w:t>334 159,4</w:t>
            </w:r>
          </w:p>
        </w:tc>
        <w:tc>
          <w:tcPr>
            <w:tcW w:w="824" w:type="pct"/>
            <w:tcBorders>
              <w:top w:val="single" w:sz="12" w:space="0" w:color="212492"/>
              <w:bottom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bCs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przedsiębiorstwa działające samodzielnie</w:t>
            </w:r>
          </w:p>
        </w:tc>
        <w:tc>
          <w:tcPr>
            <w:tcW w:w="890" w:type="pct"/>
            <w:tcBorders>
              <w:top w:val="single" w:sz="4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519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17 300,4</w:t>
            </w:r>
          </w:p>
        </w:tc>
        <w:tc>
          <w:tcPr>
            <w:tcW w:w="824" w:type="pct"/>
            <w:tcBorders>
              <w:top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5,2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w grupie kapitałowej</w:t>
            </w:r>
          </w:p>
        </w:tc>
        <w:tc>
          <w:tcPr>
            <w:tcW w:w="89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260</w:t>
            </w:r>
          </w:p>
        </w:tc>
        <w:tc>
          <w:tcPr>
            <w:tcW w:w="825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144 698,3</w:t>
            </w:r>
          </w:p>
        </w:tc>
        <w:tc>
          <w:tcPr>
            <w:tcW w:w="824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43,3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zależne w grupie kapitałowej</w:t>
            </w:r>
          </w:p>
        </w:tc>
        <w:tc>
          <w:tcPr>
            <w:tcW w:w="89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411</w:t>
            </w:r>
          </w:p>
        </w:tc>
        <w:tc>
          <w:tcPr>
            <w:tcW w:w="825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39 963,7</w:t>
            </w:r>
          </w:p>
        </w:tc>
        <w:tc>
          <w:tcPr>
            <w:tcW w:w="824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12,0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i zależne w grupie kapitałowej</w:t>
            </w:r>
          </w:p>
        </w:tc>
        <w:tc>
          <w:tcPr>
            <w:tcW w:w="890" w:type="pct"/>
            <w:tcBorders>
              <w:bottom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216</w:t>
            </w:r>
          </w:p>
        </w:tc>
        <w:tc>
          <w:tcPr>
            <w:tcW w:w="825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132 197,0</w:t>
            </w:r>
          </w:p>
        </w:tc>
        <w:tc>
          <w:tcPr>
            <w:tcW w:w="824" w:type="pct"/>
            <w:tcBorders>
              <w:bottom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Calibri"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Cs/>
                <w:sz w:val="16"/>
                <w:szCs w:val="16"/>
              </w:rPr>
              <w:t>39,6</w:t>
            </w:r>
          </w:p>
        </w:tc>
      </w:tr>
    </w:tbl>
    <w:p w:rsidR="00EC1873" w:rsidRPr="00B8049B" w:rsidRDefault="00EC1873" w:rsidP="00EC1873">
      <w:pPr>
        <w:spacing w:before="240" w:after="240"/>
        <w:jc w:val="both"/>
        <w:rPr>
          <w:rFonts w:eastAsia="Times New Roman" w:cs="Times New Roman"/>
          <w:bCs/>
          <w:szCs w:val="24"/>
          <w:lang w:eastAsia="pl-PL"/>
        </w:rPr>
      </w:pPr>
      <w:r w:rsidRPr="00B8049B">
        <w:rPr>
          <w:rFonts w:eastAsia="Times New Roman" w:cs="Times New Roman"/>
          <w:bCs/>
          <w:szCs w:val="24"/>
          <w:lang w:eastAsia="pl-PL"/>
        </w:rPr>
        <w:t xml:space="preserve">Wartość instrumentów finansowych </w:t>
      </w:r>
      <w:r>
        <w:rPr>
          <w:rFonts w:eastAsia="Times New Roman" w:cs="Times New Roman"/>
          <w:bCs/>
          <w:szCs w:val="24"/>
          <w:lang w:eastAsia="pl-PL"/>
        </w:rPr>
        <w:t>tej grupy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przedsiębiorstw</w:t>
      </w:r>
      <w:r>
        <w:rPr>
          <w:rFonts w:eastAsia="Times New Roman" w:cs="Times New Roman"/>
          <w:bCs/>
          <w:szCs w:val="24"/>
          <w:lang w:eastAsia="pl-PL"/>
        </w:rPr>
        <w:t>,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wykazanych po stronie akt</w:t>
      </w:r>
      <w:r w:rsidRPr="00B8049B">
        <w:rPr>
          <w:rFonts w:eastAsia="Times New Roman" w:cs="Times New Roman"/>
          <w:bCs/>
          <w:szCs w:val="24"/>
          <w:lang w:eastAsia="pl-PL"/>
        </w:rPr>
        <w:t>y</w:t>
      </w:r>
      <w:r w:rsidRPr="00B8049B">
        <w:rPr>
          <w:rFonts w:eastAsia="Times New Roman" w:cs="Times New Roman"/>
          <w:bCs/>
          <w:szCs w:val="24"/>
          <w:lang w:eastAsia="pl-PL"/>
        </w:rPr>
        <w:t>wów, wyniosła 352,6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zł, w tym największe udziały należały do kategorii „instrumenty dłużne” – 55,3%, oraz „udziałowe instrumenty kapitałowe” – 42,5%. W przedsiębiorstwach działających samodzielnie wartość instrumentów finansowych w aktywach wyniosła 18,7</w:t>
      </w:r>
      <w:r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zł, w tym największe udziały należały do kategorii: „instrumenty dłużne” – 64,7%</w:t>
      </w:r>
      <w:r>
        <w:rPr>
          <w:rFonts w:eastAsia="Times New Roman" w:cs="Times New Roman"/>
          <w:bCs/>
          <w:szCs w:val="24"/>
          <w:lang w:eastAsia="pl-PL"/>
        </w:rPr>
        <w:t>.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W</w:t>
      </w:r>
      <w:r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jednostkach dominujących w grupie kapitałowej instrumenty finansowe w aktywach w</w:t>
      </w:r>
      <w:r w:rsidRPr="00B8049B">
        <w:rPr>
          <w:rFonts w:eastAsia="Times New Roman" w:cs="Times New Roman"/>
          <w:bCs/>
          <w:szCs w:val="24"/>
          <w:lang w:eastAsia="pl-PL"/>
        </w:rPr>
        <w:t>y</w:t>
      </w:r>
      <w:r w:rsidRPr="00B8049B">
        <w:rPr>
          <w:rFonts w:eastAsia="Times New Roman" w:cs="Times New Roman"/>
          <w:bCs/>
          <w:szCs w:val="24"/>
          <w:lang w:eastAsia="pl-PL"/>
        </w:rPr>
        <w:t>niosły 200,9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zł, w tym najwięcej bo 51,1% stanowiła kategoria „instrumenty dłużne” oraz 48,0% „udziałowe instrumenty kapitałowe”. Podobnie w jednostkach dominujących i zale</w:t>
      </w:r>
      <w:r w:rsidRPr="00B8049B">
        <w:rPr>
          <w:rFonts w:eastAsia="Times New Roman" w:cs="Times New Roman"/>
          <w:bCs/>
          <w:szCs w:val="24"/>
          <w:lang w:eastAsia="pl-PL"/>
        </w:rPr>
        <w:t>ż</w:t>
      </w:r>
      <w:r w:rsidRPr="00B8049B">
        <w:rPr>
          <w:rFonts w:eastAsia="Times New Roman" w:cs="Times New Roman"/>
          <w:bCs/>
          <w:szCs w:val="24"/>
          <w:lang w:eastAsia="pl-PL"/>
        </w:rPr>
        <w:t>nych oraz zależnych instrumenty finansowe w aktywach wyniosły odpowiednio 87,2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mld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 oraz 45,7</w:t>
      </w:r>
      <w:r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zł, w tym największy udział miały „instrumenty dłużne” – odpowiednio 60,6% oraz 59,7%.</w:t>
      </w:r>
    </w:p>
    <w:p w:rsidR="00EC1873" w:rsidRPr="00B8049B" w:rsidRDefault="00EC1873" w:rsidP="00EC1873">
      <w:pPr>
        <w:jc w:val="both"/>
        <w:rPr>
          <w:rFonts w:eastAsia="Fira Sans Light" w:cs="Times New Roman"/>
          <w:shd w:val="clear" w:color="auto" w:fill="FFFFFF"/>
        </w:rPr>
      </w:pPr>
      <w:r w:rsidRPr="00B8049B">
        <w:rPr>
          <w:rFonts w:eastAsia="Fira Sans Light" w:cs="Times New Roman"/>
          <w:shd w:val="clear" w:color="auto" w:fill="FFFFFF"/>
        </w:rPr>
        <w:t>Wartość instrumentów finansowych po stronie pasywów badanych przedsiębiorstw wyniosła 334,2</w:t>
      </w:r>
      <w:r w:rsidR="0090117D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mld</w:t>
      </w:r>
      <w:r w:rsidR="0090117D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zł, w tym największy udział należał do kategorii „kredyty i pożyczki do spłaty” – 58,2% oraz „zobowiązań z tytułu emisji własnych obligacji” – 22,5%. W przedsiębiorstwach działających samodzielnie wartość instrumentów finansowych w pasywach wyniosła 17,3</w:t>
      </w:r>
      <w:r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mld</w:t>
      </w:r>
      <w:r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zł, w tym największy udział należał do kategorii „kredyty i pożyczki do spłaty” – 70,8%. W jednostkach dominujących w grupie kapit</w:t>
      </w:r>
      <w:r>
        <w:rPr>
          <w:rFonts w:eastAsia="Fira Sans Light" w:cs="Times New Roman"/>
          <w:shd w:val="clear" w:color="auto" w:fill="FFFFFF"/>
        </w:rPr>
        <w:t xml:space="preserve">ałowej instrumenty finansowe w </w:t>
      </w:r>
      <w:r w:rsidRPr="00B8049B">
        <w:rPr>
          <w:rFonts w:eastAsia="Fira Sans Light" w:cs="Times New Roman"/>
          <w:shd w:val="clear" w:color="auto" w:fill="FFFFFF"/>
        </w:rPr>
        <w:t>pasywach wyniosły 144,7</w:t>
      </w:r>
      <w:r w:rsidR="0090117D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mld</w:t>
      </w:r>
      <w:r w:rsidR="0090117D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zł, w tym najwięcej, bo 51,2% stanowiła kategoria – „kredyty i pożyczki do spłaty”. Podobnie w jednostkach dominujących i jednocześnie zależnych oraz zależnych w grupie kapitałowej wartość instrumentów finansowych w pasywach wyniosła odpowiednio 132,2</w:t>
      </w:r>
      <w:r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mld</w:t>
      </w:r>
      <w:r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zł i 40,0</w:t>
      </w:r>
      <w:r w:rsidR="0090117D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mld</w:t>
      </w:r>
      <w:r w:rsidR="0090117D">
        <w:rPr>
          <w:rFonts w:eastAsia="Fira Sans Light" w:cs="Times New Roman"/>
          <w:shd w:val="clear" w:color="auto" w:fill="FFFFFF"/>
        </w:rPr>
        <w:t> </w:t>
      </w:r>
      <w:r w:rsidRPr="00B8049B">
        <w:rPr>
          <w:rFonts w:eastAsia="Fira Sans Light" w:cs="Times New Roman"/>
          <w:shd w:val="clear" w:color="auto" w:fill="FFFFFF"/>
        </w:rPr>
        <w:t>zł</w:t>
      </w:r>
      <w:r>
        <w:rPr>
          <w:rFonts w:eastAsia="Fira Sans Light" w:cs="Times New Roman"/>
          <w:shd w:val="clear" w:color="auto" w:fill="FFFFFF"/>
        </w:rPr>
        <w:t>,</w:t>
      </w:r>
      <w:r w:rsidRPr="00B8049B">
        <w:rPr>
          <w:rFonts w:eastAsia="Fira Sans Light" w:cs="Times New Roman"/>
          <w:shd w:val="clear" w:color="auto" w:fill="FFFFFF"/>
        </w:rPr>
        <w:t xml:space="preserve"> w tym największy udział miała kategoria „kredyty i pożyczki do spł</w:t>
      </w:r>
      <w:r w:rsidRPr="00B8049B">
        <w:rPr>
          <w:rFonts w:eastAsia="Fira Sans Light" w:cs="Times New Roman"/>
          <w:shd w:val="clear" w:color="auto" w:fill="FFFFFF"/>
        </w:rPr>
        <w:t>a</w:t>
      </w:r>
      <w:r w:rsidRPr="00B8049B">
        <w:rPr>
          <w:rFonts w:eastAsia="Fira Sans Light" w:cs="Times New Roman"/>
          <w:shd w:val="clear" w:color="auto" w:fill="FFFFFF"/>
        </w:rPr>
        <w:t>ty” – odpowiednio 62,7% i 63,2%.</w:t>
      </w:r>
    </w:p>
    <w:p w:rsidR="00EC1873" w:rsidRPr="00B8049B" w:rsidRDefault="00EC1873" w:rsidP="00EC1873">
      <w:pPr>
        <w:spacing w:before="240" w:after="240"/>
        <w:jc w:val="both"/>
        <w:rPr>
          <w:rFonts w:eastAsia="Fira Sans Light" w:cs="Times New Roman"/>
          <w:b/>
          <w:sz w:val="18"/>
          <w:szCs w:val="18"/>
          <w:shd w:val="clear" w:color="auto" w:fill="FFFFFF"/>
        </w:rPr>
      </w:pPr>
      <w:r w:rsidRPr="00B8049B">
        <w:rPr>
          <w:rFonts w:eastAsia="Fira Sans Light" w:cs="Times New Roman"/>
          <w:b/>
          <w:sz w:val="18"/>
          <w:szCs w:val="18"/>
          <w:shd w:val="clear" w:color="auto" w:fill="FFFFFF"/>
        </w:rPr>
        <w:t>Tablica 5. Instrumenty finansowe według rodzajów</w:t>
      </w:r>
    </w:p>
    <w:tbl>
      <w:tblPr>
        <w:tblStyle w:val="Siatkatabelijasna11"/>
        <w:tblpPr w:leftFromText="141" w:rightFromText="141" w:vertAnchor="text" w:horzAnchor="margin" w:tblpY="1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304"/>
        <w:gridCol w:w="1725"/>
        <w:gridCol w:w="1254"/>
      </w:tblGrid>
      <w:tr w:rsidR="00EC1873" w:rsidRPr="00B8049B" w:rsidTr="0012543B">
        <w:trPr>
          <w:trHeight w:hRule="exact" w:val="284"/>
        </w:trPr>
        <w:tc>
          <w:tcPr>
            <w:tcW w:w="3202" w:type="pct"/>
            <w:vMerge w:val="restart"/>
            <w:vAlign w:val="center"/>
          </w:tcPr>
          <w:p w:rsidR="00EC1873" w:rsidRPr="00B8049B" w:rsidRDefault="00EC1873" w:rsidP="0012543B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B8049B">
              <w:rPr>
                <w:rFonts w:ascii="Fira Sans SemiBold" w:eastAsia="Times New Roman" w:hAnsi="Fira Sans SemiBold" w:cs="Times New Roman"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98" w:type="pct"/>
            <w:gridSpan w:val="2"/>
            <w:tcBorders>
              <w:left w:val="single" w:sz="4" w:space="0" w:color="212492"/>
            </w:tcBorders>
            <w:vAlign w:val="center"/>
          </w:tcPr>
          <w:p w:rsidR="00EC1873" w:rsidRPr="00830588" w:rsidRDefault="00EC1873" w:rsidP="0012543B">
            <w:pPr>
              <w:keepNext/>
              <w:keepLines/>
              <w:spacing w:before="0" w:after="0"/>
              <w:jc w:val="center"/>
              <w:outlineLvl w:val="2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830588">
              <w:rPr>
                <w:rFonts w:eastAsia="Times New Roman" w:cs="Times New Roman"/>
                <w:b/>
                <w:sz w:val="16"/>
                <w:szCs w:val="16"/>
              </w:rPr>
              <w:t xml:space="preserve">Instrumenty finansowe </w:t>
            </w:r>
          </w:p>
        </w:tc>
      </w:tr>
      <w:tr w:rsidR="00EC1873" w:rsidRPr="00B8049B" w:rsidTr="0012543B">
        <w:trPr>
          <w:trHeight w:hRule="exact" w:val="717"/>
        </w:trPr>
        <w:tc>
          <w:tcPr>
            <w:tcW w:w="3202" w:type="pct"/>
            <w:vMerge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41" w:type="pct"/>
            <w:tcBorders>
              <w:left w:val="single" w:sz="4" w:space="0" w:color="212492"/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wartość w mln zł</w:t>
            </w:r>
          </w:p>
        </w:tc>
        <w:tc>
          <w:tcPr>
            <w:tcW w:w="757" w:type="pct"/>
            <w:tcBorders>
              <w:bottom w:val="single" w:sz="12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struktura w %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>Instrumenty finansowe – aktywa, z tego:</w:t>
            </w:r>
          </w:p>
        </w:tc>
        <w:tc>
          <w:tcPr>
            <w:tcW w:w="1041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>352 553,4</w:t>
            </w:r>
          </w:p>
        </w:tc>
        <w:tc>
          <w:tcPr>
            <w:tcW w:w="757" w:type="pct"/>
            <w:tcBorders>
              <w:top w:val="single" w:sz="12" w:space="0" w:color="212492"/>
              <w:bottom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udziałowe instrumenty kapitałowe, z tego:</w:t>
            </w:r>
          </w:p>
        </w:tc>
        <w:tc>
          <w:tcPr>
            <w:tcW w:w="1041" w:type="pct"/>
            <w:tcBorders>
              <w:top w:val="single" w:sz="4" w:space="0" w:color="212492"/>
              <w:lef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149 824,9</w:t>
            </w:r>
          </w:p>
        </w:tc>
        <w:tc>
          <w:tcPr>
            <w:tcW w:w="757" w:type="pct"/>
            <w:tcBorders>
              <w:top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42,5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udziały i akcje nienotowane</w:t>
            </w:r>
          </w:p>
        </w:tc>
        <w:tc>
          <w:tcPr>
            <w:tcW w:w="104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123 704,8</w:t>
            </w:r>
          </w:p>
        </w:tc>
        <w:tc>
          <w:tcPr>
            <w:tcW w:w="757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35,1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akcje notowane</w:t>
            </w:r>
          </w:p>
        </w:tc>
        <w:tc>
          <w:tcPr>
            <w:tcW w:w="1041" w:type="pct"/>
            <w:tcBorders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10 755,5</w:t>
            </w:r>
          </w:p>
        </w:tc>
        <w:tc>
          <w:tcPr>
            <w:tcW w:w="757" w:type="pct"/>
            <w:tcBorders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certyfikaty inwestycyjne</w:t>
            </w:r>
          </w:p>
        </w:tc>
        <w:tc>
          <w:tcPr>
            <w:tcW w:w="1041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967,5</w:t>
            </w:r>
          </w:p>
        </w:tc>
        <w:tc>
          <w:tcPr>
            <w:tcW w:w="75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lastRenderedPageBreak/>
              <w:t>jednostki uczestnictwa funduszy inwestycyjnych</w:t>
            </w:r>
          </w:p>
        </w:tc>
        <w:tc>
          <w:tcPr>
            <w:tcW w:w="104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1 557,6</w:t>
            </w:r>
          </w:p>
        </w:tc>
        <w:tc>
          <w:tcPr>
            <w:tcW w:w="757" w:type="pct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pozostałe udziałowe instrumenty kapitałowe</w:t>
            </w:r>
          </w:p>
        </w:tc>
        <w:tc>
          <w:tcPr>
            <w:tcW w:w="1041" w:type="pct"/>
            <w:tcBorders>
              <w:top w:val="single" w:sz="4" w:space="0" w:color="212492"/>
              <w:lef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12 839,6</w:t>
            </w:r>
          </w:p>
        </w:tc>
        <w:tc>
          <w:tcPr>
            <w:tcW w:w="757" w:type="pct"/>
            <w:tcBorders>
              <w:top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3,6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instrumenty dłużne, z tego:</w:t>
            </w:r>
          </w:p>
        </w:tc>
        <w:tc>
          <w:tcPr>
            <w:tcW w:w="104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194 847,3</w:t>
            </w:r>
          </w:p>
        </w:tc>
        <w:tc>
          <w:tcPr>
            <w:tcW w:w="757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55,3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depozyty i lokaty</w:t>
            </w:r>
          </w:p>
        </w:tc>
        <w:tc>
          <w:tcPr>
            <w:tcW w:w="104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75 730,5</w:t>
            </w:r>
          </w:p>
        </w:tc>
        <w:tc>
          <w:tcPr>
            <w:tcW w:w="757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21,5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obligacje</w:t>
            </w:r>
          </w:p>
        </w:tc>
        <w:tc>
          <w:tcPr>
            <w:tcW w:w="104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30 217,5</w:t>
            </w:r>
          </w:p>
        </w:tc>
        <w:tc>
          <w:tcPr>
            <w:tcW w:w="757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8,6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weksle i czeki</w:t>
            </w:r>
          </w:p>
        </w:tc>
        <w:tc>
          <w:tcPr>
            <w:tcW w:w="104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1 423,5</w:t>
            </w:r>
          </w:p>
        </w:tc>
        <w:tc>
          <w:tcPr>
            <w:tcW w:w="757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pożyczki udzielone</w:t>
            </w:r>
          </w:p>
        </w:tc>
        <w:tc>
          <w:tcPr>
            <w:tcW w:w="104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52  720,2</w:t>
            </w:r>
          </w:p>
        </w:tc>
        <w:tc>
          <w:tcPr>
            <w:tcW w:w="757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15,0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listy zastawne</w:t>
            </w:r>
          </w:p>
        </w:tc>
        <w:tc>
          <w:tcPr>
            <w:tcW w:w="104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0,0</w:t>
            </w:r>
          </w:p>
        </w:tc>
        <w:tc>
          <w:tcPr>
            <w:tcW w:w="757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certyfikaty depozytowe</w:t>
            </w:r>
          </w:p>
        </w:tc>
        <w:tc>
          <w:tcPr>
            <w:tcW w:w="104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54,6</w:t>
            </w:r>
          </w:p>
        </w:tc>
        <w:tc>
          <w:tcPr>
            <w:tcW w:w="757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pozostałe instrumenty dłużne</w:t>
            </w:r>
          </w:p>
        </w:tc>
        <w:tc>
          <w:tcPr>
            <w:tcW w:w="104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34 701,0</w:t>
            </w:r>
          </w:p>
        </w:tc>
        <w:tc>
          <w:tcPr>
            <w:tcW w:w="757" w:type="pct"/>
            <w:tcBorders>
              <w:bottom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9,8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instrumenty pochodne, w tym</w:t>
            </w:r>
            <w:r>
              <w:rPr>
                <w:rFonts w:eastAsia="Fira Sans Light" w:cs="Calibri"/>
                <w:sz w:val="16"/>
                <w:szCs w:val="16"/>
              </w:rPr>
              <w:t>:</w:t>
            </w:r>
          </w:p>
        </w:tc>
        <w:tc>
          <w:tcPr>
            <w:tcW w:w="104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7 881,2</w:t>
            </w:r>
          </w:p>
        </w:tc>
        <w:tc>
          <w:tcPr>
            <w:tcW w:w="757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2,2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instrumenty wbudowane i zabezpieczające</w:t>
            </w:r>
          </w:p>
        </w:tc>
        <w:tc>
          <w:tcPr>
            <w:tcW w:w="1041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5 756,5</w:t>
            </w:r>
          </w:p>
        </w:tc>
        <w:tc>
          <w:tcPr>
            <w:tcW w:w="757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1,6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Calibri"/>
                <w:b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sz w:val="16"/>
                <w:szCs w:val="16"/>
              </w:rPr>
              <w:t>Instrumenty finansowe – pasywa, z tego</w:t>
            </w:r>
            <w:r>
              <w:rPr>
                <w:rFonts w:eastAsia="Fira Sans Light" w:cs="Calibri"/>
                <w:b/>
                <w:sz w:val="16"/>
                <w:szCs w:val="16"/>
              </w:rPr>
              <w:t>:</w:t>
            </w:r>
          </w:p>
        </w:tc>
        <w:tc>
          <w:tcPr>
            <w:tcW w:w="1041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color w:val="000000"/>
                <w:sz w:val="16"/>
                <w:szCs w:val="16"/>
              </w:rPr>
              <w:t>334 159,4</w:t>
            </w:r>
          </w:p>
        </w:tc>
        <w:tc>
          <w:tcPr>
            <w:tcW w:w="757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kredyty i pożyczki do spłaty</w:t>
            </w:r>
          </w:p>
        </w:tc>
        <w:tc>
          <w:tcPr>
            <w:tcW w:w="1041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>
              <w:rPr>
                <w:rFonts w:eastAsia="Fira Sans Light" w:cs="Times New Roman"/>
                <w:color w:val="000000"/>
                <w:sz w:val="16"/>
                <w:szCs w:val="16"/>
              </w:rPr>
              <w:t>19</w:t>
            </w: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4</w:t>
            </w:r>
            <w:r>
              <w:rPr>
                <w:rFonts w:eastAsia="Fira Sans Light" w:cs="Times New Roman"/>
                <w:color w:val="000000"/>
                <w:sz w:val="16"/>
                <w:szCs w:val="16"/>
              </w:rPr>
              <w:t> </w:t>
            </w: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416,4</w:t>
            </w:r>
          </w:p>
        </w:tc>
        <w:tc>
          <w:tcPr>
            <w:tcW w:w="757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58,2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leasing finansowy</w:t>
            </w:r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7</w:t>
            </w:r>
            <w:r>
              <w:rPr>
                <w:rFonts w:eastAsia="Fira Sans Light" w:cs="Times New Roman"/>
                <w:color w:val="000000"/>
                <w:sz w:val="16"/>
                <w:szCs w:val="16"/>
              </w:rPr>
              <w:t> </w:t>
            </w: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429,3</w:t>
            </w:r>
          </w:p>
        </w:tc>
        <w:tc>
          <w:tcPr>
            <w:tcW w:w="757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2,2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zobowiązania z tytułu emisji własnych obligacji</w:t>
            </w:r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75 115,4</w:t>
            </w:r>
          </w:p>
        </w:tc>
        <w:tc>
          <w:tcPr>
            <w:tcW w:w="757" w:type="pct"/>
            <w:tcBorders>
              <w:bottom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22,5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zobowiązania z tytułu instrumentów pochodnych, w tym:</w:t>
            </w:r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6 334,2</w:t>
            </w:r>
          </w:p>
        </w:tc>
        <w:tc>
          <w:tcPr>
            <w:tcW w:w="757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1,9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34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instrumenty wbudowane i zabezpieczające</w:t>
            </w:r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4 727,7</w:t>
            </w:r>
          </w:p>
        </w:tc>
        <w:tc>
          <w:tcPr>
            <w:tcW w:w="757" w:type="pct"/>
            <w:tcBorders>
              <w:bottom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1,4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pozostałe zobowiązania z tytułu instrumentów finansowych</w:t>
            </w:r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50 864,2</w:t>
            </w:r>
          </w:p>
        </w:tc>
        <w:tc>
          <w:tcPr>
            <w:tcW w:w="757" w:type="pct"/>
            <w:tcBorders>
              <w:bottom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15,2</w:t>
            </w:r>
          </w:p>
        </w:tc>
      </w:tr>
    </w:tbl>
    <w:p w:rsidR="00EC1873" w:rsidRPr="00B8049B" w:rsidRDefault="00EC1873" w:rsidP="00EC1873">
      <w:pPr>
        <w:spacing w:before="0" w:after="0" w:line="240" w:lineRule="auto"/>
        <w:jc w:val="both"/>
        <w:rPr>
          <w:rFonts w:eastAsia="Fira Sans Light" w:cs="Times New Roman"/>
          <w:i/>
          <w:sz w:val="16"/>
          <w:szCs w:val="16"/>
          <w:shd w:val="clear" w:color="auto" w:fill="FFFFFF"/>
        </w:rPr>
      </w:pPr>
      <w:r w:rsidRPr="00B8049B">
        <w:rPr>
          <w:rFonts w:eastAsia="Fira Sans Light" w:cs="Times New Roman"/>
          <w:i/>
          <w:sz w:val="16"/>
          <w:szCs w:val="16"/>
          <w:shd w:val="clear" w:color="auto" w:fill="FFFFFF"/>
        </w:rPr>
        <w:t xml:space="preserve">Szczegółowe dane odnośnie wartości instrumentów finansowych zamieszczono w załączniku do </w:t>
      </w:r>
      <w:r>
        <w:rPr>
          <w:rFonts w:eastAsia="Times New Roman" w:cs="Calibri"/>
          <w:i/>
          <w:sz w:val="16"/>
          <w:szCs w:val="16"/>
          <w:lang w:eastAsia="pl-PL"/>
        </w:rPr>
        <w:t xml:space="preserve">Informacji sygnalnej </w:t>
      </w:r>
      <w:r w:rsidRPr="00B8049B">
        <w:rPr>
          <w:rFonts w:eastAsia="Fira Sans Light" w:cs="Times New Roman"/>
          <w:i/>
          <w:sz w:val="16"/>
          <w:szCs w:val="16"/>
          <w:shd w:val="clear" w:color="auto" w:fill="FFFFFF"/>
        </w:rPr>
        <w:t>w Tabl. 21-24.</w:t>
      </w:r>
    </w:p>
    <w:p w:rsidR="00EC1873" w:rsidRPr="00B8049B" w:rsidRDefault="00EC1873" w:rsidP="00EC1873">
      <w:pPr>
        <w:spacing w:before="240" w:after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213B6F" wp14:editId="16F1FCC6">
                <wp:simplePos x="0" y="0"/>
                <wp:positionH relativeFrom="column">
                  <wp:posOffset>5213445</wp:posOffset>
                </wp:positionH>
                <wp:positionV relativeFrom="paragraph">
                  <wp:posOffset>139794</wp:posOffset>
                </wp:positionV>
                <wp:extent cx="1874520" cy="1166883"/>
                <wp:effectExtent l="0" t="0" r="0" b="0"/>
                <wp:wrapNone/>
                <wp:docPr id="200" name="Pole tekstow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16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43B" w:rsidRPr="00FB7557" w:rsidRDefault="0012543B" w:rsidP="00EC1873">
                            <w:pPr>
                              <w:rPr>
                                <w:color w:val="002060"/>
                                <w:szCs w:val="19"/>
                              </w:rPr>
                            </w:pPr>
                            <w:r w:rsidRPr="00FB7557">
                              <w:rPr>
                                <w:color w:val="002060"/>
                                <w:szCs w:val="19"/>
                              </w:rPr>
                              <w:t>Jednostki zależne wykazały największą wartość instr</w:t>
                            </w:r>
                            <w:r w:rsidRPr="00FB7557">
                              <w:rPr>
                                <w:color w:val="002060"/>
                                <w:szCs w:val="19"/>
                              </w:rPr>
                              <w:t>u</w:t>
                            </w:r>
                            <w:r w:rsidRPr="00FB7557">
                              <w:rPr>
                                <w:color w:val="002060"/>
                                <w:szCs w:val="19"/>
                              </w:rPr>
                              <w:t xml:space="preserve">mentów pochodnych - udziały </w:t>
                            </w:r>
                            <w:r>
                              <w:rPr>
                                <w:color w:val="002060"/>
                                <w:szCs w:val="19"/>
                              </w:rPr>
                              <w:t xml:space="preserve">w strukturze </w:t>
                            </w:r>
                            <w:r w:rsidRPr="00FB7557">
                              <w:rPr>
                                <w:color w:val="002060"/>
                                <w:szCs w:val="19"/>
                              </w:rPr>
                              <w:t>odpowiednio 56,8% i 65,0%, po stronie a</w:t>
                            </w:r>
                            <w:r w:rsidRPr="00FB7557">
                              <w:rPr>
                                <w:color w:val="002060"/>
                                <w:szCs w:val="19"/>
                              </w:rPr>
                              <w:t>k</w:t>
                            </w:r>
                            <w:r w:rsidRPr="00FB7557">
                              <w:rPr>
                                <w:color w:val="002060"/>
                                <w:szCs w:val="19"/>
                              </w:rPr>
                              <w:t>tywów i pasywów.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213B6F" id="Pole tekstowe 200" o:spid="_x0000_s1041" type="#_x0000_t202" style="position:absolute;left:0;text-align:left;margin-left:410.5pt;margin-top:11pt;width:147.6pt;height:91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" filled="f" stroked="f" strokeweight=".5pt">
                <v:textbox>
                  <w:txbxContent>
                    <w:p w:rsidR="0012543B" w:rsidRPr="00FB7557" w:rsidRDefault="0012543B" w:rsidP="00EC1873">
                      <w:pPr>
                        <w:rPr>
                          <w:color w:val="002060"/>
                          <w:szCs w:val="19"/>
                        </w:rPr>
                      </w:pPr>
                      <w:r w:rsidRPr="00FB7557">
                        <w:rPr>
                          <w:color w:val="002060"/>
                          <w:szCs w:val="19"/>
                        </w:rPr>
                        <w:t xml:space="preserve">Jednostki zależne wykazały największą wartość instrumentów pochodnych - udziały </w:t>
                      </w:r>
                      <w:r>
                        <w:rPr>
                          <w:color w:val="002060"/>
                          <w:szCs w:val="19"/>
                        </w:rPr>
                        <w:t xml:space="preserve">w strukturze </w:t>
                      </w:r>
                      <w:r w:rsidRPr="00FB7557">
                        <w:rPr>
                          <w:color w:val="002060"/>
                          <w:szCs w:val="19"/>
                        </w:rPr>
                        <w:t>odpowiednio 56,8% i 65,0%, po stronie aktywów i pasywów.</w:t>
                      </w:r>
                    </w:p>
                  </w:txbxContent>
                </v:textbox>
              </v:shape>
            </w:pict>
          </mc:Fallback>
        </mc:AlternateContent>
      </w:r>
      <w:r w:rsidRPr="00B8049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b. Instrumenty pochodne</w:t>
      </w:r>
    </w:p>
    <w:p w:rsidR="00EC1873" w:rsidRPr="00B8049B" w:rsidRDefault="00EC1873" w:rsidP="00EC1873">
      <w:pPr>
        <w:jc w:val="both"/>
        <w:rPr>
          <w:rFonts w:eastAsia="Times New Roman" w:cs="Times New Roman"/>
          <w:bCs/>
          <w:szCs w:val="24"/>
          <w:lang w:eastAsia="pl-PL"/>
        </w:rPr>
      </w:pPr>
      <w:r w:rsidRPr="00B8049B">
        <w:rPr>
          <w:rFonts w:eastAsia="Times New Roman" w:cs="Times New Roman"/>
          <w:bCs/>
          <w:szCs w:val="24"/>
          <w:lang w:eastAsia="pl-PL"/>
        </w:rPr>
        <w:t xml:space="preserve">W badanej zbiorowości instrumenty pochodne w aktywach w końcu roku 2017 wykazały 362 podmioty, zaś w pasywach – 324. Instrumenty pochodne wykazane w aktywach badanych podmiotów miały wartość 7,9 mld zł, w tym największy udział </w:t>
      </w:r>
      <w:r>
        <w:rPr>
          <w:rFonts w:eastAsia="Times New Roman" w:cs="Times New Roman"/>
          <w:bCs/>
          <w:szCs w:val="24"/>
          <w:lang w:eastAsia="pl-PL"/>
        </w:rPr>
        <w:t>stanowiły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kontrakty </w:t>
      </w:r>
      <w:proofErr w:type="spellStart"/>
      <w:r w:rsidRPr="0009564B">
        <w:rPr>
          <w:rFonts w:eastAsia="Times New Roman" w:cs="Times New Roman"/>
          <w:bCs/>
          <w:i/>
          <w:szCs w:val="24"/>
          <w:lang w:eastAsia="pl-PL"/>
        </w:rPr>
        <w:t>forward</w:t>
      </w:r>
      <w:proofErr w:type="spellEnd"/>
      <w:r w:rsidRPr="00B8049B">
        <w:rPr>
          <w:rFonts w:eastAsia="Times New Roman" w:cs="Times New Roman"/>
          <w:bCs/>
          <w:szCs w:val="24"/>
          <w:lang w:eastAsia="pl-PL"/>
        </w:rPr>
        <w:t xml:space="preserve"> – 76,3%.</w:t>
      </w:r>
    </w:p>
    <w:p w:rsidR="00EC1873" w:rsidRPr="00B8049B" w:rsidRDefault="00EC1873" w:rsidP="00EC1873">
      <w:pPr>
        <w:spacing w:before="240" w:after="240"/>
        <w:jc w:val="both"/>
        <w:rPr>
          <w:rFonts w:eastAsia="Times New Roman" w:cs="Times New Roman"/>
          <w:b/>
          <w:bCs/>
          <w:sz w:val="18"/>
          <w:szCs w:val="18"/>
          <w:lang w:eastAsia="pl-PL"/>
        </w:rPr>
      </w:pPr>
      <w:r w:rsidRPr="00B8049B">
        <w:rPr>
          <w:rFonts w:eastAsia="Times New Roman" w:cs="Times New Roman"/>
          <w:b/>
          <w:bCs/>
          <w:sz w:val="18"/>
          <w:szCs w:val="18"/>
          <w:lang w:eastAsia="pl-PL"/>
        </w:rPr>
        <w:t>Tablica 6. Instrumenty pochodne według statusu organizacyjnego przedsiębiorstw</w:t>
      </w:r>
    </w:p>
    <w:tbl>
      <w:tblPr>
        <w:tblStyle w:val="Siatkatabelijasna11"/>
        <w:tblpPr w:leftFromText="141" w:rightFromText="141" w:vertAnchor="text" w:horzAnchor="margin" w:tblpY="1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77"/>
        <w:gridCol w:w="1474"/>
        <w:gridCol w:w="1367"/>
        <w:gridCol w:w="1365"/>
      </w:tblGrid>
      <w:tr w:rsidR="00EC1873" w:rsidRPr="00B8049B" w:rsidTr="0012543B">
        <w:trPr>
          <w:trHeight w:hRule="exact" w:val="628"/>
        </w:trPr>
        <w:tc>
          <w:tcPr>
            <w:tcW w:w="2461" w:type="pct"/>
            <w:vMerge w:val="restart"/>
            <w:vAlign w:val="center"/>
          </w:tcPr>
          <w:p w:rsidR="00EC1873" w:rsidRPr="00B8049B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B8049B">
              <w:rPr>
                <w:rFonts w:ascii="Fira Sans SemiBold" w:eastAsia="Times New Roman" w:hAnsi="Fira Sans SemiBold" w:cs="Times New Roman"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890" w:type="pct"/>
            <w:vMerge w:val="restart"/>
            <w:tcBorders>
              <w:top w:val="nil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l</w:t>
            </w: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iczba </w:t>
            </w:r>
          </w:p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przedsiębiorstw</w:t>
            </w:r>
          </w:p>
        </w:tc>
        <w:tc>
          <w:tcPr>
            <w:tcW w:w="825" w:type="pct"/>
            <w:tcBorders>
              <w:lef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Wartość</w:t>
            </w:r>
          </w:p>
        </w:tc>
        <w:tc>
          <w:tcPr>
            <w:tcW w:w="824" w:type="pct"/>
            <w:tcBorders>
              <w:top w:val="nil"/>
              <w:right w:val="nil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Struktura wg wartości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Merge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90" w:type="pct"/>
            <w:vMerge/>
            <w:tcBorders>
              <w:bottom w:val="single" w:sz="12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5" w:type="pct"/>
            <w:tcBorders>
              <w:left w:val="single" w:sz="4" w:space="0" w:color="212492"/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824" w:type="pct"/>
            <w:tcBorders>
              <w:bottom w:val="single" w:sz="12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w %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 xml:space="preserve">Instrumenty pochodne – aktywa 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ogółem, z tego:</w:t>
            </w:r>
          </w:p>
        </w:tc>
        <w:tc>
          <w:tcPr>
            <w:tcW w:w="890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>362</w:t>
            </w:r>
          </w:p>
        </w:tc>
        <w:tc>
          <w:tcPr>
            <w:tcW w:w="82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>7 881,2</w:t>
            </w:r>
          </w:p>
        </w:tc>
        <w:tc>
          <w:tcPr>
            <w:tcW w:w="824" w:type="pct"/>
            <w:tcBorders>
              <w:top w:val="single" w:sz="12" w:space="0" w:color="212492"/>
              <w:bottom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p</w:t>
            </w:r>
            <w:r>
              <w:rPr>
                <w:rFonts w:eastAsia="Fira Sans Light" w:cs="Times New Roman"/>
                <w:sz w:val="16"/>
                <w:szCs w:val="16"/>
              </w:rPr>
              <w:t>rzedsiębiorstwa działające samo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dzielnie</w:t>
            </w:r>
          </w:p>
        </w:tc>
        <w:tc>
          <w:tcPr>
            <w:tcW w:w="890" w:type="pct"/>
            <w:tcBorders>
              <w:top w:val="single" w:sz="4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67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475,9</w:t>
            </w:r>
          </w:p>
        </w:tc>
        <w:tc>
          <w:tcPr>
            <w:tcW w:w="824" w:type="pct"/>
            <w:tcBorders>
              <w:top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6,0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w grupie kapitałowej</w:t>
            </w:r>
          </w:p>
        </w:tc>
        <w:tc>
          <w:tcPr>
            <w:tcW w:w="89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54</w:t>
            </w:r>
          </w:p>
        </w:tc>
        <w:tc>
          <w:tcPr>
            <w:tcW w:w="825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1 831,3</w:t>
            </w:r>
          </w:p>
        </w:tc>
        <w:tc>
          <w:tcPr>
            <w:tcW w:w="824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23,2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zależne w grupie kapitałowej</w:t>
            </w:r>
          </w:p>
        </w:tc>
        <w:tc>
          <w:tcPr>
            <w:tcW w:w="89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168</w:t>
            </w:r>
          </w:p>
        </w:tc>
        <w:tc>
          <w:tcPr>
            <w:tcW w:w="825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4 472,7</w:t>
            </w:r>
          </w:p>
        </w:tc>
        <w:tc>
          <w:tcPr>
            <w:tcW w:w="824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56,8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i zależne w grupie kapitałowej</w:t>
            </w:r>
          </w:p>
        </w:tc>
        <w:tc>
          <w:tcPr>
            <w:tcW w:w="890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73</w:t>
            </w:r>
          </w:p>
        </w:tc>
        <w:tc>
          <w:tcPr>
            <w:tcW w:w="825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1 101,3</w:t>
            </w:r>
          </w:p>
        </w:tc>
        <w:tc>
          <w:tcPr>
            <w:tcW w:w="824" w:type="pct"/>
            <w:tcBorders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14,0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 xml:space="preserve">Instrumenty pochodne – pasywa 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ogółem, z tego:</w:t>
            </w:r>
          </w:p>
        </w:tc>
        <w:tc>
          <w:tcPr>
            <w:tcW w:w="890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>324</w:t>
            </w:r>
          </w:p>
        </w:tc>
        <w:tc>
          <w:tcPr>
            <w:tcW w:w="82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>6 334,2</w:t>
            </w:r>
          </w:p>
        </w:tc>
        <w:tc>
          <w:tcPr>
            <w:tcW w:w="824" w:type="pct"/>
            <w:tcBorders>
              <w:top w:val="single" w:sz="12" w:space="0" w:color="212492"/>
              <w:bottom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tcBorders>
              <w:top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pr</w:t>
            </w:r>
            <w:r>
              <w:rPr>
                <w:rFonts w:eastAsia="Fira Sans Light" w:cs="Times New Roman"/>
                <w:sz w:val="16"/>
                <w:szCs w:val="16"/>
              </w:rPr>
              <w:t>zedsiębiorstwa działające samo</w:t>
            </w:r>
            <w:r w:rsidRPr="00B8049B">
              <w:rPr>
                <w:rFonts w:eastAsia="Fira Sans Light" w:cs="Times New Roman"/>
                <w:sz w:val="16"/>
                <w:szCs w:val="16"/>
              </w:rPr>
              <w:t>dzielnie</w:t>
            </w:r>
          </w:p>
        </w:tc>
        <w:tc>
          <w:tcPr>
            <w:tcW w:w="890" w:type="pct"/>
            <w:tcBorders>
              <w:top w:val="single" w:sz="4" w:space="0" w:color="212492"/>
              <w:righ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56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383,2</w:t>
            </w:r>
          </w:p>
        </w:tc>
        <w:tc>
          <w:tcPr>
            <w:tcW w:w="824" w:type="pct"/>
            <w:tcBorders>
              <w:top w:val="single" w:sz="4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6,1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w grupie kapitałowej</w:t>
            </w:r>
          </w:p>
        </w:tc>
        <w:tc>
          <w:tcPr>
            <w:tcW w:w="89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61</w:t>
            </w:r>
          </w:p>
        </w:tc>
        <w:tc>
          <w:tcPr>
            <w:tcW w:w="825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886,0</w:t>
            </w:r>
          </w:p>
        </w:tc>
        <w:tc>
          <w:tcPr>
            <w:tcW w:w="824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14,0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zależne w grupie kapitałowej</w:t>
            </w:r>
          </w:p>
        </w:tc>
        <w:tc>
          <w:tcPr>
            <w:tcW w:w="890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148</w:t>
            </w:r>
          </w:p>
        </w:tc>
        <w:tc>
          <w:tcPr>
            <w:tcW w:w="825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4 120,3</w:t>
            </w:r>
          </w:p>
        </w:tc>
        <w:tc>
          <w:tcPr>
            <w:tcW w:w="824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65,0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2461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jednostki dominujące i zależne w grupie kapitałowej</w:t>
            </w:r>
          </w:p>
        </w:tc>
        <w:tc>
          <w:tcPr>
            <w:tcW w:w="890" w:type="pct"/>
            <w:tcBorders>
              <w:bottom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59</w:t>
            </w:r>
          </w:p>
        </w:tc>
        <w:tc>
          <w:tcPr>
            <w:tcW w:w="825" w:type="pct"/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944,7</w:t>
            </w:r>
          </w:p>
        </w:tc>
        <w:tc>
          <w:tcPr>
            <w:tcW w:w="824" w:type="pct"/>
            <w:tcBorders>
              <w:bottom w:val="nil"/>
            </w:tcBorders>
            <w:vAlign w:val="center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sz w:val="16"/>
                <w:szCs w:val="16"/>
              </w:rPr>
              <w:t>14,9</w:t>
            </w:r>
          </w:p>
        </w:tc>
      </w:tr>
    </w:tbl>
    <w:p w:rsidR="00EC1873" w:rsidRPr="00B8049B" w:rsidRDefault="00EC1873" w:rsidP="00EC1873">
      <w:pPr>
        <w:spacing w:before="240"/>
        <w:jc w:val="both"/>
        <w:rPr>
          <w:rFonts w:eastAsia="Times New Roman" w:cs="Times New Roman"/>
          <w:bCs/>
          <w:szCs w:val="24"/>
          <w:lang w:eastAsia="pl-PL"/>
        </w:rPr>
      </w:pPr>
      <w:r w:rsidRPr="00B8049B">
        <w:rPr>
          <w:rFonts w:eastAsia="Times New Roman" w:cs="Times New Roman"/>
          <w:bCs/>
          <w:szCs w:val="24"/>
          <w:lang w:eastAsia="pl-PL"/>
        </w:rPr>
        <w:t>W przedsiębiorstwach działających samodzielnie wartość instrumentów pochodnych wykaz</w:t>
      </w:r>
      <w:r w:rsidRPr="00B8049B">
        <w:rPr>
          <w:rFonts w:eastAsia="Times New Roman" w:cs="Times New Roman"/>
          <w:bCs/>
          <w:szCs w:val="24"/>
          <w:lang w:eastAsia="pl-PL"/>
        </w:rPr>
        <w:t>a</w:t>
      </w:r>
      <w:r w:rsidRPr="00B8049B">
        <w:rPr>
          <w:rFonts w:eastAsia="Times New Roman" w:cs="Times New Roman"/>
          <w:bCs/>
          <w:szCs w:val="24"/>
          <w:lang w:eastAsia="pl-PL"/>
        </w:rPr>
        <w:t>nych po stronie aktywów osiągnęła 0,5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zł, w tym </w:t>
      </w:r>
      <w:r>
        <w:rPr>
          <w:rFonts w:eastAsia="Times New Roman" w:cs="Times New Roman"/>
          <w:bCs/>
          <w:szCs w:val="24"/>
          <w:lang w:eastAsia="pl-PL"/>
        </w:rPr>
        <w:t xml:space="preserve">kontrakty </w:t>
      </w:r>
      <w:proofErr w:type="spellStart"/>
      <w:r w:rsidRPr="00BC0F83">
        <w:rPr>
          <w:rFonts w:eastAsia="Times New Roman" w:cs="Times New Roman"/>
          <w:bCs/>
          <w:i/>
          <w:szCs w:val="24"/>
          <w:lang w:eastAsia="pl-PL"/>
        </w:rPr>
        <w:t>forward</w:t>
      </w:r>
      <w:proofErr w:type="spellEnd"/>
      <w:r>
        <w:rPr>
          <w:rFonts w:eastAsia="Times New Roman" w:cs="Times New Roman"/>
          <w:bCs/>
          <w:szCs w:val="24"/>
          <w:lang w:eastAsia="pl-PL"/>
        </w:rPr>
        <w:t xml:space="preserve"> stanowiły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85,8%</w:t>
      </w:r>
      <w:r>
        <w:rPr>
          <w:rFonts w:eastAsia="Times New Roman" w:cs="Times New Roman"/>
          <w:bCs/>
          <w:szCs w:val="24"/>
          <w:lang w:eastAsia="pl-PL"/>
        </w:rPr>
        <w:t xml:space="preserve"> tej wartości.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</w:t>
      </w:r>
      <w:r>
        <w:rPr>
          <w:rFonts w:eastAsia="Times New Roman" w:cs="Times New Roman"/>
          <w:bCs/>
          <w:szCs w:val="24"/>
          <w:lang w:eastAsia="pl-PL"/>
        </w:rPr>
        <w:t>W j</w:t>
      </w:r>
      <w:r w:rsidRPr="00B8049B">
        <w:rPr>
          <w:rFonts w:eastAsia="Times New Roman" w:cs="Times New Roman"/>
          <w:bCs/>
          <w:szCs w:val="24"/>
          <w:lang w:eastAsia="pl-PL"/>
        </w:rPr>
        <w:t>ednostk</w:t>
      </w:r>
      <w:r>
        <w:rPr>
          <w:rFonts w:eastAsia="Times New Roman" w:cs="Times New Roman"/>
          <w:bCs/>
          <w:szCs w:val="24"/>
          <w:lang w:eastAsia="pl-PL"/>
        </w:rPr>
        <w:t>ach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dominujących w grupie kapitałowej wartość instrumentów pocho</w:t>
      </w:r>
      <w:r w:rsidRPr="00B8049B">
        <w:rPr>
          <w:rFonts w:eastAsia="Times New Roman" w:cs="Times New Roman"/>
          <w:bCs/>
          <w:szCs w:val="24"/>
          <w:lang w:eastAsia="pl-PL"/>
        </w:rPr>
        <w:t>d</w:t>
      </w:r>
      <w:r w:rsidRPr="00B8049B">
        <w:rPr>
          <w:rFonts w:eastAsia="Times New Roman" w:cs="Times New Roman"/>
          <w:bCs/>
          <w:szCs w:val="24"/>
          <w:lang w:eastAsia="pl-PL"/>
        </w:rPr>
        <w:t>nych wykazanych w aktywach wyniosła 1,8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zł, </w:t>
      </w:r>
      <w:r>
        <w:rPr>
          <w:rFonts w:eastAsia="Times New Roman" w:cs="Times New Roman"/>
          <w:bCs/>
          <w:szCs w:val="24"/>
          <w:lang w:eastAsia="pl-PL"/>
        </w:rPr>
        <w:t>z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największy</w:t>
      </w:r>
      <w:r>
        <w:rPr>
          <w:rFonts w:eastAsia="Times New Roman" w:cs="Times New Roman"/>
          <w:bCs/>
          <w:szCs w:val="24"/>
          <w:lang w:eastAsia="pl-PL"/>
        </w:rPr>
        <w:t>m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udzia</w:t>
      </w:r>
      <w:r>
        <w:rPr>
          <w:rFonts w:eastAsia="Times New Roman" w:cs="Times New Roman"/>
          <w:bCs/>
          <w:szCs w:val="24"/>
          <w:lang w:eastAsia="pl-PL"/>
        </w:rPr>
        <w:t>łem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kontrakt</w:t>
      </w:r>
      <w:r>
        <w:rPr>
          <w:rFonts w:eastAsia="Times New Roman" w:cs="Times New Roman"/>
          <w:bCs/>
          <w:szCs w:val="24"/>
          <w:lang w:eastAsia="pl-PL"/>
        </w:rPr>
        <w:t>ów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</w:t>
      </w:r>
      <w:proofErr w:type="spellStart"/>
      <w:r w:rsidRPr="00E5601F">
        <w:rPr>
          <w:rFonts w:eastAsia="Times New Roman" w:cs="Times New Roman"/>
          <w:bCs/>
          <w:i/>
          <w:szCs w:val="24"/>
          <w:lang w:eastAsia="pl-PL"/>
        </w:rPr>
        <w:t>swap</w:t>
      </w:r>
      <w:proofErr w:type="spellEnd"/>
      <w:r w:rsidRPr="00B8049B">
        <w:rPr>
          <w:rFonts w:eastAsia="Times New Roman" w:cs="Times New Roman"/>
          <w:bCs/>
          <w:szCs w:val="24"/>
          <w:lang w:eastAsia="pl-PL"/>
        </w:rPr>
        <w:t xml:space="preserve"> – </w:t>
      </w:r>
      <w:r w:rsidRPr="00B8049B">
        <w:rPr>
          <w:rFonts w:eastAsia="Times New Roman" w:cs="Times New Roman"/>
          <w:bCs/>
          <w:szCs w:val="24"/>
          <w:lang w:eastAsia="pl-PL"/>
        </w:rPr>
        <w:lastRenderedPageBreak/>
        <w:t xml:space="preserve">34,4% oraz </w:t>
      </w:r>
      <w:proofErr w:type="spellStart"/>
      <w:r w:rsidRPr="00E5601F">
        <w:rPr>
          <w:rFonts w:eastAsia="Times New Roman" w:cs="Times New Roman"/>
          <w:bCs/>
          <w:i/>
          <w:szCs w:val="24"/>
          <w:lang w:eastAsia="pl-PL"/>
        </w:rPr>
        <w:t>forward</w:t>
      </w:r>
      <w:proofErr w:type="spellEnd"/>
      <w:r w:rsidRPr="00E5601F">
        <w:rPr>
          <w:rFonts w:eastAsia="Times New Roman" w:cs="Times New Roman"/>
          <w:bCs/>
          <w:i/>
          <w:szCs w:val="24"/>
          <w:lang w:eastAsia="pl-PL"/>
        </w:rPr>
        <w:t xml:space="preserve"> </w:t>
      </w:r>
      <w:r w:rsidRPr="00B8049B">
        <w:rPr>
          <w:rFonts w:eastAsia="Times New Roman" w:cs="Times New Roman"/>
          <w:bCs/>
          <w:szCs w:val="24"/>
          <w:lang w:eastAsia="pl-PL"/>
        </w:rPr>
        <w:t>– 33,5%. W jednostkach zależnych oraz dominujących i jednocześnie z</w:t>
      </w:r>
      <w:r w:rsidRPr="00B8049B">
        <w:rPr>
          <w:rFonts w:eastAsia="Times New Roman" w:cs="Times New Roman"/>
          <w:bCs/>
          <w:szCs w:val="24"/>
          <w:lang w:eastAsia="pl-PL"/>
        </w:rPr>
        <w:t>a</w:t>
      </w:r>
      <w:r w:rsidRPr="00B8049B">
        <w:rPr>
          <w:rFonts w:eastAsia="Times New Roman" w:cs="Times New Roman"/>
          <w:bCs/>
          <w:szCs w:val="24"/>
          <w:lang w:eastAsia="pl-PL"/>
        </w:rPr>
        <w:t>leżnych instrumenty pochodne w aktywach wyniosły odpowiednio 4,5</w:t>
      </w:r>
      <w:r>
        <w:rPr>
          <w:rFonts w:eastAsia="Times New Roman" w:cs="Times New Roman"/>
          <w:bCs/>
          <w:szCs w:val="24"/>
          <w:lang w:eastAsia="pl-PL"/>
        </w:rPr>
        <w:t> mld </w:t>
      </w:r>
      <w:r w:rsidRPr="00B8049B">
        <w:rPr>
          <w:rFonts w:eastAsia="Times New Roman" w:cs="Times New Roman"/>
          <w:bCs/>
          <w:szCs w:val="24"/>
          <w:lang w:eastAsia="pl-PL"/>
        </w:rPr>
        <w:t>zł oraz 1,1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zł, w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tym najwię</w:t>
      </w:r>
      <w:r>
        <w:rPr>
          <w:rFonts w:eastAsia="Times New Roman" w:cs="Times New Roman"/>
          <w:bCs/>
          <w:szCs w:val="24"/>
          <w:lang w:eastAsia="pl-PL"/>
        </w:rPr>
        <w:t>kszy udział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stanowiły kontrakty </w:t>
      </w:r>
      <w:proofErr w:type="spellStart"/>
      <w:r w:rsidRPr="00E5601F">
        <w:rPr>
          <w:rFonts w:eastAsia="Times New Roman" w:cs="Times New Roman"/>
          <w:bCs/>
          <w:i/>
          <w:szCs w:val="24"/>
          <w:lang w:eastAsia="pl-PL"/>
        </w:rPr>
        <w:t>forward</w:t>
      </w:r>
      <w:proofErr w:type="spellEnd"/>
      <w:r>
        <w:rPr>
          <w:rFonts w:eastAsia="Times New Roman" w:cs="Times New Roman"/>
          <w:bCs/>
          <w:i/>
          <w:szCs w:val="24"/>
          <w:lang w:eastAsia="pl-PL"/>
        </w:rPr>
        <w:t>,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odpowiednio: 95,3% oraz 66,9%. </w:t>
      </w:r>
    </w:p>
    <w:p w:rsidR="00EC1873" w:rsidRDefault="00EC1873" w:rsidP="00EC1873">
      <w:pPr>
        <w:jc w:val="both"/>
        <w:rPr>
          <w:rFonts w:eastAsia="Times New Roman" w:cs="Times New Roman"/>
          <w:bCs/>
          <w:szCs w:val="24"/>
          <w:lang w:eastAsia="pl-PL"/>
        </w:rPr>
      </w:pPr>
      <w:r w:rsidRPr="00B8049B">
        <w:rPr>
          <w:rFonts w:eastAsia="Times New Roman" w:cs="Times New Roman"/>
          <w:bCs/>
          <w:szCs w:val="24"/>
          <w:lang w:eastAsia="pl-PL"/>
        </w:rPr>
        <w:t>Wartość instrumentów pochodnych w pasywach analizowanych przedsiębiorstw wyniosła 6,3</w:t>
      </w:r>
      <w:r>
        <w:rPr>
          <w:rFonts w:eastAsia="Times New Roman" w:cs="Times New Roman"/>
          <w:bCs/>
          <w:szCs w:val="24"/>
          <w:lang w:eastAsia="pl-PL"/>
        </w:rPr>
        <w:t> mld 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zł, </w:t>
      </w:r>
      <w:r>
        <w:rPr>
          <w:rFonts w:eastAsia="Times New Roman" w:cs="Times New Roman"/>
          <w:bCs/>
          <w:szCs w:val="24"/>
          <w:lang w:eastAsia="pl-PL"/>
        </w:rPr>
        <w:t xml:space="preserve">z </w:t>
      </w:r>
      <w:r w:rsidRPr="00B8049B">
        <w:rPr>
          <w:rFonts w:eastAsia="Times New Roman" w:cs="Times New Roman"/>
          <w:bCs/>
          <w:szCs w:val="24"/>
          <w:lang w:eastAsia="pl-PL"/>
        </w:rPr>
        <w:t>najwyższy</w:t>
      </w:r>
      <w:r>
        <w:rPr>
          <w:rFonts w:eastAsia="Times New Roman" w:cs="Times New Roman"/>
          <w:bCs/>
          <w:szCs w:val="24"/>
          <w:lang w:eastAsia="pl-PL"/>
        </w:rPr>
        <w:t>m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udzia</w:t>
      </w:r>
      <w:r>
        <w:rPr>
          <w:rFonts w:eastAsia="Times New Roman" w:cs="Times New Roman"/>
          <w:bCs/>
          <w:szCs w:val="24"/>
          <w:lang w:eastAsia="pl-PL"/>
        </w:rPr>
        <w:t>łem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76,7% </w:t>
      </w:r>
      <w:r>
        <w:rPr>
          <w:rFonts w:eastAsia="Times New Roman" w:cs="Times New Roman"/>
          <w:bCs/>
          <w:szCs w:val="24"/>
          <w:lang w:eastAsia="pl-PL"/>
        </w:rPr>
        <w:t>- to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kontrakt</w:t>
      </w:r>
      <w:r>
        <w:rPr>
          <w:rFonts w:eastAsia="Times New Roman" w:cs="Times New Roman"/>
          <w:bCs/>
          <w:szCs w:val="24"/>
          <w:lang w:eastAsia="pl-PL"/>
        </w:rPr>
        <w:t>y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</w:t>
      </w:r>
      <w:proofErr w:type="spellStart"/>
      <w:r w:rsidRPr="0009564B">
        <w:rPr>
          <w:rFonts w:eastAsia="Times New Roman" w:cs="Times New Roman"/>
          <w:bCs/>
          <w:i/>
          <w:szCs w:val="24"/>
          <w:lang w:eastAsia="pl-PL"/>
        </w:rPr>
        <w:t>forward</w:t>
      </w:r>
      <w:proofErr w:type="spellEnd"/>
      <w:r w:rsidRPr="00B8049B">
        <w:rPr>
          <w:rFonts w:eastAsia="Times New Roman" w:cs="Times New Roman"/>
          <w:bCs/>
          <w:szCs w:val="24"/>
          <w:lang w:eastAsia="pl-PL"/>
        </w:rPr>
        <w:t>. W jednostkach zależnych instrumenty pochodne po stronie pasywów osiągnęły wartość 4,1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zł, w tym najwięcej, bo 90,8% stanowiły kontrakty </w:t>
      </w:r>
      <w:proofErr w:type="spellStart"/>
      <w:r w:rsidRPr="0009564B">
        <w:rPr>
          <w:rFonts w:eastAsia="Times New Roman" w:cs="Times New Roman"/>
          <w:bCs/>
          <w:i/>
          <w:szCs w:val="24"/>
          <w:lang w:eastAsia="pl-PL"/>
        </w:rPr>
        <w:t>forward</w:t>
      </w:r>
      <w:proofErr w:type="spellEnd"/>
      <w:r w:rsidRPr="00B8049B">
        <w:rPr>
          <w:rFonts w:eastAsia="Times New Roman" w:cs="Times New Roman"/>
          <w:bCs/>
          <w:szCs w:val="24"/>
          <w:lang w:eastAsia="pl-PL"/>
        </w:rPr>
        <w:t>. Instrumenty pochodne w pasywach jednostek dominuj</w:t>
      </w:r>
      <w:r w:rsidRPr="00B8049B">
        <w:rPr>
          <w:rFonts w:eastAsia="Times New Roman" w:cs="Times New Roman"/>
          <w:bCs/>
          <w:szCs w:val="24"/>
          <w:lang w:eastAsia="pl-PL"/>
        </w:rPr>
        <w:t>ą</w:t>
      </w:r>
      <w:r w:rsidRPr="00B8049B">
        <w:rPr>
          <w:rFonts w:eastAsia="Times New Roman" w:cs="Times New Roman"/>
          <w:bCs/>
          <w:szCs w:val="24"/>
          <w:lang w:eastAsia="pl-PL"/>
        </w:rPr>
        <w:t>cych w grupie kapitałowej zanotowano w kwocie 0,9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zł</w:t>
      </w:r>
      <w:r>
        <w:rPr>
          <w:rFonts w:eastAsia="Times New Roman" w:cs="Times New Roman"/>
          <w:bCs/>
          <w:szCs w:val="24"/>
          <w:lang w:eastAsia="pl-PL"/>
        </w:rPr>
        <w:t>,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a najwyższy udział miały kontra</w:t>
      </w:r>
      <w:r w:rsidRPr="00B8049B">
        <w:rPr>
          <w:rFonts w:eastAsia="Times New Roman" w:cs="Times New Roman"/>
          <w:bCs/>
          <w:szCs w:val="24"/>
          <w:lang w:eastAsia="pl-PL"/>
        </w:rPr>
        <w:t>k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ty </w:t>
      </w:r>
      <w:proofErr w:type="spellStart"/>
      <w:r w:rsidRPr="0009564B">
        <w:rPr>
          <w:rFonts w:eastAsia="Times New Roman" w:cs="Times New Roman"/>
          <w:bCs/>
          <w:i/>
          <w:szCs w:val="24"/>
          <w:lang w:eastAsia="pl-PL"/>
        </w:rPr>
        <w:t>swap</w:t>
      </w:r>
      <w:proofErr w:type="spellEnd"/>
      <w:r w:rsidRPr="0009564B">
        <w:rPr>
          <w:rFonts w:eastAsia="Times New Roman" w:cs="Times New Roman"/>
          <w:bCs/>
          <w:i/>
          <w:szCs w:val="24"/>
          <w:lang w:eastAsia="pl-PL"/>
        </w:rPr>
        <w:t xml:space="preserve"> </w:t>
      </w:r>
      <w:r w:rsidRPr="00B8049B">
        <w:rPr>
          <w:rFonts w:eastAsia="Times New Roman" w:cs="Times New Roman"/>
          <w:bCs/>
          <w:szCs w:val="24"/>
          <w:lang w:eastAsia="pl-PL"/>
        </w:rPr>
        <w:t>– 41,0%. Natomiast w przedsiębiorstwach działających samodzielnie wartość instr</w:t>
      </w:r>
      <w:r w:rsidRPr="00B8049B">
        <w:rPr>
          <w:rFonts w:eastAsia="Times New Roman" w:cs="Times New Roman"/>
          <w:bCs/>
          <w:szCs w:val="24"/>
          <w:lang w:eastAsia="pl-PL"/>
        </w:rPr>
        <w:t>u</w:t>
      </w:r>
      <w:r w:rsidRPr="00B8049B">
        <w:rPr>
          <w:rFonts w:eastAsia="Times New Roman" w:cs="Times New Roman"/>
          <w:bCs/>
          <w:szCs w:val="24"/>
          <w:lang w:eastAsia="pl-PL"/>
        </w:rPr>
        <w:t>mentów pochodnych w pasywach wyniosła 0,4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zł, w tym kontrakty </w:t>
      </w:r>
      <w:proofErr w:type="spellStart"/>
      <w:r w:rsidRPr="0009564B">
        <w:rPr>
          <w:rFonts w:eastAsia="Times New Roman" w:cs="Times New Roman"/>
          <w:bCs/>
          <w:i/>
          <w:szCs w:val="24"/>
          <w:lang w:eastAsia="pl-PL"/>
        </w:rPr>
        <w:t>forward</w:t>
      </w:r>
      <w:proofErr w:type="spellEnd"/>
      <w:r w:rsidRPr="00B8049B">
        <w:rPr>
          <w:rFonts w:eastAsia="Times New Roman" w:cs="Times New Roman"/>
          <w:bCs/>
          <w:szCs w:val="24"/>
          <w:lang w:eastAsia="pl-PL"/>
        </w:rPr>
        <w:t xml:space="preserve"> stanowiły – 95,0%. W</w:t>
      </w:r>
      <w:r>
        <w:rPr>
          <w:rFonts w:eastAsia="Times New Roman" w:cs="Times New Roman"/>
          <w:bCs/>
          <w:szCs w:val="24"/>
          <w:lang w:eastAsia="pl-PL"/>
        </w:rPr>
        <w:t xml:space="preserve">artość instrumentów pochodnych </w:t>
      </w:r>
      <w:r w:rsidRPr="00B8049B">
        <w:rPr>
          <w:rFonts w:eastAsia="Times New Roman" w:cs="Times New Roman"/>
          <w:bCs/>
          <w:szCs w:val="24"/>
          <w:lang w:eastAsia="pl-PL"/>
        </w:rPr>
        <w:t>w pasywach jednostek dominujących i jednocz</w:t>
      </w:r>
      <w:r w:rsidRPr="00B8049B">
        <w:rPr>
          <w:rFonts w:eastAsia="Times New Roman" w:cs="Times New Roman"/>
          <w:bCs/>
          <w:szCs w:val="24"/>
          <w:lang w:eastAsia="pl-PL"/>
        </w:rPr>
        <w:t>e</w:t>
      </w:r>
      <w:r w:rsidRPr="00B8049B">
        <w:rPr>
          <w:rFonts w:eastAsia="Times New Roman" w:cs="Times New Roman"/>
          <w:bCs/>
          <w:szCs w:val="24"/>
          <w:lang w:eastAsia="pl-PL"/>
        </w:rPr>
        <w:t>śnie zależnych wyniosła 0,9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>mld</w:t>
      </w:r>
      <w:r w:rsidR="0090117D">
        <w:rPr>
          <w:rFonts w:eastAsia="Times New Roman" w:cs="Times New Roman"/>
          <w:bCs/>
          <w:szCs w:val="24"/>
          <w:lang w:eastAsia="pl-PL"/>
        </w:rPr>
        <w:t> </w:t>
      </w:r>
      <w:r w:rsidRPr="00B8049B">
        <w:rPr>
          <w:rFonts w:eastAsia="Times New Roman" w:cs="Times New Roman"/>
          <w:bCs/>
          <w:szCs w:val="24"/>
          <w:lang w:eastAsia="pl-PL"/>
        </w:rPr>
        <w:t xml:space="preserve"> zł, w tym najwyższy udział miały kontrakty </w:t>
      </w:r>
      <w:proofErr w:type="spellStart"/>
      <w:r w:rsidRPr="0009564B">
        <w:rPr>
          <w:rFonts w:eastAsia="Times New Roman" w:cs="Times New Roman"/>
          <w:bCs/>
          <w:i/>
          <w:szCs w:val="24"/>
          <w:lang w:eastAsia="pl-PL"/>
        </w:rPr>
        <w:t>forward</w:t>
      </w:r>
      <w:proofErr w:type="spellEnd"/>
      <w:r w:rsidRPr="00B8049B">
        <w:rPr>
          <w:rFonts w:eastAsia="Times New Roman" w:cs="Times New Roman"/>
          <w:bCs/>
          <w:szCs w:val="24"/>
          <w:lang w:eastAsia="pl-PL"/>
        </w:rPr>
        <w:t xml:space="preserve"> – 50,9% oraz </w:t>
      </w:r>
      <w:proofErr w:type="spellStart"/>
      <w:r w:rsidRPr="0009564B">
        <w:rPr>
          <w:rFonts w:eastAsia="Times New Roman" w:cs="Times New Roman"/>
          <w:bCs/>
          <w:i/>
          <w:szCs w:val="24"/>
          <w:lang w:eastAsia="pl-PL"/>
        </w:rPr>
        <w:t>swap</w:t>
      </w:r>
      <w:proofErr w:type="spellEnd"/>
      <w:r w:rsidRPr="00B8049B">
        <w:rPr>
          <w:rFonts w:eastAsia="Times New Roman" w:cs="Times New Roman"/>
          <w:bCs/>
          <w:szCs w:val="24"/>
          <w:lang w:eastAsia="pl-PL"/>
        </w:rPr>
        <w:t xml:space="preserve"> – 36,4%.</w:t>
      </w:r>
    </w:p>
    <w:p w:rsidR="00EC1873" w:rsidRPr="00B8049B" w:rsidRDefault="00EC1873" w:rsidP="00EC1873">
      <w:pPr>
        <w:spacing w:before="240" w:after="240"/>
        <w:jc w:val="both"/>
        <w:rPr>
          <w:rFonts w:eastAsia="Times New Roman" w:cs="Times New Roman"/>
          <w:b/>
          <w:bCs/>
          <w:sz w:val="18"/>
          <w:szCs w:val="18"/>
          <w:lang w:eastAsia="pl-PL"/>
        </w:rPr>
      </w:pPr>
      <w:r w:rsidRPr="00B8049B">
        <w:rPr>
          <w:rFonts w:eastAsia="Times New Roman" w:cs="Times New Roman"/>
          <w:b/>
          <w:bCs/>
          <w:sz w:val="18"/>
          <w:szCs w:val="18"/>
          <w:lang w:eastAsia="pl-PL"/>
        </w:rPr>
        <w:t>Tablica 7. Instrumenty pochodne według rodzajów</w:t>
      </w:r>
    </w:p>
    <w:tbl>
      <w:tblPr>
        <w:tblStyle w:val="Siatkatabelijasna11"/>
        <w:tblpPr w:leftFromText="141" w:rightFromText="141" w:vertAnchor="text" w:horzAnchor="margin" w:tblpY="1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304"/>
        <w:gridCol w:w="1725"/>
        <w:gridCol w:w="1254"/>
      </w:tblGrid>
      <w:tr w:rsidR="00EC1873" w:rsidRPr="00B8049B" w:rsidTr="0012543B">
        <w:trPr>
          <w:trHeight w:hRule="exact" w:val="284"/>
        </w:trPr>
        <w:tc>
          <w:tcPr>
            <w:tcW w:w="320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EC1873" w:rsidRPr="008D45C1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D45C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98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54674A">
              <w:rPr>
                <w:rFonts w:eastAsia="Times New Roman" w:cs="Times New Roman"/>
                <w:b/>
                <w:sz w:val="16"/>
                <w:szCs w:val="16"/>
              </w:rPr>
              <w:t xml:space="preserve">Instrumenty pochodne 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41" w:type="pct"/>
            <w:tcBorders>
              <w:top w:val="single" w:sz="4" w:space="0" w:color="212492"/>
              <w:left w:val="single" w:sz="4" w:space="0" w:color="212492"/>
              <w:bottom w:val="single" w:sz="12" w:space="0" w:color="212492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wartość w mln zł</w:t>
            </w:r>
          </w:p>
        </w:tc>
        <w:tc>
          <w:tcPr>
            <w:tcW w:w="757" w:type="pct"/>
            <w:tcBorders>
              <w:top w:val="single" w:sz="4" w:space="0" w:color="212492"/>
              <w:bottom w:val="single" w:sz="12" w:space="0" w:color="212492"/>
              <w:right w:val="nil"/>
            </w:tcBorders>
            <w:vAlign w:val="center"/>
          </w:tcPr>
          <w:p w:rsidR="00EC1873" w:rsidRPr="00B8049B" w:rsidRDefault="00EC1873" w:rsidP="0012543B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Times New Roman" w:cs="Times New Roman"/>
                <w:color w:val="000000"/>
                <w:sz w:val="16"/>
                <w:szCs w:val="16"/>
              </w:rPr>
              <w:t>struktura w %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Calibri"/>
                <w:b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bCs/>
                <w:sz w:val="16"/>
                <w:szCs w:val="16"/>
              </w:rPr>
              <w:t xml:space="preserve">Instrumenty pochodne – aktywa </w:t>
            </w:r>
            <w:r w:rsidRPr="00B8049B">
              <w:rPr>
                <w:rFonts w:eastAsia="Fira Sans Light" w:cs="Calibri"/>
                <w:bCs/>
                <w:sz w:val="16"/>
                <w:szCs w:val="16"/>
              </w:rPr>
              <w:t>ogółem, z tego:</w:t>
            </w:r>
          </w:p>
        </w:tc>
        <w:tc>
          <w:tcPr>
            <w:tcW w:w="1041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color w:val="000000"/>
                <w:sz w:val="16"/>
                <w:szCs w:val="16"/>
              </w:rPr>
              <w:t>7 881,2</w:t>
            </w:r>
          </w:p>
        </w:tc>
        <w:tc>
          <w:tcPr>
            <w:tcW w:w="757" w:type="pct"/>
            <w:tcBorders>
              <w:top w:val="single" w:sz="12" w:space="0" w:color="212492"/>
              <w:bottom w:val="single" w:sz="4" w:space="0" w:color="212492"/>
              <w:right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 xml:space="preserve">kontrakty </w:t>
            </w:r>
            <w:proofErr w:type="spellStart"/>
            <w:r w:rsidRPr="000223D4">
              <w:rPr>
                <w:rFonts w:eastAsia="Fira Sans Light" w:cs="Calibri"/>
                <w:i/>
                <w:sz w:val="16"/>
                <w:szCs w:val="16"/>
              </w:rPr>
              <w:t>forward</w:t>
            </w:r>
            <w:proofErr w:type="spellEnd"/>
          </w:p>
        </w:tc>
        <w:tc>
          <w:tcPr>
            <w:tcW w:w="1041" w:type="pct"/>
            <w:tcBorders>
              <w:top w:val="single" w:sz="4" w:space="0" w:color="212492"/>
              <w:left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6 017,1</w:t>
            </w:r>
          </w:p>
        </w:tc>
        <w:tc>
          <w:tcPr>
            <w:tcW w:w="757" w:type="pct"/>
            <w:tcBorders>
              <w:top w:val="single" w:sz="4" w:space="0" w:color="212492"/>
              <w:right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76,3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 xml:space="preserve">kontrakty </w:t>
            </w:r>
            <w:proofErr w:type="spellStart"/>
            <w:r w:rsidRPr="000223D4">
              <w:rPr>
                <w:rFonts w:eastAsia="Fira Sans Light" w:cs="Calibri"/>
                <w:i/>
                <w:sz w:val="16"/>
                <w:szCs w:val="16"/>
              </w:rPr>
              <w:t>futures</w:t>
            </w:r>
            <w:proofErr w:type="spellEnd"/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206,2</w:t>
            </w:r>
          </w:p>
        </w:tc>
        <w:tc>
          <w:tcPr>
            <w:tcW w:w="757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2,6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opcje</w:t>
            </w:r>
          </w:p>
        </w:tc>
        <w:tc>
          <w:tcPr>
            <w:tcW w:w="1041" w:type="pct"/>
            <w:tcBorders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506,9</w:t>
            </w:r>
          </w:p>
        </w:tc>
        <w:tc>
          <w:tcPr>
            <w:tcW w:w="757" w:type="pct"/>
            <w:tcBorders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6,4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 xml:space="preserve">kontrakty </w:t>
            </w:r>
            <w:proofErr w:type="spellStart"/>
            <w:r w:rsidRPr="000223D4">
              <w:rPr>
                <w:rFonts w:eastAsia="Fira Sans Light" w:cs="Calibri"/>
                <w:i/>
                <w:sz w:val="16"/>
                <w:szCs w:val="16"/>
              </w:rPr>
              <w:t>swap</w:t>
            </w:r>
            <w:proofErr w:type="spellEnd"/>
            <w:r w:rsidRPr="00B8049B">
              <w:rPr>
                <w:rFonts w:eastAsia="Fira Sans Light" w:cs="Calibri"/>
                <w:sz w:val="16"/>
                <w:szCs w:val="16"/>
              </w:rPr>
              <w:t>, w tym:</w:t>
            </w:r>
          </w:p>
        </w:tc>
        <w:tc>
          <w:tcPr>
            <w:tcW w:w="104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1 007,0</w:t>
            </w:r>
          </w:p>
        </w:tc>
        <w:tc>
          <w:tcPr>
            <w:tcW w:w="75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12,8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284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CIRS</w:t>
            </w:r>
          </w:p>
        </w:tc>
        <w:tc>
          <w:tcPr>
            <w:tcW w:w="104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277,6</w:t>
            </w:r>
          </w:p>
        </w:tc>
        <w:tc>
          <w:tcPr>
            <w:tcW w:w="757" w:type="pct"/>
            <w:tcBorders>
              <w:top w:val="single" w:sz="4" w:space="0" w:color="212492"/>
              <w:bottom w:val="single" w:sz="4" w:space="0" w:color="212492"/>
              <w:right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3,5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4" w:space="0" w:color="212492"/>
              <w:bottom w:val="single" w:sz="12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pozostałe instrumenty pochodne</w:t>
            </w:r>
          </w:p>
        </w:tc>
        <w:tc>
          <w:tcPr>
            <w:tcW w:w="1041" w:type="pct"/>
            <w:tcBorders>
              <w:top w:val="single" w:sz="4" w:space="0" w:color="212492"/>
              <w:left w:val="single" w:sz="4" w:space="0" w:color="212492"/>
              <w:bottom w:val="single" w:sz="12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143,9</w:t>
            </w:r>
          </w:p>
        </w:tc>
        <w:tc>
          <w:tcPr>
            <w:tcW w:w="757" w:type="pct"/>
            <w:tcBorders>
              <w:top w:val="single" w:sz="4" w:space="0" w:color="212492"/>
              <w:bottom w:val="single" w:sz="12" w:space="0" w:color="212492"/>
              <w:right w:val="nil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1,8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rPr>
                <w:rFonts w:eastAsia="Fira Sans Light" w:cs="Calibri"/>
                <w:b/>
                <w:bCs/>
                <w:sz w:val="16"/>
                <w:szCs w:val="16"/>
              </w:rPr>
            </w:pPr>
            <w:r w:rsidRPr="00B8049B">
              <w:rPr>
                <w:rFonts w:eastAsia="Fira Sans Light" w:cs="Calibri"/>
                <w:b/>
                <w:bCs/>
                <w:sz w:val="16"/>
                <w:szCs w:val="16"/>
              </w:rPr>
              <w:t xml:space="preserve">Instrumenty pochodne – pasywa </w:t>
            </w:r>
            <w:r w:rsidRPr="00B8049B">
              <w:rPr>
                <w:rFonts w:eastAsia="Fira Sans Light" w:cs="Calibri"/>
                <w:bCs/>
                <w:sz w:val="16"/>
                <w:szCs w:val="16"/>
              </w:rPr>
              <w:t>ogółem, z tego:</w:t>
            </w:r>
          </w:p>
        </w:tc>
        <w:tc>
          <w:tcPr>
            <w:tcW w:w="1041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color w:val="000000"/>
                <w:sz w:val="16"/>
                <w:szCs w:val="16"/>
              </w:rPr>
              <w:t>6 334,2</w:t>
            </w:r>
          </w:p>
        </w:tc>
        <w:tc>
          <w:tcPr>
            <w:tcW w:w="757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b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 xml:space="preserve">kontrakty </w:t>
            </w:r>
            <w:proofErr w:type="spellStart"/>
            <w:r w:rsidRPr="000223D4">
              <w:rPr>
                <w:rFonts w:eastAsia="Fira Sans Light" w:cs="Calibri"/>
                <w:i/>
                <w:sz w:val="16"/>
                <w:szCs w:val="16"/>
              </w:rPr>
              <w:t>forward</w:t>
            </w:r>
            <w:proofErr w:type="spellEnd"/>
          </w:p>
        </w:tc>
        <w:tc>
          <w:tcPr>
            <w:tcW w:w="1041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4 859,3</w:t>
            </w:r>
          </w:p>
        </w:tc>
        <w:tc>
          <w:tcPr>
            <w:tcW w:w="757" w:type="pct"/>
            <w:tcBorders>
              <w:top w:val="single" w:sz="4" w:space="0" w:color="212492"/>
            </w:tcBorders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76,7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 xml:space="preserve">kontrakty </w:t>
            </w:r>
            <w:proofErr w:type="spellStart"/>
            <w:r w:rsidRPr="000223D4">
              <w:rPr>
                <w:rFonts w:eastAsia="Fira Sans Light" w:cs="Calibri"/>
                <w:i/>
                <w:sz w:val="16"/>
                <w:szCs w:val="16"/>
              </w:rPr>
              <w:t>futures</w:t>
            </w:r>
            <w:proofErr w:type="spellEnd"/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304,9</w:t>
            </w:r>
          </w:p>
        </w:tc>
        <w:tc>
          <w:tcPr>
            <w:tcW w:w="757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4,8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opcje</w:t>
            </w:r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260,0</w:t>
            </w:r>
          </w:p>
        </w:tc>
        <w:tc>
          <w:tcPr>
            <w:tcW w:w="757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4,1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 xml:space="preserve">kontrakty </w:t>
            </w:r>
            <w:proofErr w:type="spellStart"/>
            <w:r w:rsidRPr="000223D4">
              <w:rPr>
                <w:rFonts w:eastAsia="Fira Sans Light" w:cs="Calibri"/>
                <w:i/>
                <w:sz w:val="16"/>
                <w:szCs w:val="16"/>
              </w:rPr>
              <w:t>swap</w:t>
            </w:r>
            <w:proofErr w:type="spellEnd"/>
            <w:r w:rsidRPr="00B8049B">
              <w:rPr>
                <w:rFonts w:eastAsia="Fira Sans Light" w:cs="Calibri"/>
                <w:sz w:val="16"/>
                <w:szCs w:val="16"/>
              </w:rPr>
              <w:t>, w tym:</w:t>
            </w:r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757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12,7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284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CIRS</w:t>
            </w:r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757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1,7</w:t>
            </w:r>
          </w:p>
        </w:tc>
      </w:tr>
      <w:tr w:rsidR="00EC1873" w:rsidRPr="00B8049B" w:rsidTr="0012543B">
        <w:trPr>
          <w:trHeight w:hRule="exact" w:val="284"/>
        </w:trPr>
        <w:tc>
          <w:tcPr>
            <w:tcW w:w="3202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ind w:left="170"/>
              <w:rPr>
                <w:rFonts w:eastAsia="Fira Sans Light" w:cs="Calibri"/>
                <w:sz w:val="16"/>
                <w:szCs w:val="16"/>
              </w:rPr>
            </w:pPr>
            <w:r w:rsidRPr="00B8049B">
              <w:rPr>
                <w:rFonts w:eastAsia="Fira Sans Light" w:cs="Calibri"/>
                <w:sz w:val="16"/>
                <w:szCs w:val="16"/>
              </w:rPr>
              <w:t>pozostałe instrumenty pochodne</w:t>
            </w:r>
          </w:p>
        </w:tc>
        <w:tc>
          <w:tcPr>
            <w:tcW w:w="1041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757" w:type="pct"/>
            <w:vAlign w:val="bottom"/>
          </w:tcPr>
          <w:p w:rsidR="00EC1873" w:rsidRPr="00B8049B" w:rsidRDefault="00EC1873" w:rsidP="0012543B">
            <w:pPr>
              <w:spacing w:before="0" w:after="0" w:line="240" w:lineRule="auto"/>
              <w:jc w:val="right"/>
              <w:rPr>
                <w:rFonts w:eastAsia="Fira Sans Light" w:cs="Times New Roman"/>
                <w:color w:val="000000"/>
                <w:sz w:val="16"/>
                <w:szCs w:val="16"/>
              </w:rPr>
            </w:pPr>
            <w:r w:rsidRPr="00B8049B">
              <w:rPr>
                <w:rFonts w:eastAsia="Fira Sans Light" w:cs="Times New Roman"/>
                <w:color w:val="000000"/>
                <w:sz w:val="16"/>
                <w:szCs w:val="16"/>
              </w:rPr>
              <w:t>1,6</w:t>
            </w:r>
          </w:p>
        </w:tc>
      </w:tr>
    </w:tbl>
    <w:p w:rsidR="00EC1873" w:rsidRPr="00C714AF" w:rsidRDefault="00EC1873" w:rsidP="00EC1873">
      <w:pPr>
        <w:spacing w:line="20" w:lineRule="atLeast"/>
        <w:jc w:val="both"/>
        <w:rPr>
          <w:rFonts w:eastAsia="Times New Roman" w:cs="Calibri"/>
          <w:szCs w:val="19"/>
          <w:lang w:eastAsia="pl-PL"/>
        </w:rPr>
      </w:pPr>
      <w:r w:rsidRPr="00C714AF">
        <w:rPr>
          <w:rFonts w:eastAsia="Times New Roman" w:cs="Calibri"/>
          <w:szCs w:val="19"/>
          <w:lang w:eastAsia="pl-PL"/>
        </w:rPr>
        <w:t xml:space="preserve">W badaniu 495 przedsiębiorstw wykazało nowe transakcje na instrumenty pochodne zawarte w okresie od 1 stycznia do 31 grudnia 2017 r. Podmioty </w:t>
      </w:r>
      <w:r>
        <w:rPr>
          <w:rFonts w:eastAsia="Times New Roman" w:cs="Calibri"/>
          <w:szCs w:val="19"/>
          <w:lang w:eastAsia="pl-PL"/>
        </w:rPr>
        <w:t>te zawarły</w:t>
      </w:r>
      <w:r w:rsidRPr="00C714AF">
        <w:rPr>
          <w:rFonts w:eastAsia="Times New Roman" w:cs="Calibri"/>
          <w:szCs w:val="19"/>
          <w:lang w:eastAsia="pl-PL"/>
        </w:rPr>
        <w:t xml:space="preserve"> 187,8 tys</w:t>
      </w:r>
      <w:r>
        <w:rPr>
          <w:rFonts w:eastAsia="Times New Roman" w:cs="Calibri"/>
          <w:szCs w:val="19"/>
          <w:lang w:eastAsia="pl-PL"/>
        </w:rPr>
        <w:t>.</w:t>
      </w:r>
      <w:r w:rsidRPr="00C714AF">
        <w:rPr>
          <w:rFonts w:eastAsia="Times New Roman" w:cs="Calibri"/>
          <w:szCs w:val="19"/>
          <w:lang w:eastAsia="pl-PL"/>
        </w:rPr>
        <w:t xml:space="preserve"> nowych transakcji na instrumenty pochodne, których wartość wyniosła 317,0 mld zł.</w:t>
      </w:r>
    </w:p>
    <w:p w:rsidR="00EC1873" w:rsidRPr="00B8049B" w:rsidRDefault="00EC1873" w:rsidP="00EC1873">
      <w:pPr>
        <w:spacing w:before="240" w:after="240" w:line="20" w:lineRule="atLeast"/>
        <w:rPr>
          <w:rFonts w:eastAsia="Times New Roman" w:cs="Calibri"/>
          <w:i/>
          <w:sz w:val="16"/>
          <w:szCs w:val="16"/>
          <w:lang w:eastAsia="pl-PL"/>
        </w:rPr>
      </w:pPr>
      <w:r w:rsidRPr="00B8049B">
        <w:rPr>
          <w:rFonts w:eastAsia="Times New Roman" w:cs="Calibri"/>
          <w:i/>
          <w:sz w:val="16"/>
          <w:szCs w:val="16"/>
          <w:lang w:eastAsia="pl-PL"/>
        </w:rPr>
        <w:t xml:space="preserve">Szczegółowe dane odnośnie wartości instrumentów pochodnych zamieszczono w załączniku do </w:t>
      </w:r>
      <w:r>
        <w:rPr>
          <w:rFonts w:eastAsia="Times New Roman" w:cs="Calibri"/>
          <w:i/>
          <w:sz w:val="16"/>
          <w:szCs w:val="16"/>
          <w:lang w:eastAsia="pl-PL"/>
        </w:rPr>
        <w:t>Informacji sygnalnej</w:t>
      </w:r>
      <w:r w:rsidRPr="00B8049B">
        <w:rPr>
          <w:rFonts w:eastAsia="Times New Roman" w:cs="Calibri"/>
          <w:i/>
          <w:sz w:val="16"/>
          <w:szCs w:val="16"/>
          <w:lang w:eastAsia="pl-PL"/>
        </w:rPr>
        <w:t xml:space="preserve"> w Tabl. 25-28.</w:t>
      </w:r>
    </w:p>
    <w:p w:rsidR="00694AF0" w:rsidRDefault="00694AF0" w:rsidP="00E76D26">
      <w:pPr>
        <w:rPr>
          <w:sz w:val="18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0470AA" w:rsidRPr="00C44A40" w:rsidTr="00E23337">
        <w:trPr>
          <w:trHeight w:val="1912"/>
        </w:trPr>
        <w:tc>
          <w:tcPr>
            <w:tcW w:w="4379" w:type="dxa"/>
          </w:tcPr>
          <w:p w:rsidR="00EC1873" w:rsidRPr="00B8049B" w:rsidRDefault="00EC1873" w:rsidP="00EC1873">
            <w:pPr>
              <w:spacing w:before="0" w:after="0" w:line="276" w:lineRule="auto"/>
              <w:rPr>
                <w:rFonts w:eastAsia="Fira Sans Light" w:cs="Arial"/>
                <w:color w:val="000000"/>
                <w:sz w:val="20"/>
              </w:rPr>
            </w:pPr>
            <w:r w:rsidRPr="00B8049B">
              <w:rPr>
                <w:rFonts w:eastAsia="Fira Sans Light" w:cs="Arial"/>
                <w:color w:val="000000"/>
                <w:sz w:val="20"/>
              </w:rPr>
              <w:t>Opracowanie merytoryczne:</w:t>
            </w:r>
          </w:p>
          <w:p w:rsidR="00EC1873" w:rsidRPr="00B8049B" w:rsidRDefault="00EC1873" w:rsidP="00EC1873">
            <w:pPr>
              <w:spacing w:before="0" w:after="0" w:line="240" w:lineRule="auto"/>
              <w:rPr>
                <w:rFonts w:eastAsia="Fira Sans Light" w:cs="Arial"/>
                <w:b/>
                <w:color w:val="000000"/>
                <w:sz w:val="20"/>
              </w:rPr>
            </w:pPr>
            <w:r w:rsidRPr="00B8049B">
              <w:rPr>
                <w:rFonts w:eastAsia="Fira Sans Light" w:cs="Arial"/>
                <w:b/>
                <w:color w:val="000000"/>
                <w:sz w:val="20"/>
              </w:rPr>
              <w:t>Departament Studiów Makroekonomicznych i Finansów</w:t>
            </w:r>
          </w:p>
          <w:p w:rsidR="00EC1873" w:rsidRPr="00B8049B" w:rsidRDefault="00EC1873" w:rsidP="00EC1873">
            <w:pPr>
              <w:keepNext/>
              <w:keepLines/>
              <w:spacing w:before="0" w:after="0" w:line="240" w:lineRule="auto"/>
              <w:outlineLvl w:val="2"/>
              <w:rPr>
                <w:rFonts w:eastAsia="Times New Roman" w:cs="Arial"/>
                <w:b/>
                <w:color w:val="000000"/>
                <w:sz w:val="20"/>
                <w:szCs w:val="28"/>
              </w:rPr>
            </w:pPr>
            <w:r w:rsidRPr="00B8049B">
              <w:rPr>
                <w:rFonts w:eastAsia="Times New Roman" w:cs="Arial"/>
                <w:b/>
                <w:color w:val="000000"/>
                <w:sz w:val="20"/>
                <w:szCs w:val="28"/>
              </w:rPr>
              <w:t>Katarzyna Siwińska</w:t>
            </w:r>
          </w:p>
          <w:p w:rsidR="00EC1873" w:rsidRPr="00B8049B" w:rsidRDefault="00EC1873" w:rsidP="00EC1873">
            <w:pPr>
              <w:keepNext/>
              <w:keepLines/>
              <w:spacing w:before="0" w:after="0" w:line="240" w:lineRule="auto"/>
              <w:outlineLvl w:val="2"/>
              <w:rPr>
                <w:rFonts w:eastAsia="Times New Roman" w:cs="Arial"/>
                <w:color w:val="000000"/>
                <w:sz w:val="20"/>
                <w:szCs w:val="24"/>
                <w:lang w:val="fi-FI"/>
              </w:rPr>
            </w:pPr>
            <w:r w:rsidRPr="00B8049B">
              <w:rPr>
                <w:rFonts w:eastAsia="Times New Roman" w:cs="Arial"/>
                <w:color w:val="000000"/>
                <w:sz w:val="20"/>
                <w:szCs w:val="24"/>
                <w:lang w:val="fi-FI"/>
              </w:rPr>
              <w:t>Tel: 22 449 40 35</w:t>
            </w:r>
          </w:p>
          <w:p w:rsidR="000470AA" w:rsidRPr="008F3638" w:rsidRDefault="00EC1873" w:rsidP="00EC187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8049B">
              <w:rPr>
                <w:rFonts w:eastAsia="Times New Roman" w:cs="Arial"/>
                <w:b/>
                <w:color w:val="000000"/>
                <w:sz w:val="20"/>
                <w:szCs w:val="20"/>
              </w:rPr>
              <w:t xml:space="preserve">e-mail: </w:t>
            </w:r>
            <w:hyperlink r:id="rId19" w:history="1">
              <w:r w:rsidRPr="00B8049B">
                <w:rPr>
                  <w:rFonts w:eastAsia="Times New Roman" w:cs="Arial"/>
                  <w:b/>
                  <w:color w:val="0000FF"/>
                  <w:sz w:val="20"/>
                  <w:szCs w:val="20"/>
                  <w:u w:val="single"/>
                </w:rPr>
                <w:t>k.siwinska@stat.gov.pl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2969D1" w:rsidRDefault="000470AA" w:rsidP="000470AA">
      <w:pPr>
        <w:rPr>
          <w:sz w:val="20"/>
          <w:lang w:val="en-US"/>
        </w:rPr>
      </w:pPr>
    </w:p>
    <w:p w:rsidR="000470AA" w:rsidRPr="002969D1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2969D1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2969D1">
              <w:rPr>
                <w:b/>
                <w:sz w:val="20"/>
                <w:lang w:val="en-US"/>
              </w:rPr>
              <w:t>faks</w:t>
            </w:r>
            <w:proofErr w:type="spellEnd"/>
            <w:r w:rsidRPr="002969D1">
              <w:rPr>
                <w:b/>
                <w:sz w:val="20"/>
                <w:lang w:val="en-US"/>
              </w:rPr>
              <w:t>:</w:t>
            </w:r>
            <w:r w:rsidR="00097840" w:rsidRPr="002969D1">
              <w:rPr>
                <w:sz w:val="20"/>
                <w:lang w:val="en-US"/>
              </w:rPr>
              <w:t xml:space="preserve"> 22</w:t>
            </w:r>
            <w:r w:rsidRPr="002969D1">
              <w:rPr>
                <w:sz w:val="20"/>
                <w:lang w:val="en-US"/>
              </w:rPr>
              <w:t xml:space="preserve"> 608 38 86 </w:t>
            </w:r>
          </w:p>
          <w:p w:rsidR="000470AA" w:rsidRPr="002969D1" w:rsidRDefault="000470AA" w:rsidP="000470AA">
            <w:pPr>
              <w:rPr>
                <w:sz w:val="18"/>
                <w:lang w:val="en-US"/>
              </w:rPr>
            </w:pPr>
            <w:r w:rsidRPr="002969D1">
              <w:rPr>
                <w:b/>
                <w:sz w:val="20"/>
                <w:lang w:val="en-US"/>
              </w:rPr>
              <w:t>e-mail:</w:t>
            </w:r>
            <w:r w:rsidRPr="002969D1">
              <w:rPr>
                <w:sz w:val="20"/>
                <w:lang w:val="en-US"/>
              </w:rPr>
              <w:t xml:space="preserve"> </w:t>
            </w:r>
            <w:hyperlink r:id="rId21" w:history="1">
              <w:r w:rsidRPr="002969D1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2969D1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6CA406E" wp14:editId="56CA40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6CA4070" wp14:editId="56CA407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6CA4072" wp14:editId="56CA407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6CA4074" wp14:editId="56CA407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43B" w:rsidRDefault="0012543B" w:rsidP="00EC18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2543B" w:rsidRPr="00D8030C" w:rsidRDefault="00CB3289" w:rsidP="00EC1873">
                            <w:pPr>
                              <w:rPr>
                                <w:b/>
                              </w:rPr>
                            </w:pPr>
                            <w:hyperlink r:id="rId25" w:history="1">
                              <w:r w:rsidR="0012543B" w:rsidRPr="00D8030C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Wyspecjalizowane segmenty rynku finansowego</w:t>
                              </w:r>
                            </w:hyperlink>
                          </w:p>
                          <w:p w:rsidR="0012543B" w:rsidRDefault="0012543B" w:rsidP="00EC187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2543B" w:rsidRDefault="0012543B" w:rsidP="00EC187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2543B" w:rsidRDefault="00CB3289" w:rsidP="00EC187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12543B" w:rsidRPr="00D8030C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Instrument finansowy</w:t>
                              </w:r>
                            </w:hyperlink>
                          </w:p>
                          <w:p w:rsidR="0012543B" w:rsidRDefault="00CB3289" w:rsidP="00EC1873">
                            <w:pPr>
                              <w:rPr>
                                <w:b/>
                              </w:rPr>
                            </w:pPr>
                            <w:hyperlink r:id="rId27" w:history="1">
                              <w:r w:rsidR="0012543B" w:rsidRPr="00D8030C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Instrument pochodny</w:t>
                              </w:r>
                            </w:hyperlink>
                          </w:p>
                          <w:p w:rsidR="0012543B" w:rsidRPr="00716AA6" w:rsidRDefault="0012543B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12543B" w:rsidRPr="00716AA6" w:rsidRDefault="0012543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CA4074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:rsidR="0012543B" w:rsidRDefault="0012543B" w:rsidP="00EC18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Powiązane opracowania</w:t>
                      </w:r>
                    </w:p>
                    <w:p w:rsidR="0012543B" w:rsidRPr="00D8030C" w:rsidRDefault="0018442F" w:rsidP="00EC1873">
                      <w:pPr>
                        <w:rPr>
                          <w:b/>
                        </w:rPr>
                      </w:pPr>
                      <w:hyperlink r:id="rId28" w:history="1">
                        <w:r w:rsidR="0012543B" w:rsidRPr="00D8030C">
                          <w:rPr>
                            <w:rStyle w:val="Hipercze"/>
                            <w:rFonts w:cstheme="minorBidi"/>
                            <w:szCs w:val="24"/>
                          </w:rPr>
                          <w:t>Wyspecjalizowane segmenty rynku finansowego</w:t>
                        </w:r>
                      </w:hyperlink>
                    </w:p>
                    <w:p w:rsidR="0012543B" w:rsidRDefault="0012543B" w:rsidP="00EC187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2543B" w:rsidRDefault="0012543B" w:rsidP="00EC187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2543B" w:rsidRDefault="0018442F" w:rsidP="00EC187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12543B" w:rsidRPr="00D8030C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Instrument finansowy</w:t>
                        </w:r>
                      </w:hyperlink>
                    </w:p>
                    <w:p w:rsidR="0012543B" w:rsidRDefault="0018442F" w:rsidP="00EC1873">
                      <w:pPr>
                        <w:rPr>
                          <w:b/>
                        </w:rPr>
                      </w:pPr>
                      <w:hyperlink r:id="rId30" w:history="1">
                        <w:r w:rsidR="0012543B" w:rsidRPr="00D8030C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Instrument pochodny</w:t>
                        </w:r>
                      </w:hyperlink>
                    </w:p>
                    <w:p w:rsidR="0012543B" w:rsidRPr="00716AA6" w:rsidRDefault="0012543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12543B" w:rsidRPr="00716AA6" w:rsidRDefault="0012543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289" w:rsidRDefault="00CB3289" w:rsidP="000662E2">
      <w:pPr>
        <w:spacing w:after="0" w:line="240" w:lineRule="auto"/>
      </w:pPr>
      <w:r>
        <w:separator/>
      </w:r>
    </w:p>
  </w:endnote>
  <w:endnote w:type="continuationSeparator" w:id="0">
    <w:p w:rsidR="00CB3289" w:rsidRDefault="00CB32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6410854"/>
      <w:docPartObj>
        <w:docPartGallery w:val="Page Numbers (Bottom of Page)"/>
        <w:docPartUnique/>
      </w:docPartObj>
    </w:sdtPr>
    <w:sdtEndPr/>
    <w:sdtContent>
      <w:p w:rsidR="0012543B" w:rsidRDefault="0012543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A4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3321397"/>
      <w:docPartObj>
        <w:docPartGallery w:val="Page Numbers (Bottom of Page)"/>
        <w:docPartUnique/>
      </w:docPartObj>
    </w:sdtPr>
    <w:sdtEndPr/>
    <w:sdtContent>
      <w:p w:rsidR="0012543B" w:rsidRDefault="0012543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A4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5636839"/>
      <w:docPartObj>
        <w:docPartGallery w:val="Page Numbers (Bottom of Page)"/>
        <w:docPartUnique/>
      </w:docPartObj>
    </w:sdtPr>
    <w:sdtEndPr/>
    <w:sdtContent>
      <w:p w:rsidR="0012543B" w:rsidRDefault="0012543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A40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289" w:rsidRDefault="00CB3289" w:rsidP="000662E2">
      <w:pPr>
        <w:spacing w:after="0" w:line="240" w:lineRule="auto"/>
      </w:pPr>
      <w:r>
        <w:separator/>
      </w:r>
    </w:p>
  </w:footnote>
  <w:footnote w:type="continuationSeparator" w:id="0">
    <w:p w:rsidR="00CB3289" w:rsidRDefault="00CB3289" w:rsidP="000662E2">
      <w:pPr>
        <w:spacing w:after="0" w:line="240" w:lineRule="auto"/>
      </w:pPr>
      <w:r>
        <w:continuationSeparator/>
      </w:r>
    </w:p>
  </w:footnote>
  <w:footnote w:id="1">
    <w:p w:rsidR="0012543B" w:rsidRPr="00166C54" w:rsidRDefault="0012543B" w:rsidP="00EC1873">
      <w:pPr>
        <w:pStyle w:val="Tekstprzypisudolnego"/>
        <w:spacing w:before="0"/>
        <w:rPr>
          <w:sz w:val="16"/>
          <w:szCs w:val="16"/>
        </w:rPr>
      </w:pPr>
      <w:r w:rsidRPr="00166C54">
        <w:rPr>
          <w:rStyle w:val="Odwoanieprzypisudolnego"/>
          <w:sz w:val="16"/>
          <w:szCs w:val="16"/>
        </w:rPr>
        <w:footnoteRef/>
      </w:r>
      <w:r w:rsidRPr="00166C54">
        <w:rPr>
          <w:sz w:val="16"/>
          <w:szCs w:val="16"/>
        </w:rPr>
        <w:t xml:space="preserve"> W badaniu uczestniczyło 1711 podmiotów z tego: 657 przedsiębiorstw działających samodzielnie, 290 jedn</w:t>
      </w:r>
      <w:r w:rsidRPr="00166C54">
        <w:rPr>
          <w:sz w:val="16"/>
          <w:szCs w:val="16"/>
        </w:rPr>
        <w:t>o</w:t>
      </w:r>
      <w:r w:rsidRPr="00166C54">
        <w:rPr>
          <w:sz w:val="16"/>
          <w:szCs w:val="16"/>
        </w:rPr>
        <w:t>stek dominujących w grupie kapitałowej, 524 jednostki zależne oraz 240 jednostek jednocześnie dominujących i zależnych.</w:t>
      </w:r>
    </w:p>
  </w:footnote>
  <w:footnote w:id="2">
    <w:p w:rsidR="0012543B" w:rsidRPr="00166C54" w:rsidRDefault="0012543B" w:rsidP="00EC1873">
      <w:pPr>
        <w:pStyle w:val="Tekstprzypisudolnego"/>
        <w:spacing w:before="0"/>
        <w:rPr>
          <w:sz w:val="16"/>
          <w:szCs w:val="16"/>
        </w:rPr>
      </w:pPr>
      <w:r w:rsidRPr="00166C54">
        <w:rPr>
          <w:rStyle w:val="Odwoanieprzypisudolnego"/>
          <w:sz w:val="16"/>
          <w:szCs w:val="16"/>
        </w:rPr>
        <w:footnoteRef/>
      </w:r>
      <w:r w:rsidRPr="00166C54">
        <w:rPr>
          <w:sz w:val="16"/>
          <w:szCs w:val="16"/>
        </w:rPr>
        <w:t xml:space="preserve"> Do badania wytypowano 1774 przedsiębiorstwa. Wybrane zostały podmioty, które przynajmniej w jednym z</w:t>
      </w:r>
      <w:r>
        <w:rPr>
          <w:sz w:val="16"/>
          <w:szCs w:val="16"/>
        </w:rPr>
        <w:t> </w:t>
      </w:r>
      <w:r w:rsidRPr="00166C54">
        <w:rPr>
          <w:sz w:val="16"/>
          <w:szCs w:val="16"/>
        </w:rPr>
        <w:t xml:space="preserve">kwartałów 2017 r. w sprawozdaniu </w:t>
      </w:r>
      <w:r>
        <w:rPr>
          <w:sz w:val="16"/>
          <w:szCs w:val="16"/>
        </w:rPr>
        <w:t>„RF-01 Kw</w:t>
      </w:r>
      <w:r w:rsidRPr="00166C54">
        <w:rPr>
          <w:sz w:val="16"/>
          <w:szCs w:val="16"/>
        </w:rPr>
        <w:t>artalne statystyczne sprawozdanie o aktywach i pasywach fina</w:t>
      </w:r>
      <w:r w:rsidRPr="00166C54">
        <w:rPr>
          <w:sz w:val="16"/>
          <w:szCs w:val="16"/>
        </w:rPr>
        <w:t>n</w:t>
      </w:r>
      <w:r w:rsidRPr="00166C54">
        <w:rPr>
          <w:sz w:val="16"/>
          <w:szCs w:val="16"/>
        </w:rPr>
        <w:t>sowych</w:t>
      </w:r>
      <w:r>
        <w:rPr>
          <w:sz w:val="16"/>
          <w:szCs w:val="16"/>
        </w:rPr>
        <w:t>”</w:t>
      </w:r>
      <w:r w:rsidRPr="00166C54">
        <w:rPr>
          <w:sz w:val="16"/>
          <w:szCs w:val="16"/>
        </w:rPr>
        <w:t xml:space="preserve"> wykazały obecność wybranych instrumentów finansowych</w:t>
      </w:r>
      <w:r>
        <w:rPr>
          <w:sz w:val="16"/>
          <w:szCs w:val="16"/>
        </w:rPr>
        <w:t xml:space="preserve"> (instrumenty pochodne, dłużne papiery wartościowe, udziały w funduszach wspólnego inwestowania, udziałowe instrumenty kapitałowe)</w:t>
      </w:r>
      <w:r w:rsidRPr="00166C54">
        <w:rPr>
          <w:sz w:val="16"/>
          <w:szCs w:val="16"/>
        </w:rPr>
        <w:t>. Wytypowano również aktywne podmioty, które uczestniczyły w poprzedniej edycji badania IF.</w:t>
      </w:r>
    </w:p>
  </w:footnote>
  <w:footnote w:id="3">
    <w:p w:rsidR="0012543B" w:rsidRPr="00ED10C6" w:rsidRDefault="0012543B" w:rsidP="00EC1873">
      <w:pPr>
        <w:pStyle w:val="Tekstprzypisudolnego"/>
        <w:spacing w:before="0"/>
        <w:jc w:val="both"/>
        <w:rPr>
          <w:sz w:val="16"/>
          <w:szCs w:val="16"/>
        </w:rPr>
      </w:pPr>
      <w:r w:rsidRPr="00D448B9">
        <w:rPr>
          <w:rStyle w:val="Odwoanieprzypisudolnego"/>
          <w:sz w:val="16"/>
          <w:szCs w:val="16"/>
        </w:rPr>
        <w:footnoteRef/>
      </w:r>
      <w:r>
        <w:t xml:space="preserve"> 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 xml:space="preserve">Badanie </w:t>
      </w:r>
      <w:r w:rsidRPr="00ED10C6">
        <w:rPr>
          <w:rFonts w:eastAsia="Times New Roman" w:cs="Times New Roman"/>
          <w:bCs/>
          <w:i/>
          <w:sz w:val="16"/>
          <w:szCs w:val="16"/>
          <w:lang w:eastAsia="pl-PL"/>
        </w:rPr>
        <w:t>Instrumenty finansowe przedsiębiorstw niefinansowych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 xml:space="preserve"> charakteryzuje pewna specyfika, gdyż uwzględnia ona przedsiębiorstwa o różnym statusie organizacyjnym (jednostki dominujące w grupach kapit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a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łowych, jednostki zależne, jednostki dominujące i jednocześnie zależne oraz przedsiębiorstwa działające s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a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modzielnie). Prezentowane dane finansowe dotyczące bilansów i rachunków wyników pochodzą ze sprawo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z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dań skonsolidowanych i jednostkowych, przez co porównywalność tych danych nie jest pełna. Pozostałe pr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e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 xml:space="preserve">zentowane dane dot. </w:t>
      </w:r>
      <w:r>
        <w:rPr>
          <w:rFonts w:eastAsia="Times New Roman" w:cs="Times New Roman"/>
          <w:bCs/>
          <w:sz w:val="16"/>
          <w:szCs w:val="16"/>
          <w:lang w:eastAsia="pl-PL"/>
        </w:rPr>
        <w:t xml:space="preserve">rachunku przepływów pieniężnych, 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importu, eksportu, instrumentów finansowych i p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o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chodnych dotyczą osobno traktowanych jednost</w:t>
      </w:r>
      <w:r>
        <w:rPr>
          <w:rFonts w:eastAsia="Times New Roman" w:cs="Times New Roman"/>
          <w:bCs/>
          <w:sz w:val="16"/>
          <w:szCs w:val="16"/>
          <w:lang w:eastAsia="pl-PL"/>
        </w:rPr>
        <w:t>e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k gospodarcz</w:t>
      </w:r>
      <w:r>
        <w:rPr>
          <w:rFonts w:eastAsia="Times New Roman" w:cs="Times New Roman"/>
          <w:bCs/>
          <w:sz w:val="16"/>
          <w:szCs w:val="16"/>
          <w:lang w:eastAsia="pl-PL"/>
        </w:rPr>
        <w:t>ych</w:t>
      </w:r>
      <w:r w:rsidRPr="00ED10C6">
        <w:rPr>
          <w:rFonts w:eastAsia="Times New Roman" w:cs="Times New Roman"/>
          <w:bCs/>
          <w:sz w:val="16"/>
          <w:szCs w:val="16"/>
          <w:lang w:eastAsia="pl-PL"/>
        </w:rPr>
        <w:t>.</w:t>
      </w:r>
    </w:p>
  </w:footnote>
  <w:footnote w:id="4">
    <w:p w:rsidR="00F8127E" w:rsidRDefault="00F8127E" w:rsidP="00F8127E">
      <w:pPr>
        <w:pStyle w:val="Tekstprzypisudolnego"/>
        <w:spacing w:before="0"/>
        <w:jc w:val="both"/>
      </w:pPr>
      <w:r w:rsidRPr="00F8127E">
        <w:rPr>
          <w:rStyle w:val="Odwoanieprzypisudolnego"/>
          <w:sz w:val="16"/>
          <w:szCs w:val="16"/>
        </w:rPr>
        <w:footnoteRef/>
      </w:r>
      <w:r w:rsidRPr="00F8127E">
        <w:rPr>
          <w:rStyle w:val="Odwoanieprzypisudolnego"/>
          <w:sz w:val="16"/>
          <w:szCs w:val="16"/>
        </w:rPr>
        <w:t xml:space="preserve"> </w:t>
      </w:r>
      <w:r w:rsidRPr="00977F43">
        <w:rPr>
          <w:rFonts w:eastAsia="Times New Roman" w:cs="Times New Roman"/>
          <w:bCs/>
          <w:sz w:val="16"/>
          <w:szCs w:val="16"/>
          <w:lang w:eastAsia="pl-PL"/>
        </w:rPr>
        <w:t>Pozostałą część w przypadku podmiotów sporządzających sprawozdanie finansowe zgodnie z MSR dla jedn</w:t>
      </w:r>
      <w:r w:rsidRPr="00977F43">
        <w:rPr>
          <w:rFonts w:eastAsia="Times New Roman" w:cs="Times New Roman"/>
          <w:bCs/>
          <w:sz w:val="16"/>
          <w:szCs w:val="16"/>
          <w:lang w:eastAsia="pl-PL"/>
        </w:rPr>
        <w:t>o</w:t>
      </w:r>
      <w:r w:rsidRPr="00977F43">
        <w:rPr>
          <w:rFonts w:eastAsia="Times New Roman" w:cs="Times New Roman"/>
          <w:bCs/>
          <w:sz w:val="16"/>
          <w:szCs w:val="16"/>
          <w:lang w:eastAsia="pl-PL"/>
        </w:rPr>
        <w:t>stek dominujących w grupie kapitałowej stanowiły aktywa trwałe przeznaczone do sprzedaży, natomiast w przypadku podmiotów sporządzających sprawozdanie według ustawy o rachunkowości: należne wpłaty na kapitał podstawowy oraz udziały (akcje) własne.</w:t>
      </w:r>
    </w:p>
  </w:footnote>
  <w:footnote w:id="5">
    <w:p w:rsidR="0012543B" w:rsidRPr="00193A1F" w:rsidRDefault="0012543B" w:rsidP="00EC1873">
      <w:pPr>
        <w:pStyle w:val="Tekstprzypisudolnego"/>
        <w:jc w:val="both"/>
        <w:rPr>
          <w:sz w:val="16"/>
          <w:szCs w:val="16"/>
        </w:rPr>
      </w:pPr>
      <w:r w:rsidRPr="00D448B9">
        <w:rPr>
          <w:rStyle w:val="Odwoanieprzypisudolnego"/>
          <w:sz w:val="16"/>
          <w:szCs w:val="16"/>
        </w:rPr>
        <w:footnoteRef/>
      </w:r>
      <w:r>
        <w:t xml:space="preserve"> </w:t>
      </w:r>
      <w:r w:rsidRPr="00193A1F">
        <w:rPr>
          <w:sz w:val="16"/>
          <w:szCs w:val="16"/>
        </w:rPr>
        <w:t xml:space="preserve">Wartość importu i eksportu </w:t>
      </w:r>
      <w:r>
        <w:rPr>
          <w:sz w:val="16"/>
          <w:szCs w:val="16"/>
        </w:rPr>
        <w:t xml:space="preserve">oraz struktura walutowa badane są </w:t>
      </w:r>
      <w:r w:rsidRPr="00193A1F">
        <w:rPr>
          <w:sz w:val="16"/>
          <w:szCs w:val="16"/>
        </w:rPr>
        <w:t>z uwagi</w:t>
      </w:r>
      <w:r>
        <w:rPr>
          <w:sz w:val="16"/>
          <w:szCs w:val="16"/>
        </w:rPr>
        <w:t xml:space="preserve"> na to, że przedsiębiorstwa</w:t>
      </w:r>
      <w:r w:rsidRPr="00193A1F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zawierają </w:t>
      </w:r>
      <w:r w:rsidRPr="00193A1F">
        <w:rPr>
          <w:sz w:val="16"/>
          <w:szCs w:val="16"/>
        </w:rPr>
        <w:t>transakcje instrumentami finansowymi</w:t>
      </w:r>
      <w:r>
        <w:rPr>
          <w:sz w:val="16"/>
          <w:szCs w:val="16"/>
        </w:rPr>
        <w:t xml:space="preserve"> </w:t>
      </w:r>
      <w:r w:rsidR="00F8127E">
        <w:rPr>
          <w:sz w:val="16"/>
          <w:szCs w:val="16"/>
        </w:rPr>
        <w:t xml:space="preserve">m.in. </w:t>
      </w:r>
      <w:r>
        <w:rPr>
          <w:sz w:val="16"/>
          <w:szCs w:val="16"/>
        </w:rPr>
        <w:t>w celu z</w:t>
      </w:r>
      <w:r w:rsidRPr="00193A1F">
        <w:rPr>
          <w:sz w:val="16"/>
          <w:szCs w:val="16"/>
        </w:rPr>
        <w:t>abezpiec</w:t>
      </w:r>
      <w:r>
        <w:rPr>
          <w:sz w:val="16"/>
          <w:szCs w:val="16"/>
        </w:rPr>
        <w:t xml:space="preserve">zenia </w:t>
      </w:r>
      <w:r w:rsidRPr="00193A1F">
        <w:rPr>
          <w:sz w:val="16"/>
          <w:szCs w:val="16"/>
        </w:rPr>
        <w:t>ryzyk</w:t>
      </w:r>
      <w:r>
        <w:rPr>
          <w:sz w:val="16"/>
          <w:szCs w:val="16"/>
        </w:rPr>
        <w:t>a</w:t>
      </w:r>
      <w:r w:rsidRPr="00193A1F">
        <w:rPr>
          <w:sz w:val="16"/>
          <w:szCs w:val="16"/>
        </w:rPr>
        <w:t xml:space="preserve"> walutow</w:t>
      </w:r>
      <w:r>
        <w:rPr>
          <w:sz w:val="16"/>
          <w:szCs w:val="16"/>
        </w:rPr>
        <w:t>ego</w:t>
      </w:r>
      <w:r w:rsidRPr="00193A1F">
        <w:rPr>
          <w:sz w:val="16"/>
          <w:szCs w:val="16"/>
        </w:rPr>
        <w:t>.</w:t>
      </w:r>
    </w:p>
  </w:footnote>
  <w:footnote w:id="6">
    <w:p w:rsidR="0012543B" w:rsidRPr="00D448B9" w:rsidRDefault="0012543B" w:rsidP="00F8127E">
      <w:pPr>
        <w:pStyle w:val="Tekstprzypisudolnego"/>
        <w:spacing w:before="0"/>
        <w:rPr>
          <w:sz w:val="16"/>
          <w:szCs w:val="16"/>
        </w:rPr>
      </w:pPr>
      <w:r w:rsidRPr="00D448B9">
        <w:rPr>
          <w:rStyle w:val="Odwoanieprzypisudolnego"/>
          <w:sz w:val="16"/>
          <w:szCs w:val="16"/>
        </w:rPr>
        <w:footnoteRef/>
      </w:r>
      <w:r w:rsidRPr="00D448B9">
        <w:rPr>
          <w:sz w:val="16"/>
          <w:szCs w:val="16"/>
        </w:rPr>
        <w:t xml:space="preserve"> </w:t>
      </w:r>
      <w:r>
        <w:rPr>
          <w:sz w:val="16"/>
          <w:szCs w:val="16"/>
        </w:rPr>
        <w:t>Prezentowane dane dotyczą osobno traktowanych jednostek gospodarczych.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43B" w:rsidRDefault="0012543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CA4083" wp14:editId="56CA408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041C9AC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12543B" w:rsidRDefault="0012543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43B" w:rsidRDefault="0012543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7235AEA" wp14:editId="42638D30">
              <wp:simplePos x="0" y="0"/>
              <wp:positionH relativeFrom="column">
                <wp:posOffset>5153025</wp:posOffset>
              </wp:positionH>
              <wp:positionV relativeFrom="paragraph">
                <wp:posOffset>-121920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C0D6EA2" id="Prostokąt 10" o:spid="_x0000_s1026" style="position:absolute;margin-left:405.75pt;margin-top:-9.6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02C3D8A" wp14:editId="3C4175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543B" w:rsidRPr="003C6C8D" w:rsidRDefault="0012543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02C3D8A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2543B" w:rsidRPr="003C6C8D" w:rsidRDefault="0012543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B1371A">
      <w:rPr>
        <w:rFonts w:eastAsia="Fira Sans Light" w:cs="Times New Roman"/>
        <w:noProof/>
        <w:lang w:eastAsia="pl-PL"/>
      </w:rPr>
      <w:drawing>
        <wp:inline distT="0" distB="0" distL="0" distR="0" wp14:anchorId="36365976" wp14:editId="5E12E51F">
          <wp:extent cx="2210137" cy="720000"/>
          <wp:effectExtent l="0" t="0" r="0" b="444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%20jubileuszowe%20wersja%20dla%20GUS%20odmian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13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2543B" w:rsidRDefault="0012543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ECCDA0" wp14:editId="3899342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543B" w:rsidRPr="00C97596" w:rsidRDefault="0012543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20.11.2018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5ECCDA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12543B" w:rsidRPr="00C97596" w:rsidRDefault="0012543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20.11.2018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43B" w:rsidRDefault="0012543B">
    <w:pPr>
      <w:pStyle w:val="Nagwek"/>
    </w:pPr>
  </w:p>
  <w:p w:rsidR="0012543B" w:rsidRDefault="0012543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" o:bullet="t">
        <v:imagedata r:id="rId1" o:title=""/>
      </v:shape>
    </w:pict>
  </w:numPicBullet>
  <w:numPicBullet w:numPicBulletId="1">
    <w:pict>
      <v:shape id="_x0000_i1033" type="#_x0000_t75" style="width:123.75pt;height:125.25pt;visibility:visibl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1C5B"/>
    <w:rsid w:val="00003437"/>
    <w:rsid w:val="00006635"/>
    <w:rsid w:val="0000709F"/>
    <w:rsid w:val="000108B8"/>
    <w:rsid w:val="000152F5"/>
    <w:rsid w:val="0004582E"/>
    <w:rsid w:val="000470AA"/>
    <w:rsid w:val="00057CA1"/>
    <w:rsid w:val="000662E2"/>
    <w:rsid w:val="00066883"/>
    <w:rsid w:val="00071396"/>
    <w:rsid w:val="00074DD8"/>
    <w:rsid w:val="000806F7"/>
    <w:rsid w:val="00097840"/>
    <w:rsid w:val="000B0727"/>
    <w:rsid w:val="000B3242"/>
    <w:rsid w:val="000C135D"/>
    <w:rsid w:val="000D1D43"/>
    <w:rsid w:val="000D225C"/>
    <w:rsid w:val="000D2A5C"/>
    <w:rsid w:val="000E0918"/>
    <w:rsid w:val="000E1C23"/>
    <w:rsid w:val="000F2697"/>
    <w:rsid w:val="001011C3"/>
    <w:rsid w:val="00110D87"/>
    <w:rsid w:val="00110E07"/>
    <w:rsid w:val="00114DB9"/>
    <w:rsid w:val="00116087"/>
    <w:rsid w:val="0012543B"/>
    <w:rsid w:val="00130296"/>
    <w:rsid w:val="001375D8"/>
    <w:rsid w:val="001423B6"/>
    <w:rsid w:val="001438E6"/>
    <w:rsid w:val="001448A7"/>
    <w:rsid w:val="00146621"/>
    <w:rsid w:val="00151187"/>
    <w:rsid w:val="00162325"/>
    <w:rsid w:val="00176646"/>
    <w:rsid w:val="00177132"/>
    <w:rsid w:val="0018442F"/>
    <w:rsid w:val="001951DA"/>
    <w:rsid w:val="001A20E3"/>
    <w:rsid w:val="001A4384"/>
    <w:rsid w:val="001B1AC4"/>
    <w:rsid w:val="001C3269"/>
    <w:rsid w:val="001D1DB4"/>
    <w:rsid w:val="001F6B80"/>
    <w:rsid w:val="001F6E7A"/>
    <w:rsid w:val="002067D4"/>
    <w:rsid w:val="002109B3"/>
    <w:rsid w:val="00235E14"/>
    <w:rsid w:val="00250CAA"/>
    <w:rsid w:val="002525C8"/>
    <w:rsid w:val="002574F9"/>
    <w:rsid w:val="00262B61"/>
    <w:rsid w:val="00276811"/>
    <w:rsid w:val="0027706C"/>
    <w:rsid w:val="00282699"/>
    <w:rsid w:val="002926DF"/>
    <w:rsid w:val="00296697"/>
    <w:rsid w:val="002969D1"/>
    <w:rsid w:val="002B0472"/>
    <w:rsid w:val="002B6B12"/>
    <w:rsid w:val="002C4D14"/>
    <w:rsid w:val="002E6140"/>
    <w:rsid w:val="002E6985"/>
    <w:rsid w:val="002E71B6"/>
    <w:rsid w:val="002F37D0"/>
    <w:rsid w:val="002F77C8"/>
    <w:rsid w:val="00304F22"/>
    <w:rsid w:val="00306C7C"/>
    <w:rsid w:val="003179D8"/>
    <w:rsid w:val="00322EDD"/>
    <w:rsid w:val="00332320"/>
    <w:rsid w:val="00335077"/>
    <w:rsid w:val="00347D72"/>
    <w:rsid w:val="00357611"/>
    <w:rsid w:val="00367237"/>
    <w:rsid w:val="0037077F"/>
    <w:rsid w:val="00370FFF"/>
    <w:rsid w:val="00372411"/>
    <w:rsid w:val="00373882"/>
    <w:rsid w:val="003843DB"/>
    <w:rsid w:val="00393761"/>
    <w:rsid w:val="00397D18"/>
    <w:rsid w:val="003A1B36"/>
    <w:rsid w:val="003B1454"/>
    <w:rsid w:val="003B18B6"/>
    <w:rsid w:val="003B78B9"/>
    <w:rsid w:val="003C59E0"/>
    <w:rsid w:val="003C6C8D"/>
    <w:rsid w:val="003D2C82"/>
    <w:rsid w:val="003D4F95"/>
    <w:rsid w:val="003D5F42"/>
    <w:rsid w:val="003D60A9"/>
    <w:rsid w:val="003D6E9F"/>
    <w:rsid w:val="003D7CE1"/>
    <w:rsid w:val="003F4C97"/>
    <w:rsid w:val="003F7FE6"/>
    <w:rsid w:val="00400193"/>
    <w:rsid w:val="00410B36"/>
    <w:rsid w:val="004212E7"/>
    <w:rsid w:val="0042446D"/>
    <w:rsid w:val="00427BF8"/>
    <w:rsid w:val="00431C02"/>
    <w:rsid w:val="00433206"/>
    <w:rsid w:val="00437395"/>
    <w:rsid w:val="00445047"/>
    <w:rsid w:val="00457A2D"/>
    <w:rsid w:val="00463E39"/>
    <w:rsid w:val="004657FC"/>
    <w:rsid w:val="00471212"/>
    <w:rsid w:val="004733F6"/>
    <w:rsid w:val="00474E69"/>
    <w:rsid w:val="00495A07"/>
    <w:rsid w:val="0049621B"/>
    <w:rsid w:val="004B0E6F"/>
    <w:rsid w:val="004B6F25"/>
    <w:rsid w:val="004C1895"/>
    <w:rsid w:val="004C6D40"/>
    <w:rsid w:val="004F071D"/>
    <w:rsid w:val="004F0C3C"/>
    <w:rsid w:val="004F63FC"/>
    <w:rsid w:val="00505A92"/>
    <w:rsid w:val="005116F3"/>
    <w:rsid w:val="005203F1"/>
    <w:rsid w:val="00521499"/>
    <w:rsid w:val="00521BC3"/>
    <w:rsid w:val="005314BC"/>
    <w:rsid w:val="00533632"/>
    <w:rsid w:val="00541E6E"/>
    <w:rsid w:val="0054251F"/>
    <w:rsid w:val="00547712"/>
    <w:rsid w:val="005520D8"/>
    <w:rsid w:val="00554EDB"/>
    <w:rsid w:val="00556CF1"/>
    <w:rsid w:val="00572B9B"/>
    <w:rsid w:val="005762A7"/>
    <w:rsid w:val="005916D7"/>
    <w:rsid w:val="005A698C"/>
    <w:rsid w:val="005E0799"/>
    <w:rsid w:val="005E7160"/>
    <w:rsid w:val="005F5A80"/>
    <w:rsid w:val="006044FF"/>
    <w:rsid w:val="00607CC5"/>
    <w:rsid w:val="00633014"/>
    <w:rsid w:val="0063437B"/>
    <w:rsid w:val="0064319F"/>
    <w:rsid w:val="00664D6E"/>
    <w:rsid w:val="006673CA"/>
    <w:rsid w:val="0066785E"/>
    <w:rsid w:val="00670AFF"/>
    <w:rsid w:val="00673C26"/>
    <w:rsid w:val="006812AF"/>
    <w:rsid w:val="0068327D"/>
    <w:rsid w:val="00691D21"/>
    <w:rsid w:val="00694AF0"/>
    <w:rsid w:val="006A4686"/>
    <w:rsid w:val="006B0E9E"/>
    <w:rsid w:val="006B5AE4"/>
    <w:rsid w:val="006D1507"/>
    <w:rsid w:val="006D4054"/>
    <w:rsid w:val="006E02EC"/>
    <w:rsid w:val="006F2688"/>
    <w:rsid w:val="00716AA6"/>
    <w:rsid w:val="007211B1"/>
    <w:rsid w:val="00746187"/>
    <w:rsid w:val="0075252C"/>
    <w:rsid w:val="00754E1B"/>
    <w:rsid w:val="0076254F"/>
    <w:rsid w:val="007666E8"/>
    <w:rsid w:val="007801F5"/>
    <w:rsid w:val="00783CA4"/>
    <w:rsid w:val="007842FB"/>
    <w:rsid w:val="00786124"/>
    <w:rsid w:val="00790A4B"/>
    <w:rsid w:val="0079514B"/>
    <w:rsid w:val="007A2DC1"/>
    <w:rsid w:val="007B715D"/>
    <w:rsid w:val="007D3319"/>
    <w:rsid w:val="007D335D"/>
    <w:rsid w:val="007E3314"/>
    <w:rsid w:val="007E4B03"/>
    <w:rsid w:val="007E5CD1"/>
    <w:rsid w:val="007F17E0"/>
    <w:rsid w:val="007F324B"/>
    <w:rsid w:val="0080553C"/>
    <w:rsid w:val="00805B46"/>
    <w:rsid w:val="00815698"/>
    <w:rsid w:val="00815F1C"/>
    <w:rsid w:val="00825DC2"/>
    <w:rsid w:val="00834AD3"/>
    <w:rsid w:val="008350E6"/>
    <w:rsid w:val="00840265"/>
    <w:rsid w:val="00843416"/>
    <w:rsid w:val="00843795"/>
    <w:rsid w:val="00847F0F"/>
    <w:rsid w:val="00852448"/>
    <w:rsid w:val="008532F0"/>
    <w:rsid w:val="008632F6"/>
    <w:rsid w:val="00877F39"/>
    <w:rsid w:val="0088258A"/>
    <w:rsid w:val="00886332"/>
    <w:rsid w:val="008913BD"/>
    <w:rsid w:val="008A26D9"/>
    <w:rsid w:val="008B0F30"/>
    <w:rsid w:val="008C0C29"/>
    <w:rsid w:val="008D45C1"/>
    <w:rsid w:val="008F3638"/>
    <w:rsid w:val="008F4441"/>
    <w:rsid w:val="008F6F31"/>
    <w:rsid w:val="008F74DF"/>
    <w:rsid w:val="008F7953"/>
    <w:rsid w:val="009010C5"/>
    <w:rsid w:val="0090117D"/>
    <w:rsid w:val="009127BA"/>
    <w:rsid w:val="009227A6"/>
    <w:rsid w:val="00933EC1"/>
    <w:rsid w:val="009530DB"/>
    <w:rsid w:val="00953676"/>
    <w:rsid w:val="009700B8"/>
    <w:rsid w:val="009705EE"/>
    <w:rsid w:val="00977927"/>
    <w:rsid w:val="0098135C"/>
    <w:rsid w:val="0098156A"/>
    <w:rsid w:val="00985843"/>
    <w:rsid w:val="00991BAC"/>
    <w:rsid w:val="009A6EA0"/>
    <w:rsid w:val="009B150B"/>
    <w:rsid w:val="009C1335"/>
    <w:rsid w:val="009C1AB2"/>
    <w:rsid w:val="009C7251"/>
    <w:rsid w:val="009D3905"/>
    <w:rsid w:val="009E2E91"/>
    <w:rsid w:val="00A139F5"/>
    <w:rsid w:val="00A15C18"/>
    <w:rsid w:val="00A161BC"/>
    <w:rsid w:val="00A365F4"/>
    <w:rsid w:val="00A40502"/>
    <w:rsid w:val="00A42EA2"/>
    <w:rsid w:val="00A47D80"/>
    <w:rsid w:val="00A53132"/>
    <w:rsid w:val="00A563F2"/>
    <w:rsid w:val="00A566E8"/>
    <w:rsid w:val="00A810F9"/>
    <w:rsid w:val="00A86ECC"/>
    <w:rsid w:val="00A86FCC"/>
    <w:rsid w:val="00AA710D"/>
    <w:rsid w:val="00AB6D25"/>
    <w:rsid w:val="00AC5AD6"/>
    <w:rsid w:val="00AE2D4B"/>
    <w:rsid w:val="00AE4F99"/>
    <w:rsid w:val="00B01EFB"/>
    <w:rsid w:val="00B11B69"/>
    <w:rsid w:val="00B1371A"/>
    <w:rsid w:val="00B14952"/>
    <w:rsid w:val="00B2196A"/>
    <w:rsid w:val="00B31E5A"/>
    <w:rsid w:val="00B33731"/>
    <w:rsid w:val="00B40557"/>
    <w:rsid w:val="00B43822"/>
    <w:rsid w:val="00B54232"/>
    <w:rsid w:val="00B57E4A"/>
    <w:rsid w:val="00B636CE"/>
    <w:rsid w:val="00B653AB"/>
    <w:rsid w:val="00B65F9E"/>
    <w:rsid w:val="00B66B19"/>
    <w:rsid w:val="00B914E9"/>
    <w:rsid w:val="00B956EE"/>
    <w:rsid w:val="00B96ECF"/>
    <w:rsid w:val="00BA2BA1"/>
    <w:rsid w:val="00BA3562"/>
    <w:rsid w:val="00BB302F"/>
    <w:rsid w:val="00BB42BE"/>
    <w:rsid w:val="00BB4F09"/>
    <w:rsid w:val="00BC419E"/>
    <w:rsid w:val="00BD4E33"/>
    <w:rsid w:val="00C030DE"/>
    <w:rsid w:val="00C147FB"/>
    <w:rsid w:val="00C22105"/>
    <w:rsid w:val="00C244B6"/>
    <w:rsid w:val="00C3702F"/>
    <w:rsid w:val="00C44A40"/>
    <w:rsid w:val="00C4500A"/>
    <w:rsid w:val="00C64A37"/>
    <w:rsid w:val="00C7133C"/>
    <w:rsid w:val="00C7158E"/>
    <w:rsid w:val="00C7250B"/>
    <w:rsid w:val="00C7346B"/>
    <w:rsid w:val="00C77C0E"/>
    <w:rsid w:val="00C91687"/>
    <w:rsid w:val="00C924A8"/>
    <w:rsid w:val="00C945FE"/>
    <w:rsid w:val="00C9511E"/>
    <w:rsid w:val="00C96FAA"/>
    <w:rsid w:val="00C97A04"/>
    <w:rsid w:val="00CA107B"/>
    <w:rsid w:val="00CA1409"/>
    <w:rsid w:val="00CA484D"/>
    <w:rsid w:val="00CA4FB6"/>
    <w:rsid w:val="00CB3289"/>
    <w:rsid w:val="00CB3AD2"/>
    <w:rsid w:val="00CB3F4D"/>
    <w:rsid w:val="00CC4999"/>
    <w:rsid w:val="00CC739E"/>
    <w:rsid w:val="00CD58B7"/>
    <w:rsid w:val="00CF4099"/>
    <w:rsid w:val="00D00796"/>
    <w:rsid w:val="00D03A73"/>
    <w:rsid w:val="00D07F7D"/>
    <w:rsid w:val="00D23EE2"/>
    <w:rsid w:val="00D261A2"/>
    <w:rsid w:val="00D616D2"/>
    <w:rsid w:val="00D63B5F"/>
    <w:rsid w:val="00D64BDB"/>
    <w:rsid w:val="00D70EF7"/>
    <w:rsid w:val="00D8397C"/>
    <w:rsid w:val="00D84611"/>
    <w:rsid w:val="00D910DC"/>
    <w:rsid w:val="00D943BA"/>
    <w:rsid w:val="00D94EED"/>
    <w:rsid w:val="00D96026"/>
    <w:rsid w:val="00DA0D2D"/>
    <w:rsid w:val="00DA7C1C"/>
    <w:rsid w:val="00DB09B4"/>
    <w:rsid w:val="00DB147A"/>
    <w:rsid w:val="00DB1B7A"/>
    <w:rsid w:val="00DC1AF2"/>
    <w:rsid w:val="00DC4276"/>
    <w:rsid w:val="00DC5A7D"/>
    <w:rsid w:val="00DC6708"/>
    <w:rsid w:val="00DD335F"/>
    <w:rsid w:val="00E01436"/>
    <w:rsid w:val="00E045BD"/>
    <w:rsid w:val="00E078AA"/>
    <w:rsid w:val="00E15E4E"/>
    <w:rsid w:val="00E17B77"/>
    <w:rsid w:val="00E23337"/>
    <w:rsid w:val="00E259EA"/>
    <w:rsid w:val="00E32061"/>
    <w:rsid w:val="00E42FF9"/>
    <w:rsid w:val="00E4714C"/>
    <w:rsid w:val="00E51AEB"/>
    <w:rsid w:val="00E522A7"/>
    <w:rsid w:val="00E54452"/>
    <w:rsid w:val="00E664C5"/>
    <w:rsid w:val="00E671A2"/>
    <w:rsid w:val="00E76D26"/>
    <w:rsid w:val="00EA3BBF"/>
    <w:rsid w:val="00EB1390"/>
    <w:rsid w:val="00EB2C71"/>
    <w:rsid w:val="00EB4340"/>
    <w:rsid w:val="00EB556D"/>
    <w:rsid w:val="00EB5A7D"/>
    <w:rsid w:val="00EC0634"/>
    <w:rsid w:val="00EC1873"/>
    <w:rsid w:val="00EC2CF7"/>
    <w:rsid w:val="00ED1618"/>
    <w:rsid w:val="00ED55C0"/>
    <w:rsid w:val="00ED682B"/>
    <w:rsid w:val="00EE41D5"/>
    <w:rsid w:val="00F037A4"/>
    <w:rsid w:val="00F1055E"/>
    <w:rsid w:val="00F107B6"/>
    <w:rsid w:val="00F119C4"/>
    <w:rsid w:val="00F27C8F"/>
    <w:rsid w:val="00F32749"/>
    <w:rsid w:val="00F33E8E"/>
    <w:rsid w:val="00F37172"/>
    <w:rsid w:val="00F4477E"/>
    <w:rsid w:val="00F46531"/>
    <w:rsid w:val="00F67D8F"/>
    <w:rsid w:val="00F802BE"/>
    <w:rsid w:val="00F80C4E"/>
    <w:rsid w:val="00F80E93"/>
    <w:rsid w:val="00F8127E"/>
    <w:rsid w:val="00F84C6C"/>
    <w:rsid w:val="00F86024"/>
    <w:rsid w:val="00F8611A"/>
    <w:rsid w:val="00F915F2"/>
    <w:rsid w:val="00FA1567"/>
    <w:rsid w:val="00FA5128"/>
    <w:rsid w:val="00FB151A"/>
    <w:rsid w:val="00FB42D4"/>
    <w:rsid w:val="00FB5906"/>
    <w:rsid w:val="00FB762F"/>
    <w:rsid w:val="00FC2AED"/>
    <w:rsid w:val="00FC2B57"/>
    <w:rsid w:val="00FD5EA7"/>
    <w:rsid w:val="00FF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C147FB"/>
    <w:pPr>
      <w:spacing w:before="0" w:after="0" w:line="360" w:lineRule="auto"/>
      <w:ind w:firstLine="3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147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324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324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3242"/>
    <w:rPr>
      <w:vertAlign w:val="superscript"/>
    </w:rPr>
  </w:style>
  <w:style w:type="table" w:customStyle="1" w:styleId="Siatkatabelijasna11">
    <w:name w:val="Siatka tabeli — jasna11"/>
    <w:basedOn w:val="Standardowy"/>
    <w:uiPriority w:val="40"/>
    <w:rsid w:val="00EC1873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B1AC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C147FB"/>
    <w:pPr>
      <w:spacing w:before="0" w:after="0" w:line="360" w:lineRule="auto"/>
      <w:ind w:firstLine="3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147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324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324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3242"/>
    <w:rPr>
      <w:vertAlign w:val="superscript"/>
    </w:rPr>
  </w:style>
  <w:style w:type="table" w:customStyle="1" w:styleId="Siatkatabelijasna11">
    <w:name w:val="Siatka tabeli — jasna11"/>
    <w:basedOn w:val="Standardowy"/>
    <w:uiPriority w:val="40"/>
    <w:rsid w:val="00EC1873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B1A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0.emf"/><Relationship Id="rId18" Type="http://schemas.openxmlformats.org/officeDocument/2006/relationships/footer" Target="footer2.xml"/><Relationship Id="rId26" Type="http://schemas.openxmlformats.org/officeDocument/2006/relationships/hyperlink" Target="http://stat.gov.pl/metainformacje/slownik-pojec/pojecia-stosowane-w-statystyce-publicznej/1655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5" Type="http://schemas.openxmlformats.org/officeDocument/2006/relationships/hyperlink" Target="http://stat.gov.pl/obszary-tematyczne/podmioty-gospodarcze-wyniki-finansowe/przedsiebiorstwa-finansowe/wyspecjalizowane-segmenty-rynku-finansowego-2016,18,2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rzecznik@stat.gov.pl" TargetMode="External"/><Relationship Id="rId29" Type="http://schemas.openxmlformats.org/officeDocument/2006/relationships/hyperlink" Target="http://stat.gov.pl/metainformacje/slownik-pojec/pojecia-stosowane-w-statystyce-publicznej/165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6.png"/><Relationship Id="rId28" Type="http://schemas.openxmlformats.org/officeDocument/2006/relationships/hyperlink" Target="http://stat.gov.pl/obszary-tematyczne/podmioty-gospodarcze-wyniki-finansowe/przedsiebiorstwa-finansowe/wyspecjalizowane-segmenty-rynku-finansowego-2016,18,2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k.siwinska@stat.gov.pl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1.xml"/><Relationship Id="rId22" Type="http://schemas.openxmlformats.org/officeDocument/2006/relationships/image" Target="media/image5.png"/><Relationship Id="rId27" Type="http://schemas.openxmlformats.org/officeDocument/2006/relationships/hyperlink" Target="http://stat.gov.pl/metainformacje/slownik-pojec/pojecia-stosowane-w-statystyce-publicznej/1533,pojecie.html" TargetMode="External"/><Relationship Id="rId30" Type="http://schemas.openxmlformats.org/officeDocument/2006/relationships/hyperlink" Target="http://stat.gov.pl/metainformacje/slownik-pojec/pojecia-stosowane-w-statystyce-publicznej/1533,pojecie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4239368559309976E-2"/>
          <c:y val="0"/>
          <c:w val="0.9457606182126862"/>
          <c:h val="0.8145002589331952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49,8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Arkusz1!$B$7:$B$17</c:f>
              <c:strCache>
                <c:ptCount val="11"/>
                <c:pt idx="0">
                  <c:v>B</c:v>
                </c:pt>
                <c:pt idx="1">
                  <c:v>C</c:v>
                </c:pt>
                <c:pt idx="2">
                  <c:v>D</c:v>
                </c:pt>
                <c:pt idx="3">
                  <c:v>E</c:v>
                </c:pt>
                <c:pt idx="4">
                  <c:v>F</c:v>
                </c:pt>
                <c:pt idx="5">
                  <c:v>G</c:v>
                </c:pt>
                <c:pt idx="6">
                  <c:v>H</c:v>
                </c:pt>
                <c:pt idx="7">
                  <c:v>J</c:v>
                </c:pt>
                <c:pt idx="8">
                  <c:v>L</c:v>
                </c:pt>
                <c:pt idx="9">
                  <c:v>M</c:v>
                </c:pt>
                <c:pt idx="10">
                  <c:v>N</c:v>
                </c:pt>
              </c:strCache>
            </c:strRef>
          </c:cat>
          <c:val>
            <c:numRef>
              <c:f>Arkusz1!$C$7:$C$17</c:f>
              <c:numCache>
                <c:formatCode>0.0</c:formatCode>
                <c:ptCount val="11"/>
                <c:pt idx="0">
                  <c:v>1.4026884862653419</c:v>
                </c:pt>
                <c:pt idx="1">
                  <c:v>49.853886616014023</c:v>
                </c:pt>
                <c:pt idx="2">
                  <c:v>3.7405026300409117</c:v>
                </c:pt>
                <c:pt idx="3">
                  <c:v>3.3898305084745761</c:v>
                </c:pt>
                <c:pt idx="4">
                  <c:v>7.071887784921099</c:v>
                </c:pt>
                <c:pt idx="5">
                  <c:v>19.111630625365283</c:v>
                </c:pt>
                <c:pt idx="6">
                  <c:v>5.2600818234950326</c:v>
                </c:pt>
                <c:pt idx="7">
                  <c:v>0.58445353594389249</c:v>
                </c:pt>
                <c:pt idx="8">
                  <c:v>3.2144944476914086</c:v>
                </c:pt>
                <c:pt idx="9">
                  <c:v>3.9742840444184688</c:v>
                </c:pt>
                <c:pt idx="10">
                  <c:v>2.3962594973699591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5"/>
        <c:overlap val="39"/>
        <c:axId val="129403520"/>
        <c:axId val="129401984"/>
      </c:barChart>
      <c:catAx>
        <c:axId val="129403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29401984"/>
        <c:crosses val="autoZero"/>
        <c:auto val="1"/>
        <c:lblAlgn val="ctr"/>
        <c:lblOffset val="100"/>
        <c:noMultiLvlLbl val="0"/>
      </c:catAx>
      <c:valAx>
        <c:axId val="129401984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en-US" b="0"/>
                  <a:t>%</a:t>
                </a:r>
              </a:p>
            </c:rich>
          </c:tx>
          <c:layout>
            <c:manualLayout>
              <c:xMode val="edge"/>
              <c:yMode val="edge"/>
              <c:x val="2.5000000000000001E-2"/>
              <c:y val="0.11283172936716246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12940352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C04224-198F-4134-BE53-35D01A8AD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2238</Words>
  <Characters>13429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15636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Siwińska Katarzyna</cp:lastModifiedBy>
  <cp:revision>3</cp:revision>
  <cp:lastPrinted>2018-11-19T10:03:00Z</cp:lastPrinted>
  <dcterms:created xsi:type="dcterms:W3CDTF">2018-11-19T07:09:00Z</dcterms:created>
  <dcterms:modified xsi:type="dcterms:W3CDTF">2018-11-19T10:05:00Z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