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37" w:rsidRPr="00DC286F" w:rsidRDefault="00DC286F" w:rsidP="00DC286F">
      <w:pPr>
        <w:pStyle w:val="tytuinformacji"/>
        <w:rPr>
          <w:shd w:val="clear" w:color="auto" w:fill="FFFFFF"/>
        </w:rPr>
      </w:pPr>
      <w:r>
        <w:rPr>
          <w:shd w:val="clear" w:color="auto" w:fill="FFFFFF"/>
        </w:rPr>
        <w:t>Metodologia naliczenia międzynarodowego handlu usługami wedł</w:t>
      </w:r>
      <w:r w:rsidR="00016484">
        <w:rPr>
          <w:shd w:val="clear" w:color="auto" w:fill="FFFFFF"/>
        </w:rPr>
        <w:t>ug cech przedsiębiorstwa (STEC)</w:t>
      </w:r>
    </w:p>
    <w:p w:rsidR="00DC286F" w:rsidRPr="00DC286F" w:rsidRDefault="00DC286F" w:rsidP="00DC286F">
      <w:pPr>
        <w:pStyle w:val="tytuinformacji"/>
        <w:rPr>
          <w:rFonts w:ascii="Fira Sans" w:hAnsi="Fira Sans"/>
          <w:color w:val="auto"/>
          <w:sz w:val="19"/>
          <w:szCs w:val="22"/>
          <w:shd w:val="clear" w:color="auto" w:fill="FFFFFF"/>
        </w:rPr>
      </w:pPr>
      <w:r w:rsidRPr="00DC286F">
        <w:rPr>
          <w:rFonts w:ascii="Fira Sans" w:hAnsi="Fira Sans"/>
          <w:color w:val="auto"/>
          <w:sz w:val="19"/>
          <w:szCs w:val="22"/>
          <w:shd w:val="clear" w:color="auto" w:fill="FFFFFF"/>
        </w:rPr>
        <w:t>Handel zagraniczny rozumiany jako saldo przepływu dochodów między rezydentami i nierezydentami stanowi, oprócz konsumpcji, inwestycji i wydatków państwa na zakup dóbr, część produktu narodowego brutto (PNB). Opracowanie danych o tym zjawisku w s</w:t>
      </w:r>
      <w:r w:rsidR="003F1D40">
        <w:rPr>
          <w:rFonts w:ascii="Fira Sans" w:hAnsi="Fira Sans"/>
          <w:color w:val="auto"/>
          <w:sz w:val="19"/>
          <w:szCs w:val="22"/>
          <w:shd w:val="clear" w:color="auto" w:fill="FFFFFF"/>
        </w:rPr>
        <w:t>posób bardziej kompleksowy pozwala</w:t>
      </w:r>
      <w:r w:rsidRPr="00DC286F">
        <w:rPr>
          <w:rFonts w:ascii="Fira Sans" w:hAnsi="Fira Sans"/>
          <w:color w:val="auto"/>
          <w:sz w:val="19"/>
          <w:szCs w:val="22"/>
          <w:shd w:val="clear" w:color="auto" w:fill="FFFFFF"/>
        </w:rPr>
        <w:t xml:space="preserve"> na lepsze zrozumienie wpływu handlu zagranicznego na rozwój </w:t>
      </w:r>
      <w:r w:rsidR="00B37CBD">
        <w:rPr>
          <w:rFonts w:ascii="Fira Sans" w:hAnsi="Fira Sans"/>
          <w:color w:val="auto"/>
          <w:sz w:val="19"/>
          <w:szCs w:val="22"/>
          <w:shd w:val="clear" w:color="auto" w:fill="FFFFFF"/>
        </w:rPr>
        <w:t>gospodarczy</w:t>
      </w:r>
      <w:r w:rsidRPr="00DC286F">
        <w:rPr>
          <w:rFonts w:ascii="Fira Sans" w:hAnsi="Fira Sans"/>
          <w:color w:val="auto"/>
          <w:sz w:val="19"/>
          <w:szCs w:val="22"/>
          <w:shd w:val="clear" w:color="auto" w:fill="FFFFFF"/>
        </w:rPr>
        <w:t xml:space="preserve">, zatrudnienie oraz niezależność gospodarczą poszczególnych państw. </w:t>
      </w:r>
    </w:p>
    <w:p w:rsidR="00DC286F" w:rsidRPr="00DC286F" w:rsidRDefault="00DC286F" w:rsidP="00DC286F">
      <w:pPr>
        <w:rPr>
          <w:shd w:val="clear" w:color="auto" w:fill="FFFFFF"/>
        </w:rPr>
      </w:pPr>
      <w:r w:rsidRPr="00DC286F">
        <w:rPr>
          <w:shd w:val="clear" w:color="auto" w:fill="FFFFFF"/>
        </w:rPr>
        <w:t>Rosnące zapotrzebowanie na dane o handlu zagranicznym obliguje instytucje krajowe i międzynarodowe odpowiedzialne za pozyskiwanie, opracowywanie i publikację danych statystycznych do tworzenia coraz to nowych zestawień tych danych w celu pełniejszego odzwierciedlania sytuacji gospodarczej poszczególnych krajów bądź ich grup. Przykładem takich układów jest zestaw danych o handlu zagranicznym towarami według cech przedsiębiorstwa (TEC</w:t>
      </w:r>
      <w:bookmarkStart w:id="0" w:name="_Ref45800811"/>
      <w:r w:rsidR="003F1D40">
        <w:rPr>
          <w:rStyle w:val="Odwoanieprzypisudolnego"/>
          <w:shd w:val="clear" w:color="auto" w:fill="FFFFFF"/>
        </w:rPr>
        <w:footnoteReference w:id="1"/>
      </w:r>
      <w:bookmarkEnd w:id="0"/>
      <w:r w:rsidRPr="00DC286F">
        <w:rPr>
          <w:shd w:val="clear" w:color="auto" w:fill="FFFFFF"/>
        </w:rPr>
        <w:t xml:space="preserve">). W ramach statystyki międzynarodowego handlu usługami takie zadanie ma spełniać projekt </w:t>
      </w:r>
      <w:r w:rsidRPr="003F1D40">
        <w:rPr>
          <w:i/>
          <w:shd w:val="clear" w:color="auto" w:fill="FFFFFF"/>
        </w:rPr>
        <w:t xml:space="preserve">Services trade by </w:t>
      </w:r>
      <w:proofErr w:type="spellStart"/>
      <w:r w:rsidRPr="003F1D40">
        <w:rPr>
          <w:i/>
          <w:shd w:val="clear" w:color="auto" w:fill="FFFFFF"/>
        </w:rPr>
        <w:t>enterprise</w:t>
      </w:r>
      <w:proofErr w:type="spellEnd"/>
      <w:r w:rsidRPr="003F1D40">
        <w:rPr>
          <w:i/>
          <w:shd w:val="clear" w:color="auto" w:fill="FFFFFF"/>
        </w:rPr>
        <w:t xml:space="preserve"> </w:t>
      </w:r>
      <w:proofErr w:type="spellStart"/>
      <w:r w:rsidRPr="003F1D40">
        <w:rPr>
          <w:i/>
          <w:shd w:val="clear" w:color="auto" w:fill="FFFFFF"/>
        </w:rPr>
        <w:t>characteristics</w:t>
      </w:r>
      <w:proofErr w:type="spellEnd"/>
      <w:r w:rsidRPr="00DC286F">
        <w:rPr>
          <w:shd w:val="clear" w:color="auto" w:fill="FFFFFF"/>
        </w:rPr>
        <w:t xml:space="preserve"> (STEC). Zarówno dane wynikowe otrzymane w ramach prac nad TEC, jak i STEC stanowią pierwszy istotny krok w kierunku integracji handlu międzynarodowego i statystyki przedsiębiorstw. Plany dotyczące sporządzania tablic STEC zamieszczone są w procedowanym w Parlamencie Europejskim Ramowym Rozporządzeniu Integrującym Statystykę Go</w:t>
      </w:r>
      <w:r w:rsidR="00996BA9">
        <w:rPr>
          <w:shd w:val="clear" w:color="auto" w:fill="FFFFFF"/>
        </w:rPr>
        <w:t>spodarczą (FRIBS</w:t>
      </w:r>
      <w:bookmarkStart w:id="1" w:name="_Ref46221996"/>
      <w:r w:rsidR="00996BA9">
        <w:rPr>
          <w:rStyle w:val="Odwoanieprzypisudolnego"/>
          <w:shd w:val="clear" w:color="auto" w:fill="FFFFFF"/>
        </w:rPr>
        <w:footnoteReference w:id="2"/>
      </w:r>
      <w:bookmarkEnd w:id="1"/>
      <w:r w:rsidRPr="00DC286F">
        <w:rPr>
          <w:shd w:val="clear" w:color="auto" w:fill="FFFFFF"/>
        </w:rPr>
        <w:t xml:space="preserve">). </w:t>
      </w:r>
    </w:p>
    <w:p w:rsidR="00BE78E6" w:rsidRPr="0028511B" w:rsidRDefault="00DC286F" w:rsidP="00BE78E6">
      <w:pPr>
        <w:pStyle w:val="Nagwek1"/>
        <w:rPr>
          <w:color w:val="BFBFBF" w:themeColor="background1" w:themeShade="BF"/>
        </w:rPr>
      </w:pPr>
      <w:r w:rsidRPr="00DC286F">
        <w:t>Cel</w:t>
      </w:r>
    </w:p>
    <w:p w:rsidR="00DC286F" w:rsidRPr="00DC286F" w:rsidRDefault="00016484" w:rsidP="00DC286F">
      <w:pPr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Celem projektów</w:t>
      </w:r>
      <w:r w:rsidR="00DC286F" w:rsidRPr="00DC286F">
        <w:rPr>
          <w:szCs w:val="19"/>
          <w:shd w:val="clear" w:color="auto" w:fill="FFFFFF"/>
        </w:rPr>
        <w:t xml:space="preserve"> „Opracowanie statystyki międzynarodowego handlu usługami według cech przedsiębiorstwa (STEC)”, realizowanego przez Główny U</w:t>
      </w:r>
      <w:r>
        <w:rPr>
          <w:szCs w:val="19"/>
          <w:shd w:val="clear" w:color="auto" w:fill="FFFFFF"/>
        </w:rPr>
        <w:t>rząd Statystyczny w ramach umów</w:t>
      </w:r>
      <w:r w:rsidR="00DC286F" w:rsidRPr="00DC286F">
        <w:rPr>
          <w:szCs w:val="19"/>
          <w:shd w:val="clear" w:color="auto" w:fill="FFFFFF"/>
        </w:rPr>
        <w:t xml:space="preserve"> o dotację Komisji Europejskiej, było opracowanie danych pochodzących ze statystyki międzynarodowego handlu usługami wedł</w:t>
      </w:r>
      <w:r w:rsidR="00B37CBD">
        <w:rPr>
          <w:szCs w:val="19"/>
          <w:shd w:val="clear" w:color="auto" w:fill="FFFFFF"/>
        </w:rPr>
        <w:t>ug cech przedsiębiorstwa (STEC).</w:t>
      </w:r>
      <w:r w:rsidR="00DC286F" w:rsidRPr="00DC286F">
        <w:rPr>
          <w:szCs w:val="19"/>
          <w:shd w:val="clear" w:color="auto" w:fill="FFFFFF"/>
        </w:rPr>
        <w:t xml:space="preserve"> Projekt</w:t>
      </w:r>
      <w:r w:rsidR="00BE61B6">
        <w:rPr>
          <w:szCs w:val="19"/>
          <w:shd w:val="clear" w:color="auto" w:fill="FFFFFF"/>
        </w:rPr>
        <w:t>y</w:t>
      </w:r>
      <w:r w:rsidR="00DC286F" w:rsidRPr="00DC286F">
        <w:rPr>
          <w:szCs w:val="19"/>
          <w:shd w:val="clear" w:color="auto" w:fill="FFFFFF"/>
        </w:rPr>
        <w:t xml:space="preserve"> miał</w:t>
      </w:r>
      <w:r w:rsidR="00BE61B6">
        <w:rPr>
          <w:szCs w:val="19"/>
          <w:shd w:val="clear" w:color="auto" w:fill="FFFFFF"/>
        </w:rPr>
        <w:t>y</w:t>
      </w:r>
      <w:r w:rsidR="00DC286F" w:rsidRPr="00DC286F">
        <w:rPr>
          <w:szCs w:val="19"/>
          <w:shd w:val="clear" w:color="auto" w:fill="FFFFFF"/>
        </w:rPr>
        <w:t xml:space="preserve"> char</w:t>
      </w:r>
      <w:r w:rsidR="00BE61B6">
        <w:rPr>
          <w:szCs w:val="19"/>
          <w:shd w:val="clear" w:color="auto" w:fill="FFFFFF"/>
        </w:rPr>
        <w:t>akter badawczy, w ramach których</w:t>
      </w:r>
      <w:r w:rsidR="00DC286F" w:rsidRPr="00DC286F">
        <w:rPr>
          <w:szCs w:val="19"/>
          <w:shd w:val="clear" w:color="auto" w:fill="FFFFFF"/>
        </w:rPr>
        <w:t xml:space="preserve"> autorz</w:t>
      </w:r>
      <w:r w:rsidR="003F1D40">
        <w:rPr>
          <w:szCs w:val="19"/>
          <w:shd w:val="clear" w:color="auto" w:fill="FFFFFF"/>
        </w:rPr>
        <w:t xml:space="preserve">y mieli za zadanie wypracowanie </w:t>
      </w:r>
      <w:r>
        <w:rPr>
          <w:szCs w:val="19"/>
          <w:shd w:val="clear" w:color="auto" w:fill="FFFFFF"/>
        </w:rPr>
        <w:t xml:space="preserve">i sprawdzenie </w:t>
      </w:r>
      <w:r w:rsidR="00DC286F" w:rsidRPr="00DC286F">
        <w:rPr>
          <w:szCs w:val="19"/>
          <w:shd w:val="clear" w:color="auto" w:fill="FFFFFF"/>
        </w:rPr>
        <w:t>metodologii naliczania danych o międzynarodowym handlu usługami według cech przedsiębiorstwa.</w:t>
      </w:r>
    </w:p>
    <w:p w:rsidR="00DC286F" w:rsidRPr="00DC286F" w:rsidRDefault="00BE61B6" w:rsidP="00DC286F">
      <w:pPr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>Opisana w notatce metodologia była zastosowana w dwóch edycjach projektu, których c</w:t>
      </w:r>
      <w:r w:rsidR="00DC286F" w:rsidRPr="00DC286F">
        <w:rPr>
          <w:szCs w:val="19"/>
          <w:shd w:val="clear" w:color="auto" w:fill="FFFFFF"/>
        </w:rPr>
        <w:t>ele</w:t>
      </w:r>
      <w:r w:rsidR="003F1D40">
        <w:rPr>
          <w:szCs w:val="19"/>
          <w:shd w:val="clear" w:color="auto" w:fill="FFFFFF"/>
        </w:rPr>
        <w:t>m</w:t>
      </w:r>
      <w:r w:rsidR="00DC286F" w:rsidRPr="00DC286F">
        <w:rPr>
          <w:szCs w:val="19"/>
          <w:shd w:val="clear" w:color="auto" w:fill="FFFFFF"/>
        </w:rPr>
        <w:t xml:space="preserve"> szczegółow</w:t>
      </w:r>
      <w:r>
        <w:rPr>
          <w:szCs w:val="19"/>
          <w:shd w:val="clear" w:color="auto" w:fill="FFFFFF"/>
        </w:rPr>
        <w:t xml:space="preserve">ym </w:t>
      </w:r>
      <w:r w:rsidR="003F1D40">
        <w:rPr>
          <w:szCs w:val="19"/>
          <w:shd w:val="clear" w:color="auto" w:fill="FFFFFF"/>
        </w:rPr>
        <w:t>było</w:t>
      </w:r>
      <w:r w:rsidR="00DC286F" w:rsidRPr="00DC286F">
        <w:rPr>
          <w:szCs w:val="19"/>
          <w:shd w:val="clear" w:color="auto" w:fill="FFFFFF"/>
        </w:rPr>
        <w:t xml:space="preserve">  opracowanie baz danych z zakresu międzynarodowego handlu usługami według cech przedsiębiorstwa (STEC)</w:t>
      </w:r>
      <w:r w:rsidR="00016484">
        <w:rPr>
          <w:szCs w:val="19"/>
          <w:shd w:val="clear" w:color="auto" w:fill="FFFFFF"/>
        </w:rPr>
        <w:t xml:space="preserve"> za lata 2016 i 2018</w:t>
      </w:r>
      <w:r w:rsidR="00DC286F" w:rsidRPr="00DC286F">
        <w:rPr>
          <w:szCs w:val="19"/>
          <w:shd w:val="clear" w:color="auto" w:fill="FFFFFF"/>
        </w:rPr>
        <w:t>.</w:t>
      </w:r>
    </w:p>
    <w:p w:rsidR="00BE78E6" w:rsidRPr="0014685F" w:rsidRDefault="0014685F" w:rsidP="00BE78E6">
      <w:pPr>
        <w:pStyle w:val="Nagwek1"/>
      </w:pPr>
      <w:r w:rsidRPr="0014685F">
        <w:t>Opis metodologii</w:t>
      </w:r>
    </w:p>
    <w:p w:rsidR="0014685F" w:rsidRDefault="003F1D40" w:rsidP="003F1D40">
      <w:pPr>
        <w:rPr>
          <w:szCs w:val="19"/>
        </w:rPr>
      </w:pPr>
      <w:r>
        <w:rPr>
          <w:szCs w:val="19"/>
        </w:rPr>
        <w:t>W procesie naliczania danych STEC wykorzystano następujące</w:t>
      </w:r>
      <w:r w:rsidR="0014685F" w:rsidRPr="0014685F">
        <w:rPr>
          <w:szCs w:val="19"/>
        </w:rPr>
        <w:t xml:space="preserve"> źród</w:t>
      </w:r>
      <w:r>
        <w:rPr>
          <w:szCs w:val="19"/>
        </w:rPr>
        <w:t xml:space="preserve">ła informacji dostępne </w:t>
      </w:r>
      <w:r w:rsidR="00763A36">
        <w:rPr>
          <w:szCs w:val="19"/>
        </w:rPr>
        <w:t>w ramach polskiej statystyki publicznej</w:t>
      </w:r>
      <w:r>
        <w:rPr>
          <w:szCs w:val="19"/>
        </w:rPr>
        <w:t>:</w:t>
      </w:r>
    </w:p>
    <w:p w:rsidR="003F1D40" w:rsidRDefault="00763A36" w:rsidP="00763A36">
      <w:pPr>
        <w:pStyle w:val="Akapitzlist"/>
        <w:numPr>
          <w:ilvl w:val="0"/>
          <w:numId w:val="4"/>
        </w:numPr>
        <w:ind w:left="284" w:hanging="284"/>
        <w:rPr>
          <w:szCs w:val="19"/>
        </w:rPr>
      </w:pPr>
      <w:r>
        <w:rPr>
          <w:szCs w:val="19"/>
        </w:rPr>
        <w:t>do naliczenia wartości usług dostarczonych nierezydentom oraz usług nabyty</w:t>
      </w:r>
      <w:r w:rsidR="005E27B1">
        <w:rPr>
          <w:szCs w:val="19"/>
        </w:rPr>
        <w:t>ch od nierezydentów</w:t>
      </w:r>
      <w:r w:rsidR="00DC343D">
        <w:rPr>
          <w:szCs w:val="19"/>
        </w:rPr>
        <w:t xml:space="preserve"> - </w:t>
      </w:r>
      <w:r>
        <w:rPr>
          <w:szCs w:val="19"/>
        </w:rPr>
        <w:t xml:space="preserve">badanie </w:t>
      </w:r>
      <w:r w:rsidRPr="00763A36">
        <w:rPr>
          <w:i/>
          <w:szCs w:val="19"/>
        </w:rPr>
        <w:t>Międzynarodowy handel usługami</w:t>
      </w:r>
      <w:r>
        <w:rPr>
          <w:szCs w:val="19"/>
        </w:rPr>
        <w:t xml:space="preserve"> realizowane w oparciu o dane pozyskane z wykorzystaniem „</w:t>
      </w:r>
      <w:r w:rsidRPr="00763A36">
        <w:rPr>
          <w:szCs w:val="19"/>
        </w:rPr>
        <w:t>Kwartalne</w:t>
      </w:r>
      <w:r>
        <w:rPr>
          <w:szCs w:val="19"/>
        </w:rPr>
        <w:t xml:space="preserve">go sprawozdania </w:t>
      </w:r>
      <w:r w:rsidRPr="00763A36">
        <w:rPr>
          <w:szCs w:val="19"/>
        </w:rPr>
        <w:t>o międzynarodowej wymianie usług</w:t>
      </w:r>
      <w:r>
        <w:rPr>
          <w:szCs w:val="19"/>
        </w:rPr>
        <w:t>” (DNU-K) oraz „</w:t>
      </w:r>
      <w:r w:rsidRPr="00763A36">
        <w:rPr>
          <w:szCs w:val="19"/>
        </w:rPr>
        <w:t>Roczne</w:t>
      </w:r>
      <w:r>
        <w:rPr>
          <w:szCs w:val="19"/>
        </w:rPr>
        <w:t>go</w:t>
      </w:r>
      <w:r w:rsidRPr="00763A36">
        <w:rPr>
          <w:szCs w:val="19"/>
        </w:rPr>
        <w:t xml:space="preserve"> sprawozdani</w:t>
      </w:r>
      <w:r>
        <w:rPr>
          <w:szCs w:val="19"/>
        </w:rPr>
        <w:t xml:space="preserve">a </w:t>
      </w:r>
      <w:r w:rsidRPr="00763A36">
        <w:rPr>
          <w:szCs w:val="19"/>
        </w:rPr>
        <w:t>o międzynarodowej wymianie usług</w:t>
      </w:r>
      <w:r>
        <w:rPr>
          <w:szCs w:val="19"/>
        </w:rPr>
        <w:t>” (DNU-R);</w:t>
      </w:r>
    </w:p>
    <w:p w:rsidR="00763A36" w:rsidRDefault="00763A36" w:rsidP="00763A36">
      <w:pPr>
        <w:pStyle w:val="Akapitzlist"/>
        <w:numPr>
          <w:ilvl w:val="0"/>
          <w:numId w:val="4"/>
        </w:numPr>
        <w:ind w:left="284" w:hanging="284"/>
        <w:rPr>
          <w:szCs w:val="19"/>
        </w:rPr>
      </w:pPr>
      <w:r>
        <w:rPr>
          <w:szCs w:val="19"/>
        </w:rPr>
        <w:t>do naliczenia wskaźników intensywnośc</w:t>
      </w:r>
      <w:r w:rsidR="005E27B1">
        <w:rPr>
          <w:szCs w:val="19"/>
        </w:rPr>
        <w:t>i eksportu i importu</w:t>
      </w:r>
      <w:r>
        <w:rPr>
          <w:szCs w:val="19"/>
        </w:rPr>
        <w:t>:</w:t>
      </w:r>
    </w:p>
    <w:p w:rsidR="00763A36" w:rsidRDefault="0011556A" w:rsidP="00BD75EB">
      <w:pPr>
        <w:pStyle w:val="Akapitzlist"/>
        <w:numPr>
          <w:ilvl w:val="1"/>
          <w:numId w:val="4"/>
        </w:numPr>
        <w:ind w:left="567" w:hanging="283"/>
        <w:rPr>
          <w:szCs w:val="19"/>
        </w:rPr>
      </w:pPr>
      <w:r>
        <w:rPr>
          <w:szCs w:val="19"/>
        </w:rPr>
        <w:t xml:space="preserve">roczne badanie </w:t>
      </w:r>
      <w:r w:rsidRPr="0011556A">
        <w:rPr>
          <w:i/>
          <w:szCs w:val="19"/>
        </w:rPr>
        <w:t>Bieżące wyniki finansowe i nakłady na środki</w:t>
      </w:r>
      <w:r>
        <w:rPr>
          <w:i/>
          <w:szCs w:val="19"/>
        </w:rPr>
        <w:t xml:space="preserve"> trwałe przedsiębiorstw oraz ak</w:t>
      </w:r>
      <w:r w:rsidRPr="0011556A">
        <w:rPr>
          <w:i/>
          <w:szCs w:val="19"/>
        </w:rPr>
        <w:t>tywa i pasywa finansowe</w:t>
      </w:r>
      <w:r>
        <w:rPr>
          <w:i/>
          <w:szCs w:val="19"/>
        </w:rPr>
        <w:t xml:space="preserve"> </w:t>
      </w:r>
      <w:r w:rsidRPr="0011556A">
        <w:rPr>
          <w:szCs w:val="19"/>
        </w:rPr>
        <w:t>realizowane w oparciu o dane pozyskane z wykorzystaniem</w:t>
      </w:r>
      <w:r>
        <w:rPr>
          <w:szCs w:val="19"/>
        </w:rPr>
        <w:t xml:space="preserve"> „Sprawozdania</w:t>
      </w:r>
      <w:r w:rsidRPr="0011556A">
        <w:rPr>
          <w:szCs w:val="19"/>
        </w:rPr>
        <w:t xml:space="preserve"> o przychodach, kosztach i wyniku finansowym oraz o nakładach na środki trwałe</w:t>
      </w:r>
      <w:r>
        <w:rPr>
          <w:szCs w:val="19"/>
        </w:rPr>
        <w:t>” (F-01/I-01)</w:t>
      </w:r>
      <w:r w:rsidR="00BD75EB">
        <w:rPr>
          <w:szCs w:val="19"/>
        </w:rPr>
        <w:t>,</w:t>
      </w:r>
    </w:p>
    <w:p w:rsidR="00BD75EB" w:rsidRDefault="00BD75EB" w:rsidP="00C2229E">
      <w:pPr>
        <w:pStyle w:val="Akapitzlist"/>
        <w:numPr>
          <w:ilvl w:val="1"/>
          <w:numId w:val="4"/>
        </w:numPr>
        <w:ind w:left="567" w:hanging="283"/>
        <w:rPr>
          <w:szCs w:val="19"/>
        </w:rPr>
      </w:pPr>
      <w:r>
        <w:rPr>
          <w:szCs w:val="19"/>
        </w:rPr>
        <w:t>roczne badanie „Szkoły wyższe i ich finanse” realizowane w oparciu o dane pozyskane z wykorzystaniem „Sprawozdania</w:t>
      </w:r>
      <w:r w:rsidRPr="00BD75EB">
        <w:rPr>
          <w:szCs w:val="19"/>
        </w:rPr>
        <w:t xml:space="preserve"> o przychodach, kosztach i wyniku finansowym szkół wyższych</w:t>
      </w:r>
      <w:r>
        <w:rPr>
          <w:szCs w:val="19"/>
        </w:rPr>
        <w:t>” (F-01/s),</w:t>
      </w:r>
    </w:p>
    <w:p w:rsidR="00BD75EB" w:rsidRDefault="00BD75EB" w:rsidP="00C2229E">
      <w:pPr>
        <w:pStyle w:val="Akapitzlist"/>
        <w:numPr>
          <w:ilvl w:val="1"/>
          <w:numId w:val="4"/>
        </w:numPr>
        <w:ind w:left="567" w:hanging="283"/>
        <w:rPr>
          <w:szCs w:val="19"/>
        </w:rPr>
      </w:pPr>
      <w:r w:rsidRPr="00C2229E">
        <w:rPr>
          <w:szCs w:val="19"/>
        </w:rPr>
        <w:t>roczne badanie „Badanie finansów instytucji kultury” realizowane w oparciu o dane pozyskane z wykorzystaniem „Rocznego sprawozdania o finansach instytucji kultury” (F-02/</w:t>
      </w:r>
      <w:proofErr w:type="spellStart"/>
      <w:r w:rsidRPr="00C2229E">
        <w:rPr>
          <w:szCs w:val="19"/>
        </w:rPr>
        <w:t>dk</w:t>
      </w:r>
      <w:proofErr w:type="spellEnd"/>
      <w:r w:rsidRPr="00C2229E">
        <w:rPr>
          <w:szCs w:val="19"/>
        </w:rPr>
        <w:t>),</w:t>
      </w:r>
    </w:p>
    <w:p w:rsidR="00BD75EB" w:rsidRDefault="00BD75EB" w:rsidP="00C2229E">
      <w:pPr>
        <w:pStyle w:val="Akapitzlist"/>
        <w:numPr>
          <w:ilvl w:val="1"/>
          <w:numId w:val="4"/>
        </w:numPr>
        <w:ind w:left="567" w:hanging="283"/>
        <w:rPr>
          <w:szCs w:val="19"/>
        </w:rPr>
      </w:pPr>
      <w:r w:rsidRPr="00C2229E">
        <w:rPr>
          <w:szCs w:val="19"/>
        </w:rPr>
        <w:lastRenderedPageBreak/>
        <w:t>roczne badanie „Opieka nad dziećmi i młodzieżą” realizowane w oparciu o dane pozyskane z wykorzystaniem</w:t>
      </w:r>
      <w:r w:rsidRPr="00BD75EB">
        <w:t xml:space="preserve"> </w:t>
      </w:r>
      <w:r>
        <w:t>„S</w:t>
      </w:r>
      <w:r w:rsidRPr="00C2229E">
        <w:rPr>
          <w:szCs w:val="19"/>
        </w:rPr>
        <w:t>prawozdania o przychodach, kosztach i wyniku finansowym szkół i innych placówek oświatowych” (F-01/o),</w:t>
      </w:r>
    </w:p>
    <w:p w:rsidR="00BD75EB" w:rsidRPr="00C2229E" w:rsidRDefault="00FB23ED" w:rsidP="00C2229E">
      <w:pPr>
        <w:pStyle w:val="Akapitzlist"/>
        <w:numPr>
          <w:ilvl w:val="1"/>
          <w:numId w:val="4"/>
        </w:numPr>
        <w:ind w:left="567" w:hanging="283"/>
        <w:rPr>
          <w:szCs w:val="19"/>
        </w:rPr>
      </w:pPr>
      <w:r w:rsidRPr="00C2229E">
        <w:rPr>
          <w:szCs w:val="19"/>
        </w:rPr>
        <w:t>„Roczne badanie działalności gospodarczej przedsiębiorstw” realizowane w oparciu o dane pozyskane z wykorzystaniem:</w:t>
      </w:r>
    </w:p>
    <w:p w:rsidR="00FB23ED" w:rsidRDefault="00FB23ED" w:rsidP="00C2229E">
      <w:pPr>
        <w:pStyle w:val="Akapitzlist"/>
        <w:numPr>
          <w:ilvl w:val="2"/>
          <w:numId w:val="4"/>
        </w:numPr>
        <w:ind w:left="851" w:hanging="142"/>
        <w:rPr>
          <w:szCs w:val="19"/>
        </w:rPr>
      </w:pPr>
      <w:r>
        <w:rPr>
          <w:szCs w:val="19"/>
        </w:rPr>
        <w:t>„Rocznej</w:t>
      </w:r>
      <w:r w:rsidRPr="00FB23ED">
        <w:rPr>
          <w:szCs w:val="19"/>
        </w:rPr>
        <w:t xml:space="preserve"> ankiet</w:t>
      </w:r>
      <w:r>
        <w:rPr>
          <w:szCs w:val="19"/>
        </w:rPr>
        <w:t>y</w:t>
      </w:r>
      <w:r w:rsidRPr="00FB23ED">
        <w:rPr>
          <w:szCs w:val="19"/>
        </w:rPr>
        <w:t xml:space="preserve"> przedsiębiorstwa</w:t>
      </w:r>
      <w:r>
        <w:rPr>
          <w:szCs w:val="19"/>
        </w:rPr>
        <w:t>” (SP) dla podmiotów z liczbą pracujących 10 osób i więcej,</w:t>
      </w:r>
    </w:p>
    <w:p w:rsidR="00FB23ED" w:rsidRPr="00C2229E" w:rsidRDefault="00FB23ED" w:rsidP="00C2229E">
      <w:pPr>
        <w:pStyle w:val="Akapitzlist"/>
        <w:numPr>
          <w:ilvl w:val="2"/>
          <w:numId w:val="4"/>
        </w:numPr>
        <w:ind w:left="851" w:hanging="142"/>
        <w:rPr>
          <w:szCs w:val="19"/>
        </w:rPr>
      </w:pPr>
      <w:r w:rsidRPr="00C2229E">
        <w:rPr>
          <w:szCs w:val="19"/>
        </w:rPr>
        <w:t>Rocznego „Sprawozdania o działalności gospodarczej przedsiębiorstw” (SP-3) dla podmiotów z liczbą pracujących 9 osób i mniej,</w:t>
      </w:r>
    </w:p>
    <w:p w:rsidR="00FB23ED" w:rsidRDefault="00FB23ED" w:rsidP="00C2229E">
      <w:pPr>
        <w:pStyle w:val="Akapitzlist"/>
        <w:numPr>
          <w:ilvl w:val="1"/>
          <w:numId w:val="4"/>
        </w:numPr>
        <w:ind w:left="567" w:hanging="283"/>
        <w:rPr>
          <w:szCs w:val="19"/>
        </w:rPr>
      </w:pPr>
      <w:r>
        <w:rPr>
          <w:szCs w:val="19"/>
        </w:rPr>
        <w:t>Dane pochodzące z systemu informacyjnego Ministerstwa Finansó</w:t>
      </w:r>
      <w:r w:rsidR="00DC343D">
        <w:rPr>
          <w:szCs w:val="19"/>
        </w:rPr>
        <w:t xml:space="preserve">w o podatnikach podatku </w:t>
      </w:r>
      <w:r>
        <w:rPr>
          <w:szCs w:val="19"/>
        </w:rPr>
        <w:t>od towarów i usług (VAT);</w:t>
      </w:r>
    </w:p>
    <w:p w:rsidR="00FB23ED" w:rsidRPr="00FB23ED" w:rsidRDefault="00CC189A" w:rsidP="00C2229E">
      <w:pPr>
        <w:pStyle w:val="Akapitzlist"/>
        <w:numPr>
          <w:ilvl w:val="0"/>
          <w:numId w:val="4"/>
        </w:numPr>
        <w:ind w:left="284" w:hanging="284"/>
        <w:rPr>
          <w:szCs w:val="19"/>
        </w:rPr>
      </w:pPr>
      <w:r>
        <w:rPr>
          <w:szCs w:val="19"/>
        </w:rPr>
        <w:t>d</w:t>
      </w:r>
      <w:r w:rsidR="00FB23ED">
        <w:rPr>
          <w:szCs w:val="19"/>
        </w:rPr>
        <w:t>o opracowania danych o cechach przedsiębiorstw</w:t>
      </w:r>
      <w:r w:rsidR="005E06BD">
        <w:rPr>
          <w:szCs w:val="19"/>
        </w:rPr>
        <w:t>a</w:t>
      </w:r>
      <w:r w:rsidR="00FB23ED">
        <w:rPr>
          <w:szCs w:val="19"/>
        </w:rPr>
        <w:t xml:space="preserve"> w zakresie podstawowego rodzaju działalności</w:t>
      </w:r>
      <w:r w:rsidR="00B37CBD">
        <w:rPr>
          <w:szCs w:val="19"/>
        </w:rPr>
        <w:t xml:space="preserve"> (PKD 2007)</w:t>
      </w:r>
      <w:r w:rsidR="00FB23ED">
        <w:rPr>
          <w:szCs w:val="19"/>
        </w:rPr>
        <w:t xml:space="preserve">, liczby pracujących </w:t>
      </w:r>
      <w:r w:rsidR="00DC343D">
        <w:rPr>
          <w:szCs w:val="19"/>
        </w:rPr>
        <w:t xml:space="preserve">i formy własności - </w:t>
      </w:r>
      <w:r w:rsidR="005E06BD">
        <w:rPr>
          <w:szCs w:val="19"/>
        </w:rPr>
        <w:t>Baza Jednostek Statystycznych (BJS).</w:t>
      </w:r>
    </w:p>
    <w:p w:rsidR="00E119EC" w:rsidRDefault="005E27B1" w:rsidP="0014685F">
      <w:pPr>
        <w:rPr>
          <w:szCs w:val="19"/>
        </w:rPr>
      </w:pPr>
      <w:r>
        <w:rPr>
          <w:szCs w:val="19"/>
        </w:rPr>
        <w:t xml:space="preserve">Podstawowym </w:t>
      </w:r>
      <w:r w:rsidRPr="005E27B1">
        <w:rPr>
          <w:szCs w:val="19"/>
        </w:rPr>
        <w:t xml:space="preserve">identyfikatorem podmiotów gospodarki narodowej prowadzących międzynarodowy handel usługami, według których dane </w:t>
      </w:r>
      <w:r w:rsidR="00DC343D">
        <w:rPr>
          <w:szCs w:val="19"/>
        </w:rPr>
        <w:t xml:space="preserve">na poziomie </w:t>
      </w:r>
      <w:r w:rsidRPr="005E27B1">
        <w:rPr>
          <w:szCs w:val="19"/>
        </w:rPr>
        <w:t>mikro zostały powiązane z innymi bazami d</w:t>
      </w:r>
      <w:r>
        <w:rPr>
          <w:szCs w:val="19"/>
        </w:rPr>
        <w:t>anych lub wynikami innych badań był numer identyfikacyjny REGON.</w:t>
      </w:r>
    </w:p>
    <w:p w:rsidR="0014685F" w:rsidRPr="0014685F" w:rsidRDefault="0014685F" w:rsidP="0014685F">
      <w:pPr>
        <w:rPr>
          <w:szCs w:val="19"/>
        </w:rPr>
      </w:pPr>
      <w:r w:rsidRPr="0014685F">
        <w:rPr>
          <w:szCs w:val="19"/>
        </w:rPr>
        <w:t xml:space="preserve">W wyniku </w:t>
      </w:r>
      <w:r w:rsidR="005F0139">
        <w:rPr>
          <w:szCs w:val="19"/>
        </w:rPr>
        <w:t>prze</w:t>
      </w:r>
      <w:r w:rsidRPr="0014685F">
        <w:rPr>
          <w:szCs w:val="19"/>
        </w:rPr>
        <w:t xml:space="preserve">prowadzonych prac naliczono tablice wynikowe STEC dla Polski </w:t>
      </w:r>
      <w:r w:rsidR="005F0139">
        <w:rPr>
          <w:szCs w:val="19"/>
        </w:rPr>
        <w:t>ogółem dla lat 2016 i 2018</w:t>
      </w:r>
      <w:r w:rsidRPr="0014685F">
        <w:rPr>
          <w:szCs w:val="19"/>
        </w:rPr>
        <w:t>. Wykazane w nich wartości obrotu w międzynarodowym handlu usługami zostały opracowane według  następujących zmiennych:</w:t>
      </w:r>
    </w:p>
    <w:p w:rsidR="0014685F" w:rsidRDefault="005F0139" w:rsidP="005F0139">
      <w:pPr>
        <w:pStyle w:val="Akapitzlist"/>
        <w:numPr>
          <w:ilvl w:val="0"/>
          <w:numId w:val="5"/>
        </w:numPr>
        <w:ind w:left="284" w:hanging="284"/>
        <w:rPr>
          <w:szCs w:val="19"/>
        </w:rPr>
      </w:pPr>
      <w:r w:rsidRPr="005F0139">
        <w:rPr>
          <w:szCs w:val="19"/>
        </w:rPr>
        <w:t xml:space="preserve">podstawowego </w:t>
      </w:r>
      <w:r w:rsidR="0014685F" w:rsidRPr="005F0139">
        <w:rPr>
          <w:szCs w:val="19"/>
        </w:rPr>
        <w:t xml:space="preserve">rodzaju działalności (PKD 2007) </w:t>
      </w:r>
      <w:r w:rsidRPr="005F0139">
        <w:rPr>
          <w:szCs w:val="19"/>
        </w:rPr>
        <w:t>i liczby pracujących</w:t>
      </w:r>
      <w:r w:rsidR="0014685F" w:rsidRPr="005F0139">
        <w:rPr>
          <w:szCs w:val="19"/>
        </w:rPr>
        <w:t xml:space="preserve"> (tablice 1.1-1.6),</w:t>
      </w:r>
    </w:p>
    <w:p w:rsidR="0014685F" w:rsidRDefault="00024023" w:rsidP="0014685F">
      <w:pPr>
        <w:pStyle w:val="Akapitzlist"/>
        <w:numPr>
          <w:ilvl w:val="0"/>
          <w:numId w:val="5"/>
        </w:numPr>
        <w:ind w:left="284" w:hanging="284"/>
        <w:rPr>
          <w:szCs w:val="19"/>
        </w:rPr>
      </w:pPr>
      <w:r>
        <w:rPr>
          <w:szCs w:val="19"/>
        </w:rPr>
        <w:t xml:space="preserve">podstawowego rodzaju </w:t>
      </w:r>
      <w:r w:rsidR="0014685F" w:rsidRPr="00024023">
        <w:rPr>
          <w:szCs w:val="19"/>
        </w:rPr>
        <w:t xml:space="preserve">działalności (PKD 2007) </w:t>
      </w:r>
      <w:r>
        <w:rPr>
          <w:szCs w:val="19"/>
        </w:rPr>
        <w:t>i rodzaju usługi (EBOPS  2010</w:t>
      </w:r>
      <w:bookmarkStart w:id="2" w:name="_Ref46221401"/>
      <w:r w:rsidR="00FF1DE0">
        <w:rPr>
          <w:rStyle w:val="Odwoanieprzypisudolnego"/>
          <w:szCs w:val="19"/>
        </w:rPr>
        <w:footnoteReference w:id="3"/>
      </w:r>
      <w:bookmarkEnd w:id="2"/>
      <w:r w:rsidR="0014685F" w:rsidRPr="00024023">
        <w:rPr>
          <w:szCs w:val="19"/>
        </w:rPr>
        <w:t>) (tablice 2.1 – 2.6),</w:t>
      </w:r>
    </w:p>
    <w:p w:rsidR="0014685F" w:rsidRDefault="00024023" w:rsidP="0014685F">
      <w:pPr>
        <w:pStyle w:val="Akapitzlist"/>
        <w:numPr>
          <w:ilvl w:val="0"/>
          <w:numId w:val="5"/>
        </w:numPr>
        <w:ind w:left="284" w:hanging="284"/>
        <w:rPr>
          <w:szCs w:val="19"/>
        </w:rPr>
      </w:pPr>
      <w:r>
        <w:rPr>
          <w:szCs w:val="19"/>
        </w:rPr>
        <w:t>podstawowego</w:t>
      </w:r>
      <w:r w:rsidR="0014685F" w:rsidRPr="00024023">
        <w:rPr>
          <w:szCs w:val="19"/>
        </w:rPr>
        <w:t xml:space="preserve"> </w:t>
      </w:r>
      <w:r w:rsidRPr="00024023">
        <w:rPr>
          <w:szCs w:val="19"/>
        </w:rPr>
        <w:t xml:space="preserve">rodzaju </w:t>
      </w:r>
      <w:r>
        <w:rPr>
          <w:szCs w:val="19"/>
        </w:rPr>
        <w:t>działalności (PKD 2007) i</w:t>
      </w:r>
      <w:r w:rsidR="0014685F" w:rsidRPr="00024023">
        <w:rPr>
          <w:szCs w:val="19"/>
        </w:rPr>
        <w:t xml:space="preserve"> formy własności (tablice 3.1 – 3.6),</w:t>
      </w:r>
    </w:p>
    <w:p w:rsidR="0014685F" w:rsidRDefault="00024023" w:rsidP="0014685F">
      <w:pPr>
        <w:pStyle w:val="Akapitzlist"/>
        <w:numPr>
          <w:ilvl w:val="0"/>
          <w:numId w:val="5"/>
        </w:numPr>
        <w:ind w:left="284" w:hanging="284"/>
        <w:rPr>
          <w:szCs w:val="19"/>
        </w:rPr>
      </w:pPr>
      <w:r>
        <w:rPr>
          <w:szCs w:val="19"/>
        </w:rPr>
        <w:t>podstawowego</w:t>
      </w:r>
      <w:r w:rsidR="0014685F" w:rsidRPr="00024023">
        <w:rPr>
          <w:szCs w:val="19"/>
        </w:rPr>
        <w:t xml:space="preserve"> </w:t>
      </w:r>
      <w:r w:rsidRPr="00024023">
        <w:rPr>
          <w:szCs w:val="19"/>
        </w:rPr>
        <w:t xml:space="preserve">rodzaju </w:t>
      </w:r>
      <w:r w:rsidR="0014685F" w:rsidRPr="00024023">
        <w:rPr>
          <w:szCs w:val="19"/>
        </w:rPr>
        <w:t>działalności (PKD 2007) (na poziomie sekcji i działów) (tablice 4.1 – 4.6),</w:t>
      </w:r>
    </w:p>
    <w:p w:rsidR="0014685F" w:rsidRDefault="00024023" w:rsidP="0014685F">
      <w:pPr>
        <w:pStyle w:val="Akapitzlist"/>
        <w:numPr>
          <w:ilvl w:val="0"/>
          <w:numId w:val="5"/>
        </w:numPr>
        <w:ind w:left="284" w:hanging="284"/>
        <w:rPr>
          <w:szCs w:val="19"/>
        </w:rPr>
      </w:pPr>
      <w:r>
        <w:rPr>
          <w:szCs w:val="19"/>
        </w:rPr>
        <w:t>rodzaju usługi (EBOPS</w:t>
      </w:r>
      <w:r w:rsidR="00B37CBD">
        <w:rPr>
          <w:szCs w:val="19"/>
        </w:rPr>
        <w:t xml:space="preserve"> </w:t>
      </w:r>
      <w:r>
        <w:rPr>
          <w:szCs w:val="19"/>
        </w:rPr>
        <w:t>2010</w:t>
      </w:r>
      <w:r w:rsidR="00FF1DE0" w:rsidRPr="00FF1DE0">
        <w:rPr>
          <w:szCs w:val="19"/>
          <w:vertAlign w:val="superscript"/>
        </w:rPr>
        <w:fldChar w:fldCharType="begin"/>
      </w:r>
      <w:r w:rsidR="00FF1DE0" w:rsidRPr="00FF1DE0">
        <w:rPr>
          <w:szCs w:val="19"/>
          <w:vertAlign w:val="superscript"/>
        </w:rPr>
        <w:instrText xml:space="preserve"> NOTEREF _Ref46221401 \h </w:instrText>
      </w:r>
      <w:r w:rsidR="00FF1DE0" w:rsidRPr="00FF1DE0">
        <w:rPr>
          <w:szCs w:val="19"/>
          <w:vertAlign w:val="superscript"/>
        </w:rPr>
      </w:r>
      <w:r w:rsidR="00FF1DE0">
        <w:rPr>
          <w:szCs w:val="19"/>
          <w:vertAlign w:val="superscript"/>
        </w:rPr>
        <w:instrText xml:space="preserve"> \* MERGEFORMAT </w:instrText>
      </w:r>
      <w:r w:rsidR="00FF1DE0" w:rsidRPr="00FF1DE0">
        <w:rPr>
          <w:szCs w:val="19"/>
          <w:vertAlign w:val="superscript"/>
        </w:rPr>
        <w:fldChar w:fldCharType="separate"/>
      </w:r>
      <w:r w:rsidR="00FF1DE0" w:rsidRPr="00FF1DE0">
        <w:rPr>
          <w:szCs w:val="19"/>
          <w:vertAlign w:val="superscript"/>
        </w:rPr>
        <w:t>3</w:t>
      </w:r>
      <w:r w:rsidR="00FF1DE0" w:rsidRPr="00FF1DE0">
        <w:rPr>
          <w:szCs w:val="19"/>
          <w:vertAlign w:val="superscript"/>
        </w:rPr>
        <w:fldChar w:fldCharType="end"/>
      </w:r>
      <w:r w:rsidRPr="00024023">
        <w:rPr>
          <w:szCs w:val="19"/>
        </w:rPr>
        <w:t xml:space="preserve">) </w:t>
      </w:r>
      <w:r>
        <w:rPr>
          <w:szCs w:val="19"/>
        </w:rPr>
        <w:t>i liczby pracujących</w:t>
      </w:r>
      <w:r w:rsidR="0014685F" w:rsidRPr="00024023">
        <w:rPr>
          <w:szCs w:val="19"/>
        </w:rPr>
        <w:t xml:space="preserve"> </w:t>
      </w:r>
      <w:r>
        <w:rPr>
          <w:szCs w:val="19"/>
        </w:rPr>
        <w:t>(tablice 5.5</w:t>
      </w:r>
      <w:r w:rsidR="0014685F" w:rsidRPr="00024023">
        <w:rPr>
          <w:szCs w:val="19"/>
        </w:rPr>
        <w:t xml:space="preserve"> – 5.</w:t>
      </w:r>
      <w:r>
        <w:rPr>
          <w:szCs w:val="19"/>
        </w:rPr>
        <w:t>6</w:t>
      </w:r>
      <w:r w:rsidR="0014685F" w:rsidRPr="00024023">
        <w:rPr>
          <w:szCs w:val="19"/>
        </w:rPr>
        <w:t>),</w:t>
      </w:r>
    </w:p>
    <w:p w:rsidR="0014685F" w:rsidRPr="00024023" w:rsidRDefault="00024023" w:rsidP="0014685F">
      <w:pPr>
        <w:pStyle w:val="Akapitzlist"/>
        <w:numPr>
          <w:ilvl w:val="0"/>
          <w:numId w:val="5"/>
        </w:numPr>
        <w:ind w:left="284" w:hanging="284"/>
        <w:rPr>
          <w:szCs w:val="19"/>
        </w:rPr>
      </w:pPr>
      <w:r>
        <w:rPr>
          <w:szCs w:val="19"/>
        </w:rPr>
        <w:t>rodzaju usługi (EBOPS</w:t>
      </w:r>
      <w:r w:rsidR="00DC343D" w:rsidRPr="00DC343D">
        <w:rPr>
          <w:szCs w:val="19"/>
          <w:vertAlign w:val="superscript"/>
        </w:rPr>
        <w:fldChar w:fldCharType="begin"/>
      </w:r>
      <w:r w:rsidR="00DC343D" w:rsidRPr="00DC343D">
        <w:rPr>
          <w:szCs w:val="19"/>
          <w:vertAlign w:val="superscript"/>
        </w:rPr>
        <w:instrText xml:space="preserve"> NOTEREF _Ref45888205 \h </w:instrText>
      </w:r>
      <w:r w:rsidR="00DC343D">
        <w:rPr>
          <w:szCs w:val="19"/>
          <w:vertAlign w:val="superscript"/>
        </w:rPr>
        <w:instrText xml:space="preserve"> \* MERGEFORMAT </w:instrText>
      </w:r>
      <w:r w:rsidR="00DC343D" w:rsidRPr="00DC343D">
        <w:rPr>
          <w:szCs w:val="19"/>
          <w:vertAlign w:val="superscript"/>
        </w:rPr>
      </w:r>
      <w:r w:rsidR="00DC343D" w:rsidRPr="00DC343D">
        <w:rPr>
          <w:szCs w:val="19"/>
          <w:vertAlign w:val="superscript"/>
        </w:rPr>
        <w:fldChar w:fldCharType="separate"/>
      </w:r>
      <w:r w:rsidR="00B81676">
        <w:rPr>
          <w:szCs w:val="19"/>
          <w:vertAlign w:val="superscript"/>
        </w:rPr>
        <w:t>3</w:t>
      </w:r>
      <w:r w:rsidR="00DC343D" w:rsidRPr="00DC343D">
        <w:rPr>
          <w:szCs w:val="19"/>
          <w:vertAlign w:val="superscript"/>
        </w:rPr>
        <w:fldChar w:fldCharType="end"/>
      </w:r>
      <w:r>
        <w:rPr>
          <w:szCs w:val="19"/>
        </w:rPr>
        <w:t xml:space="preserve"> 2010</w:t>
      </w:r>
      <w:r w:rsidR="00FF1DE0" w:rsidRPr="00FF1DE0">
        <w:rPr>
          <w:szCs w:val="19"/>
          <w:vertAlign w:val="superscript"/>
        </w:rPr>
        <w:fldChar w:fldCharType="begin"/>
      </w:r>
      <w:r w:rsidR="00FF1DE0" w:rsidRPr="00FF1DE0">
        <w:rPr>
          <w:szCs w:val="19"/>
          <w:vertAlign w:val="superscript"/>
        </w:rPr>
        <w:instrText xml:space="preserve"> NOTEREF _Ref46221401 \h </w:instrText>
      </w:r>
      <w:r w:rsidR="00FF1DE0" w:rsidRPr="00FF1DE0">
        <w:rPr>
          <w:szCs w:val="19"/>
          <w:vertAlign w:val="superscript"/>
        </w:rPr>
      </w:r>
      <w:r w:rsidR="00FF1DE0">
        <w:rPr>
          <w:szCs w:val="19"/>
          <w:vertAlign w:val="superscript"/>
        </w:rPr>
        <w:instrText xml:space="preserve"> \* MERGEFORMAT </w:instrText>
      </w:r>
      <w:r w:rsidR="00FF1DE0" w:rsidRPr="00FF1DE0">
        <w:rPr>
          <w:szCs w:val="19"/>
          <w:vertAlign w:val="superscript"/>
        </w:rPr>
        <w:fldChar w:fldCharType="separate"/>
      </w:r>
      <w:r w:rsidR="00FF1DE0" w:rsidRPr="00FF1DE0">
        <w:rPr>
          <w:szCs w:val="19"/>
          <w:vertAlign w:val="superscript"/>
        </w:rPr>
        <w:t>3</w:t>
      </w:r>
      <w:r w:rsidR="00FF1DE0" w:rsidRPr="00FF1DE0">
        <w:rPr>
          <w:szCs w:val="19"/>
          <w:vertAlign w:val="superscript"/>
        </w:rPr>
        <w:fldChar w:fldCharType="end"/>
      </w:r>
      <w:r w:rsidRPr="00024023">
        <w:rPr>
          <w:szCs w:val="19"/>
        </w:rPr>
        <w:t xml:space="preserve">) </w:t>
      </w:r>
      <w:r>
        <w:rPr>
          <w:szCs w:val="19"/>
        </w:rPr>
        <w:t>i fo</w:t>
      </w:r>
      <w:r w:rsidR="0014685F" w:rsidRPr="00024023">
        <w:rPr>
          <w:szCs w:val="19"/>
        </w:rPr>
        <w:t>rmy własności (tablice 6.</w:t>
      </w:r>
      <w:r>
        <w:rPr>
          <w:szCs w:val="19"/>
        </w:rPr>
        <w:t>5</w:t>
      </w:r>
      <w:r w:rsidR="0014685F" w:rsidRPr="00024023">
        <w:rPr>
          <w:szCs w:val="19"/>
        </w:rPr>
        <w:t xml:space="preserve"> – 6.</w:t>
      </w:r>
      <w:r>
        <w:rPr>
          <w:szCs w:val="19"/>
        </w:rPr>
        <w:t>6</w:t>
      </w:r>
      <w:r w:rsidR="0014685F" w:rsidRPr="00024023">
        <w:rPr>
          <w:szCs w:val="19"/>
        </w:rPr>
        <w:t>).</w:t>
      </w:r>
    </w:p>
    <w:p w:rsidR="00886BA8" w:rsidRDefault="00886BA8" w:rsidP="0014685F">
      <w:pPr>
        <w:rPr>
          <w:szCs w:val="19"/>
        </w:rPr>
      </w:pPr>
      <w:r>
        <w:rPr>
          <w:szCs w:val="19"/>
        </w:rPr>
        <w:t>Ponadto w tablicach 4.5 i 4.6 zaprezentowane zostały wskaźniki intensywności eksportu i importu.</w:t>
      </w:r>
    </w:p>
    <w:p w:rsidR="0014685F" w:rsidRDefault="0014685F" w:rsidP="0014685F">
      <w:pPr>
        <w:rPr>
          <w:szCs w:val="19"/>
        </w:rPr>
      </w:pPr>
      <w:r w:rsidRPr="0014685F">
        <w:rPr>
          <w:szCs w:val="19"/>
        </w:rPr>
        <w:t xml:space="preserve">Wszystkie w/w tablice zostały opracowane w podziale na eksport usług ogółem oraz import usług ogółem, przy czym układy </w:t>
      </w:r>
      <w:r w:rsidR="00AE6B96">
        <w:rPr>
          <w:szCs w:val="19"/>
        </w:rPr>
        <w:t>1.</w:t>
      </w:r>
      <w:r w:rsidRPr="0014685F">
        <w:rPr>
          <w:szCs w:val="19"/>
        </w:rPr>
        <w:t xml:space="preserve"> – </w:t>
      </w:r>
      <w:r w:rsidR="00AE6B96">
        <w:rPr>
          <w:szCs w:val="19"/>
        </w:rPr>
        <w:t>4.</w:t>
      </w:r>
      <w:r w:rsidRPr="0014685F">
        <w:rPr>
          <w:szCs w:val="19"/>
        </w:rPr>
        <w:t xml:space="preserve"> dodatkowo zawierają podział każdego kierunku handlu na:</w:t>
      </w:r>
    </w:p>
    <w:p w:rsidR="00AC34DB" w:rsidRDefault="0014685F" w:rsidP="00AC34DB">
      <w:pPr>
        <w:pStyle w:val="Akapitzlist"/>
        <w:numPr>
          <w:ilvl w:val="0"/>
          <w:numId w:val="6"/>
        </w:numPr>
        <w:ind w:left="284" w:hanging="284"/>
        <w:rPr>
          <w:szCs w:val="19"/>
        </w:rPr>
      </w:pPr>
      <w:r w:rsidRPr="00AC34DB">
        <w:rPr>
          <w:szCs w:val="19"/>
        </w:rPr>
        <w:t xml:space="preserve">kraje i organizacje Unii Europejskiej </w:t>
      </w:r>
      <w:r w:rsidR="00AC34DB">
        <w:rPr>
          <w:szCs w:val="19"/>
        </w:rPr>
        <w:t xml:space="preserve">(wewnątrz UE; tablice 1.2, 1.4, 2.2, 2.4, 3.2, 3.4, 4.2, 4.4) </w:t>
      </w:r>
      <w:r w:rsidRPr="00AC34DB">
        <w:rPr>
          <w:szCs w:val="19"/>
        </w:rPr>
        <w:t>oraz</w:t>
      </w:r>
    </w:p>
    <w:p w:rsidR="0014685F" w:rsidRPr="00AC34DB" w:rsidRDefault="0014685F" w:rsidP="00AC34DB">
      <w:pPr>
        <w:pStyle w:val="Akapitzlist"/>
        <w:numPr>
          <w:ilvl w:val="0"/>
          <w:numId w:val="6"/>
        </w:numPr>
        <w:ind w:left="284" w:hanging="284"/>
        <w:rPr>
          <w:szCs w:val="19"/>
        </w:rPr>
      </w:pPr>
      <w:r w:rsidRPr="00AC34DB">
        <w:rPr>
          <w:szCs w:val="19"/>
        </w:rPr>
        <w:t>kraje i organizacje międzynarodowe spoza Unii Europejskiej (poza UE</w:t>
      </w:r>
      <w:r w:rsidR="00AC34DB" w:rsidRPr="00AC34DB">
        <w:rPr>
          <w:szCs w:val="19"/>
        </w:rPr>
        <w:t xml:space="preserve">; </w:t>
      </w:r>
      <w:r w:rsidRPr="00AC34DB">
        <w:rPr>
          <w:szCs w:val="19"/>
        </w:rPr>
        <w:t>tablice 1.1</w:t>
      </w:r>
      <w:r w:rsidR="00AC34DB" w:rsidRPr="00AC34DB">
        <w:rPr>
          <w:szCs w:val="19"/>
        </w:rPr>
        <w:t>, 1.3, 2.1, 2.3, 3.1, 3.3, 4.1, 4.3</w:t>
      </w:r>
      <w:r w:rsidRPr="00AC34DB">
        <w:rPr>
          <w:szCs w:val="19"/>
        </w:rPr>
        <w:t xml:space="preserve">). </w:t>
      </w:r>
    </w:p>
    <w:p w:rsidR="0014685F" w:rsidRPr="0014685F" w:rsidRDefault="00064843" w:rsidP="0014685F">
      <w:pPr>
        <w:rPr>
          <w:szCs w:val="19"/>
        </w:rPr>
      </w:pPr>
      <w:r>
        <w:rPr>
          <w:szCs w:val="19"/>
        </w:rPr>
        <w:t>Zgodnie z bilansem płatniczym, d</w:t>
      </w:r>
      <w:r w:rsidR="0014685F" w:rsidRPr="0014685F">
        <w:rPr>
          <w:szCs w:val="19"/>
        </w:rPr>
        <w:t xml:space="preserve">o </w:t>
      </w:r>
      <w:r>
        <w:rPr>
          <w:szCs w:val="19"/>
        </w:rPr>
        <w:t xml:space="preserve">Unii Europejskiej </w:t>
      </w:r>
      <w:r w:rsidR="0014685F" w:rsidRPr="0014685F">
        <w:rPr>
          <w:szCs w:val="19"/>
        </w:rPr>
        <w:t xml:space="preserve">zostały zaliczone wszystkie kraje członkowskie UE </w:t>
      </w:r>
      <w:r>
        <w:rPr>
          <w:szCs w:val="19"/>
        </w:rPr>
        <w:t xml:space="preserve">oraz </w:t>
      </w:r>
      <w:r w:rsidR="0014685F" w:rsidRPr="0014685F">
        <w:rPr>
          <w:szCs w:val="19"/>
        </w:rPr>
        <w:t xml:space="preserve">wszystkie instytucje, organizacje i organy Unii Europejskiej. </w:t>
      </w:r>
    </w:p>
    <w:p w:rsidR="00F33A7A" w:rsidRDefault="00F33A7A" w:rsidP="0014685F">
      <w:pPr>
        <w:rPr>
          <w:szCs w:val="19"/>
        </w:rPr>
      </w:pPr>
      <w:r>
        <w:rPr>
          <w:szCs w:val="19"/>
        </w:rPr>
        <w:t xml:space="preserve">Tablice </w:t>
      </w:r>
      <w:r w:rsidRPr="00F33A7A">
        <w:rPr>
          <w:szCs w:val="19"/>
        </w:rPr>
        <w:t>1.5-1.</w:t>
      </w:r>
      <w:r>
        <w:rPr>
          <w:szCs w:val="19"/>
        </w:rPr>
        <w:t>6, 2.5-2.6, 3.5-3.6, 4.5-4.6 i</w:t>
      </w:r>
      <w:r w:rsidRPr="00F33A7A">
        <w:rPr>
          <w:szCs w:val="19"/>
        </w:rPr>
        <w:t xml:space="preserve"> 5.5 – 6.6</w:t>
      </w:r>
      <w:r>
        <w:rPr>
          <w:szCs w:val="19"/>
        </w:rPr>
        <w:t xml:space="preserve"> zawierają dane </w:t>
      </w:r>
      <w:r w:rsidR="0028515C">
        <w:rPr>
          <w:szCs w:val="19"/>
        </w:rPr>
        <w:t xml:space="preserve">o eksporcie usług ogółem i imporcie usług ogółem ze wszystkimi krajami partnerskimi oraz instytucjami, organizacjami i organami międzynarodowymi. </w:t>
      </w:r>
    </w:p>
    <w:p w:rsidR="0028515C" w:rsidRDefault="0028515C" w:rsidP="0014685F">
      <w:pPr>
        <w:rPr>
          <w:szCs w:val="19"/>
        </w:rPr>
      </w:pPr>
      <w:r>
        <w:rPr>
          <w:szCs w:val="19"/>
        </w:rPr>
        <w:t>Podstawowy rodzaj działalności, rodzaj usługi (EBOPS 2010</w:t>
      </w:r>
      <w:r w:rsidR="00FF1DE0" w:rsidRPr="00FF1DE0">
        <w:rPr>
          <w:szCs w:val="19"/>
          <w:vertAlign w:val="superscript"/>
        </w:rPr>
        <w:fldChar w:fldCharType="begin"/>
      </w:r>
      <w:r w:rsidR="00FF1DE0" w:rsidRPr="00FF1DE0">
        <w:rPr>
          <w:szCs w:val="19"/>
          <w:vertAlign w:val="superscript"/>
        </w:rPr>
        <w:instrText xml:space="preserve"> NOTEREF _Ref46221401 \h </w:instrText>
      </w:r>
      <w:r w:rsidR="00FF1DE0" w:rsidRPr="00FF1DE0">
        <w:rPr>
          <w:szCs w:val="19"/>
          <w:vertAlign w:val="superscript"/>
        </w:rPr>
      </w:r>
      <w:r w:rsidR="00FF1DE0" w:rsidRPr="00FF1DE0">
        <w:rPr>
          <w:szCs w:val="19"/>
          <w:vertAlign w:val="superscript"/>
        </w:rPr>
        <w:instrText xml:space="preserve"> \* MERGEFORMAT </w:instrText>
      </w:r>
      <w:r w:rsidR="00FF1DE0" w:rsidRPr="00FF1DE0">
        <w:rPr>
          <w:szCs w:val="19"/>
          <w:vertAlign w:val="superscript"/>
        </w:rPr>
        <w:fldChar w:fldCharType="separate"/>
      </w:r>
      <w:r w:rsidR="00FF1DE0" w:rsidRPr="00FF1DE0">
        <w:rPr>
          <w:szCs w:val="19"/>
          <w:vertAlign w:val="superscript"/>
        </w:rPr>
        <w:t>3</w:t>
      </w:r>
      <w:r w:rsidR="00FF1DE0" w:rsidRPr="00FF1DE0">
        <w:rPr>
          <w:szCs w:val="19"/>
          <w:vertAlign w:val="superscript"/>
        </w:rPr>
        <w:fldChar w:fldCharType="end"/>
      </w:r>
      <w:r>
        <w:rPr>
          <w:szCs w:val="19"/>
        </w:rPr>
        <w:t xml:space="preserve">), liczba pracujących i formy własności w w/w tabelach zostały przyjęte zgodnie z wytycznymi </w:t>
      </w:r>
      <w:proofErr w:type="spellStart"/>
      <w:r w:rsidRPr="0028515C">
        <w:rPr>
          <w:i/>
          <w:szCs w:val="19"/>
        </w:rPr>
        <w:t>Compilers</w:t>
      </w:r>
      <w:proofErr w:type="spellEnd"/>
      <w:r w:rsidRPr="0028515C">
        <w:rPr>
          <w:i/>
          <w:szCs w:val="19"/>
        </w:rPr>
        <w:t xml:space="preserve"> Guide for </w:t>
      </w:r>
      <w:proofErr w:type="spellStart"/>
      <w:r w:rsidRPr="0028515C">
        <w:rPr>
          <w:i/>
          <w:szCs w:val="19"/>
        </w:rPr>
        <w:t>statistics</w:t>
      </w:r>
      <w:proofErr w:type="spellEnd"/>
      <w:r w:rsidRPr="0028515C">
        <w:rPr>
          <w:i/>
          <w:szCs w:val="19"/>
        </w:rPr>
        <w:t xml:space="preserve"> on STEC</w:t>
      </w:r>
      <w:r w:rsidRPr="0028515C">
        <w:rPr>
          <w:szCs w:val="19"/>
        </w:rPr>
        <w:t xml:space="preserve"> </w:t>
      </w:r>
      <w:r>
        <w:rPr>
          <w:szCs w:val="19"/>
        </w:rPr>
        <w:t xml:space="preserve">tj. dla: </w:t>
      </w:r>
    </w:p>
    <w:p w:rsidR="0014685F" w:rsidRDefault="0028515C" w:rsidP="0014685F">
      <w:pPr>
        <w:pStyle w:val="Akapitzlist"/>
        <w:numPr>
          <w:ilvl w:val="0"/>
          <w:numId w:val="7"/>
        </w:numPr>
        <w:ind w:left="284" w:hanging="284"/>
        <w:rPr>
          <w:szCs w:val="19"/>
        </w:rPr>
      </w:pPr>
      <w:r>
        <w:rPr>
          <w:szCs w:val="19"/>
        </w:rPr>
        <w:t xml:space="preserve">podstawowego </w:t>
      </w:r>
      <w:r w:rsidR="0014685F" w:rsidRPr="0028515C">
        <w:rPr>
          <w:szCs w:val="19"/>
        </w:rPr>
        <w:t>rodzaju działalności (PKD 2007) sekcje: A-B, C, D-E, F, G, H, J, K, M, N, Pozostałe (I, L, O</w:t>
      </w:r>
      <w:r>
        <w:rPr>
          <w:szCs w:val="19"/>
        </w:rPr>
        <w:t xml:space="preserve">, P, Q, R, S, T, </w:t>
      </w:r>
      <w:r w:rsidR="0014685F" w:rsidRPr="0028515C">
        <w:rPr>
          <w:szCs w:val="19"/>
        </w:rPr>
        <w:t>U) (</w:t>
      </w:r>
      <w:r>
        <w:rPr>
          <w:szCs w:val="19"/>
        </w:rPr>
        <w:t xml:space="preserve">wskazany </w:t>
      </w:r>
      <w:r w:rsidR="0014685F" w:rsidRPr="0028515C">
        <w:rPr>
          <w:szCs w:val="19"/>
        </w:rPr>
        <w:t>poziom agregacji nie dotyczy tablic 4.1-4.6, 5.</w:t>
      </w:r>
      <w:r>
        <w:rPr>
          <w:szCs w:val="19"/>
        </w:rPr>
        <w:t>5</w:t>
      </w:r>
      <w:r w:rsidR="0014685F" w:rsidRPr="0028515C">
        <w:rPr>
          <w:szCs w:val="19"/>
        </w:rPr>
        <w:t>-5.</w:t>
      </w:r>
      <w:r>
        <w:rPr>
          <w:szCs w:val="19"/>
        </w:rPr>
        <w:t>6</w:t>
      </w:r>
      <w:r w:rsidR="0014685F" w:rsidRPr="0028515C">
        <w:rPr>
          <w:szCs w:val="19"/>
        </w:rPr>
        <w:t xml:space="preserve"> i 6.</w:t>
      </w:r>
      <w:r>
        <w:rPr>
          <w:szCs w:val="19"/>
        </w:rPr>
        <w:t>5</w:t>
      </w:r>
      <w:r w:rsidR="0014685F" w:rsidRPr="0028515C">
        <w:rPr>
          <w:szCs w:val="19"/>
        </w:rPr>
        <w:t>-6.</w:t>
      </w:r>
      <w:r>
        <w:rPr>
          <w:szCs w:val="19"/>
        </w:rPr>
        <w:t>6</w:t>
      </w:r>
      <w:r w:rsidR="0014685F" w:rsidRPr="0028515C">
        <w:rPr>
          <w:szCs w:val="19"/>
        </w:rPr>
        <w:t>),</w:t>
      </w:r>
    </w:p>
    <w:p w:rsidR="0014685F" w:rsidRDefault="0014685F" w:rsidP="0014685F">
      <w:pPr>
        <w:pStyle w:val="Akapitzlist"/>
        <w:numPr>
          <w:ilvl w:val="0"/>
          <w:numId w:val="7"/>
        </w:numPr>
        <w:ind w:left="284" w:hanging="284"/>
        <w:rPr>
          <w:szCs w:val="19"/>
        </w:rPr>
      </w:pPr>
      <w:r w:rsidRPr="0028515C">
        <w:rPr>
          <w:szCs w:val="19"/>
        </w:rPr>
        <w:t>liczby pracujących: 0-49, 50-249 oraz 250 i więcej pracujących,</w:t>
      </w:r>
    </w:p>
    <w:p w:rsidR="0028515C" w:rsidRDefault="0014685F" w:rsidP="0014685F">
      <w:pPr>
        <w:pStyle w:val="Akapitzlist"/>
        <w:numPr>
          <w:ilvl w:val="0"/>
          <w:numId w:val="7"/>
        </w:numPr>
        <w:ind w:left="284" w:hanging="284"/>
        <w:rPr>
          <w:szCs w:val="19"/>
        </w:rPr>
      </w:pPr>
      <w:r w:rsidRPr="0028515C">
        <w:rPr>
          <w:szCs w:val="19"/>
        </w:rPr>
        <w:t>rodzaju usługi (klasyfikacja usług zgodna z EBOPS 20</w:t>
      </w:r>
      <w:r w:rsidR="0028515C">
        <w:rPr>
          <w:szCs w:val="19"/>
        </w:rPr>
        <w:t>10</w:t>
      </w:r>
      <w:r w:rsidR="00FF1DE0" w:rsidRPr="00FF1DE0">
        <w:rPr>
          <w:szCs w:val="19"/>
          <w:vertAlign w:val="superscript"/>
        </w:rPr>
        <w:fldChar w:fldCharType="begin"/>
      </w:r>
      <w:r w:rsidR="00FF1DE0" w:rsidRPr="00FF1DE0">
        <w:rPr>
          <w:szCs w:val="19"/>
          <w:vertAlign w:val="superscript"/>
        </w:rPr>
        <w:instrText xml:space="preserve"> NOTEREF _Ref46221401 \h </w:instrText>
      </w:r>
      <w:r w:rsidR="00FF1DE0" w:rsidRPr="00FF1DE0">
        <w:rPr>
          <w:szCs w:val="19"/>
          <w:vertAlign w:val="superscript"/>
        </w:rPr>
      </w:r>
      <w:r w:rsidR="00FF1DE0">
        <w:rPr>
          <w:szCs w:val="19"/>
          <w:vertAlign w:val="superscript"/>
        </w:rPr>
        <w:instrText xml:space="preserve"> \* MERGEFORMAT </w:instrText>
      </w:r>
      <w:r w:rsidR="00FF1DE0" w:rsidRPr="00FF1DE0">
        <w:rPr>
          <w:szCs w:val="19"/>
          <w:vertAlign w:val="superscript"/>
        </w:rPr>
        <w:fldChar w:fldCharType="separate"/>
      </w:r>
      <w:r w:rsidR="00FF1DE0" w:rsidRPr="00FF1DE0">
        <w:rPr>
          <w:szCs w:val="19"/>
          <w:vertAlign w:val="superscript"/>
        </w:rPr>
        <w:t>3</w:t>
      </w:r>
      <w:r w:rsidR="00FF1DE0" w:rsidRPr="00FF1DE0">
        <w:rPr>
          <w:szCs w:val="19"/>
          <w:vertAlign w:val="superscript"/>
        </w:rPr>
        <w:fldChar w:fldCharType="end"/>
      </w:r>
      <w:r w:rsidRPr="0028515C">
        <w:rPr>
          <w:szCs w:val="19"/>
        </w:rPr>
        <w:t>):</w:t>
      </w:r>
    </w:p>
    <w:p w:rsidR="0014685F" w:rsidRDefault="004368B9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4368B9">
        <w:rPr>
          <w:szCs w:val="19"/>
        </w:rPr>
        <w:lastRenderedPageBreak/>
        <w:t>Usługi produkcyjne w odniesieniu do nakładów rzeczowych będących własnością osób trzecich (usługi uszlachetniania)</w:t>
      </w:r>
      <w:r>
        <w:rPr>
          <w:szCs w:val="19"/>
        </w:rPr>
        <w:t>,</w:t>
      </w:r>
    </w:p>
    <w:p w:rsidR="004368B9" w:rsidRDefault="004368B9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>Usługi napraw i konserwacji (gdzie indziej niezaliczone),</w:t>
      </w:r>
    </w:p>
    <w:p w:rsidR="0014685F" w:rsidRDefault="0014685F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 xml:space="preserve">Transport, </w:t>
      </w:r>
    </w:p>
    <w:p w:rsidR="004368B9" w:rsidRDefault="004368B9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>Podróże,</w:t>
      </w:r>
    </w:p>
    <w:p w:rsidR="0014685F" w:rsidRDefault="0014685F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 xml:space="preserve">Usługi budowlane, </w:t>
      </w:r>
    </w:p>
    <w:p w:rsidR="0014685F" w:rsidRDefault="004368B9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>Usługi ubezpieczeniowe i emerytalno-rentowe,</w:t>
      </w:r>
    </w:p>
    <w:p w:rsidR="0014685F" w:rsidRDefault="0014685F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 xml:space="preserve">Usługi finansowe, </w:t>
      </w:r>
    </w:p>
    <w:p w:rsidR="0014685F" w:rsidRDefault="00FA57F0" w:rsidP="00190465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190465">
        <w:rPr>
          <w:szCs w:val="19"/>
        </w:rPr>
        <w:t>Opłaty z tytułu użytkowania własności intelektualnej</w:t>
      </w:r>
      <w:r w:rsidR="0014685F" w:rsidRPr="00190465">
        <w:rPr>
          <w:szCs w:val="19"/>
        </w:rPr>
        <w:t>,</w:t>
      </w:r>
    </w:p>
    <w:p w:rsidR="00FA57F0" w:rsidRDefault="00FA57F0" w:rsidP="00402E8E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402E8E">
        <w:rPr>
          <w:szCs w:val="19"/>
        </w:rPr>
        <w:t>Usługi telekomunikacyjne, informatyczne i informacyjne,</w:t>
      </w:r>
    </w:p>
    <w:p w:rsidR="0014685F" w:rsidRPr="00402E8E" w:rsidRDefault="0014685F" w:rsidP="00402E8E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402E8E">
        <w:rPr>
          <w:szCs w:val="19"/>
        </w:rPr>
        <w:t>Pozostałe usługi gospodarcze, w tym:</w:t>
      </w:r>
    </w:p>
    <w:p w:rsidR="00FA57F0" w:rsidRDefault="00FA57F0" w:rsidP="00402E8E">
      <w:pPr>
        <w:pStyle w:val="Akapitzlist"/>
        <w:numPr>
          <w:ilvl w:val="2"/>
          <w:numId w:val="7"/>
        </w:numPr>
        <w:ind w:left="921" w:hanging="212"/>
        <w:rPr>
          <w:szCs w:val="19"/>
        </w:rPr>
      </w:pPr>
      <w:r>
        <w:rPr>
          <w:szCs w:val="19"/>
        </w:rPr>
        <w:t>Usługi badawczo-rozwojowe,</w:t>
      </w:r>
    </w:p>
    <w:p w:rsidR="00FA57F0" w:rsidRDefault="00FA57F0" w:rsidP="00402E8E">
      <w:pPr>
        <w:pStyle w:val="Akapitzlist"/>
        <w:numPr>
          <w:ilvl w:val="2"/>
          <w:numId w:val="7"/>
        </w:numPr>
        <w:ind w:left="921" w:hanging="212"/>
        <w:rPr>
          <w:szCs w:val="19"/>
        </w:rPr>
      </w:pPr>
      <w:r w:rsidRPr="00402E8E">
        <w:rPr>
          <w:szCs w:val="19"/>
        </w:rPr>
        <w:t>Usługi specjalistyczne i doradztwo w zakresie zarządzania,</w:t>
      </w:r>
    </w:p>
    <w:p w:rsidR="0014685F" w:rsidRDefault="00FA57F0" w:rsidP="00402E8E">
      <w:pPr>
        <w:pStyle w:val="Akapitzlist"/>
        <w:numPr>
          <w:ilvl w:val="2"/>
          <w:numId w:val="7"/>
        </w:numPr>
        <w:ind w:left="921" w:hanging="212"/>
        <w:rPr>
          <w:szCs w:val="19"/>
        </w:rPr>
      </w:pPr>
      <w:r w:rsidRPr="00402E8E">
        <w:rPr>
          <w:szCs w:val="19"/>
        </w:rPr>
        <w:t>Usługi techniczne, usługi związane z handlem i pozostałe usługi biznesowe,</w:t>
      </w:r>
    </w:p>
    <w:p w:rsidR="0014685F" w:rsidRDefault="0014685F" w:rsidP="00402E8E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402E8E">
        <w:rPr>
          <w:szCs w:val="19"/>
        </w:rPr>
        <w:t>Usługi kulturalne</w:t>
      </w:r>
      <w:r w:rsidR="00FA57F0" w:rsidRPr="00402E8E">
        <w:rPr>
          <w:szCs w:val="19"/>
        </w:rPr>
        <w:t xml:space="preserve">, </w:t>
      </w:r>
      <w:r w:rsidRPr="00402E8E">
        <w:rPr>
          <w:szCs w:val="19"/>
        </w:rPr>
        <w:t xml:space="preserve">rekreacyjne </w:t>
      </w:r>
      <w:r w:rsidR="00402E8E">
        <w:rPr>
          <w:szCs w:val="19"/>
        </w:rPr>
        <w:t>i świadczone dla ludności,</w:t>
      </w:r>
    </w:p>
    <w:p w:rsidR="00402E8E" w:rsidRPr="00402E8E" w:rsidRDefault="00FA57F0" w:rsidP="00402E8E">
      <w:pPr>
        <w:pStyle w:val="Akapitzlist"/>
        <w:numPr>
          <w:ilvl w:val="1"/>
          <w:numId w:val="7"/>
        </w:numPr>
        <w:ind w:left="567" w:hanging="283"/>
        <w:rPr>
          <w:szCs w:val="19"/>
        </w:rPr>
      </w:pPr>
      <w:r w:rsidRPr="00402E8E">
        <w:rPr>
          <w:szCs w:val="19"/>
        </w:rPr>
        <w:t xml:space="preserve">Usługi </w:t>
      </w:r>
      <w:r w:rsidR="004E2D53">
        <w:rPr>
          <w:szCs w:val="19"/>
        </w:rPr>
        <w:t>rządowe.</w:t>
      </w:r>
    </w:p>
    <w:p w:rsidR="0014685F" w:rsidRPr="0014685F" w:rsidRDefault="0014685F" w:rsidP="00402E8E">
      <w:pPr>
        <w:pStyle w:val="Akapitzlist"/>
        <w:numPr>
          <w:ilvl w:val="0"/>
          <w:numId w:val="7"/>
        </w:numPr>
        <w:ind w:left="284" w:hanging="284"/>
        <w:rPr>
          <w:szCs w:val="19"/>
        </w:rPr>
      </w:pPr>
      <w:r w:rsidRPr="0014685F">
        <w:rPr>
          <w:szCs w:val="19"/>
        </w:rPr>
        <w:t>form własno</w:t>
      </w:r>
      <w:r w:rsidR="00190465">
        <w:rPr>
          <w:szCs w:val="19"/>
        </w:rPr>
        <w:t xml:space="preserve">ści: własność krajowa, własność </w:t>
      </w:r>
      <w:r w:rsidRPr="0014685F">
        <w:rPr>
          <w:szCs w:val="19"/>
        </w:rPr>
        <w:t>zagraniczna.</w:t>
      </w:r>
    </w:p>
    <w:p w:rsidR="0014685F" w:rsidRPr="0014685F" w:rsidRDefault="00402E8E" w:rsidP="0014685F">
      <w:pPr>
        <w:rPr>
          <w:szCs w:val="19"/>
        </w:rPr>
      </w:pPr>
      <w:r>
        <w:rPr>
          <w:szCs w:val="19"/>
        </w:rPr>
        <w:t xml:space="preserve">W przypadku usług ubezpieczeniowych i emerytalno-rentowych w tablicach 2.1-2.6 oraz 5.5-6.6 </w:t>
      </w:r>
      <w:r w:rsidR="008B4AF0">
        <w:rPr>
          <w:szCs w:val="19"/>
        </w:rPr>
        <w:t>d</w:t>
      </w:r>
      <w:r>
        <w:rPr>
          <w:szCs w:val="19"/>
        </w:rPr>
        <w:t xml:space="preserve">ane wykazane </w:t>
      </w:r>
      <w:r w:rsidR="00DC343D">
        <w:rPr>
          <w:szCs w:val="19"/>
        </w:rPr>
        <w:t>dla</w:t>
      </w:r>
      <w:r w:rsidR="008B4AF0">
        <w:rPr>
          <w:szCs w:val="19"/>
        </w:rPr>
        <w:t xml:space="preserve"> poszczególnych rodzajów działalności dotyczyły usług wspomagających usługi ubezpieczeniowe, natomiast wartość pozostałych usług ubezpieczeniowych i emerytalno-rentowych ujęto </w:t>
      </w:r>
      <w:r w:rsidR="00DC343D">
        <w:rPr>
          <w:szCs w:val="19"/>
        </w:rPr>
        <w:t>w pozycji</w:t>
      </w:r>
      <w:r>
        <w:rPr>
          <w:szCs w:val="19"/>
        </w:rPr>
        <w:t xml:space="preserve"> „</w:t>
      </w:r>
      <w:r w:rsidR="0014685F" w:rsidRPr="0014685F">
        <w:rPr>
          <w:szCs w:val="19"/>
        </w:rPr>
        <w:t>Nieznane</w:t>
      </w:r>
      <w:r>
        <w:rPr>
          <w:szCs w:val="19"/>
        </w:rPr>
        <w:t>”</w:t>
      </w:r>
      <w:r w:rsidR="0014685F" w:rsidRPr="0014685F">
        <w:rPr>
          <w:szCs w:val="19"/>
        </w:rPr>
        <w:t xml:space="preserve"> </w:t>
      </w:r>
      <w:r w:rsidR="008B4AF0">
        <w:rPr>
          <w:szCs w:val="19"/>
        </w:rPr>
        <w:t>(patrz wyjaśnienie w dalszej części notatki</w:t>
      </w:r>
      <w:r w:rsidR="0014685F" w:rsidRPr="0014685F">
        <w:rPr>
          <w:szCs w:val="19"/>
        </w:rPr>
        <w:t xml:space="preserve">).  </w:t>
      </w:r>
    </w:p>
    <w:p w:rsidR="008B4AF0" w:rsidRDefault="008B4AF0" w:rsidP="0014685F">
      <w:pPr>
        <w:rPr>
          <w:szCs w:val="19"/>
        </w:rPr>
      </w:pPr>
      <w:r w:rsidRPr="008B4AF0">
        <w:rPr>
          <w:szCs w:val="19"/>
        </w:rPr>
        <w:t xml:space="preserve">Zgodnie z wytycznymi zawartymi w </w:t>
      </w:r>
      <w:proofErr w:type="spellStart"/>
      <w:r w:rsidRPr="0028515C">
        <w:rPr>
          <w:i/>
          <w:szCs w:val="19"/>
        </w:rPr>
        <w:t>Compilers</w:t>
      </w:r>
      <w:proofErr w:type="spellEnd"/>
      <w:r w:rsidRPr="0028515C">
        <w:rPr>
          <w:i/>
          <w:szCs w:val="19"/>
        </w:rPr>
        <w:t xml:space="preserve"> Guide for </w:t>
      </w:r>
      <w:proofErr w:type="spellStart"/>
      <w:r w:rsidRPr="0028515C">
        <w:rPr>
          <w:i/>
          <w:szCs w:val="19"/>
        </w:rPr>
        <w:t>statistics</w:t>
      </w:r>
      <w:proofErr w:type="spellEnd"/>
      <w:r w:rsidRPr="0028515C">
        <w:rPr>
          <w:i/>
          <w:szCs w:val="19"/>
        </w:rPr>
        <w:t xml:space="preserve"> on STEC</w:t>
      </w:r>
      <w:r w:rsidRPr="008B4AF0">
        <w:rPr>
          <w:szCs w:val="19"/>
        </w:rPr>
        <w:t>, we wszystkich ze</w:t>
      </w:r>
      <w:r>
        <w:rPr>
          <w:szCs w:val="19"/>
        </w:rPr>
        <w:t>stawionych tabelach uwzględnione zostały</w:t>
      </w:r>
      <w:r w:rsidRPr="008B4AF0">
        <w:rPr>
          <w:szCs w:val="19"/>
        </w:rPr>
        <w:t xml:space="preserve"> dane wartościowe dotyczące międzynarodowego handlu usługami, których nie można było powiązać z informacjami pochodzącymi z Bazy Jednostek Statystycznych (BJS). W tym pr</w:t>
      </w:r>
      <w:r w:rsidR="00CF4A3A">
        <w:rPr>
          <w:szCs w:val="19"/>
        </w:rPr>
        <w:t xml:space="preserve">zypadku w zależności od rodzaju </w:t>
      </w:r>
      <w:r w:rsidRPr="008B4AF0">
        <w:rPr>
          <w:szCs w:val="19"/>
        </w:rPr>
        <w:t>usługi przyjęto następujące założenia:</w:t>
      </w:r>
    </w:p>
    <w:p w:rsidR="00CF4A3A" w:rsidRDefault="00CF4A3A" w:rsidP="008B4AF0">
      <w:pPr>
        <w:pStyle w:val="Akapitzlist"/>
        <w:numPr>
          <w:ilvl w:val="0"/>
          <w:numId w:val="8"/>
        </w:numPr>
        <w:ind w:left="284" w:hanging="284"/>
        <w:rPr>
          <w:szCs w:val="19"/>
        </w:rPr>
      </w:pPr>
      <w:r>
        <w:rPr>
          <w:szCs w:val="19"/>
        </w:rPr>
        <w:t>w tablicach 1.1-1.6, 3.1-3.6 i 4.1-4.6 w pozycji „Nieznane - Nieznane” ujęto:</w:t>
      </w:r>
    </w:p>
    <w:p w:rsidR="00CF4A3A" w:rsidRDefault="00CF4A3A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>
        <w:rPr>
          <w:szCs w:val="19"/>
        </w:rPr>
        <w:t>wartość podróży,</w:t>
      </w:r>
    </w:p>
    <w:p w:rsidR="008027B9" w:rsidRDefault="00DC343D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>
        <w:rPr>
          <w:szCs w:val="19"/>
        </w:rPr>
        <w:t>wartość</w:t>
      </w:r>
      <w:r w:rsidR="00CF4A3A" w:rsidRPr="00F1301B">
        <w:rPr>
          <w:szCs w:val="19"/>
        </w:rPr>
        <w:t xml:space="preserve"> usług pośrednictwa finansowego mierzonych pośrednio (FISIM</w:t>
      </w:r>
      <w:r w:rsidR="008027B9" w:rsidRPr="00F1301B">
        <w:rPr>
          <w:szCs w:val="19"/>
        </w:rPr>
        <w:t>),</w:t>
      </w:r>
    </w:p>
    <w:p w:rsidR="008027B9" w:rsidRDefault="008027B9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doszacowania danych o międzynarodowym handlu usługami wynikające z braku dopełnienia obowiązku sprawozdawczego,</w:t>
      </w:r>
    </w:p>
    <w:p w:rsidR="008027B9" w:rsidRDefault="008027B9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wartość usług rządowych,</w:t>
      </w:r>
    </w:p>
    <w:p w:rsidR="008027B9" w:rsidRDefault="008027B9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wartość usług ubezpieczeniowych i emerytalno-rentowych pozyskiwanych w ramach badania o międzynarodowym handlu usługami, ale opracowywanych przez Narodowy Bank Polski w oparciu o metodologię zgodną z wymogami bilansu płatniczego,</w:t>
      </w:r>
    </w:p>
    <w:p w:rsidR="008027B9" w:rsidRDefault="008027B9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wartość usług nielegalnych (tylko w tabelach dotyczących importu usług),</w:t>
      </w:r>
    </w:p>
    <w:p w:rsidR="008027B9" w:rsidRDefault="008027B9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wartość wydatków poniesionych przez osoby prywatne w transporcie międzynarodowym (tylko w tabelach dotyczących importu usług),</w:t>
      </w:r>
    </w:p>
    <w:p w:rsidR="008027B9" w:rsidRPr="00F1301B" w:rsidRDefault="008027B9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wartość usług wynikająca z doliczenia kosztów transportu uwzględnionych w wartości towarów importowanych, dla których podstawą są warunki dostaw FOB (tylko w tabelach dotyczących importu usług);</w:t>
      </w:r>
    </w:p>
    <w:p w:rsidR="00F1301B" w:rsidRDefault="008027B9" w:rsidP="00F1301B">
      <w:pPr>
        <w:pStyle w:val="Akapitzlist"/>
        <w:numPr>
          <w:ilvl w:val="0"/>
          <w:numId w:val="8"/>
        </w:numPr>
        <w:ind w:left="284" w:hanging="284"/>
        <w:rPr>
          <w:szCs w:val="19"/>
        </w:rPr>
      </w:pPr>
      <w:r>
        <w:rPr>
          <w:szCs w:val="19"/>
        </w:rPr>
        <w:t xml:space="preserve">w tablicach </w:t>
      </w:r>
      <w:r w:rsidR="00CF4A3A" w:rsidRPr="008027B9">
        <w:rPr>
          <w:szCs w:val="19"/>
        </w:rPr>
        <w:t>2.1-2.6 i 5.5-</w:t>
      </w:r>
      <w:r w:rsidR="00F1301B">
        <w:rPr>
          <w:szCs w:val="19"/>
        </w:rPr>
        <w:t>6.6:</w:t>
      </w:r>
    </w:p>
    <w:p w:rsidR="00F1301B" w:rsidRDefault="00F1301B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>
        <w:rPr>
          <w:szCs w:val="19"/>
        </w:rPr>
        <w:t xml:space="preserve"> wartości dotyczące</w:t>
      </w:r>
      <w:r w:rsidR="00950FBF">
        <w:rPr>
          <w:szCs w:val="19"/>
        </w:rPr>
        <w:t>:</w:t>
      </w:r>
      <w:r>
        <w:rPr>
          <w:szCs w:val="19"/>
        </w:rPr>
        <w:t xml:space="preserve"> podróży, </w:t>
      </w:r>
      <w:r w:rsidR="008027B9" w:rsidRPr="00F1301B">
        <w:rPr>
          <w:szCs w:val="19"/>
        </w:rPr>
        <w:t>usług pośrednictwa finansowego mierzonych pośrednio (FISIM),</w:t>
      </w:r>
      <w:r>
        <w:rPr>
          <w:szCs w:val="19"/>
        </w:rPr>
        <w:t xml:space="preserve"> usług rządowych, usług ubezpieczeniowych i emerytalno-rentowych opracowywanych przez Narodowy Bank Polski ujęto w wierszach odpowiadających wskazanym usługom w kolumnie „Nieznane”,</w:t>
      </w:r>
    </w:p>
    <w:p w:rsidR="00F1301B" w:rsidRPr="00F1301B" w:rsidRDefault="00F1301B" w:rsidP="00F1301B">
      <w:pPr>
        <w:pStyle w:val="Akapitzlist"/>
        <w:numPr>
          <w:ilvl w:val="1"/>
          <w:numId w:val="8"/>
        </w:numPr>
        <w:ind w:left="567" w:hanging="283"/>
        <w:rPr>
          <w:szCs w:val="19"/>
        </w:rPr>
      </w:pPr>
      <w:r w:rsidRPr="00F1301B">
        <w:rPr>
          <w:szCs w:val="19"/>
        </w:rPr>
        <w:t>wartości dotyczące</w:t>
      </w:r>
      <w:r w:rsidR="00950FBF">
        <w:rPr>
          <w:szCs w:val="19"/>
        </w:rPr>
        <w:t>:</w:t>
      </w:r>
      <w:r w:rsidRPr="00F1301B">
        <w:rPr>
          <w:szCs w:val="19"/>
        </w:rPr>
        <w:t xml:space="preserve"> </w:t>
      </w:r>
      <w:proofErr w:type="spellStart"/>
      <w:r w:rsidR="00950FBF">
        <w:rPr>
          <w:szCs w:val="19"/>
        </w:rPr>
        <w:t>doszacowań</w:t>
      </w:r>
      <w:proofErr w:type="spellEnd"/>
      <w:r w:rsidR="00950FBF">
        <w:rPr>
          <w:szCs w:val="19"/>
        </w:rPr>
        <w:t xml:space="preserve"> wynikających</w:t>
      </w:r>
      <w:r w:rsidRPr="00F1301B">
        <w:rPr>
          <w:szCs w:val="19"/>
        </w:rPr>
        <w:t xml:space="preserve"> z braku dopełnienia obowiązku sprawozdawczego, usług nielegalnych, wydatków poniesionych przez osoby prywatne w transporcie międzynarodowym oraz usług wynikająca z doliczenia kosztów transportu uwzględnionych w wartości towarów importowanych, dla których podstawą są warunki dostaw FOB (ostanie trzy rodzaje usług tylko w tabelach dotyczących importu usług) ujęto w wierszu i kolumnie „Nieznane”.</w:t>
      </w:r>
    </w:p>
    <w:p w:rsidR="0014685F" w:rsidRPr="0014685F" w:rsidRDefault="0014685F" w:rsidP="0014685F">
      <w:pPr>
        <w:rPr>
          <w:szCs w:val="19"/>
        </w:rPr>
      </w:pPr>
      <w:r w:rsidRPr="0014685F">
        <w:rPr>
          <w:szCs w:val="19"/>
        </w:rPr>
        <w:t>W</w:t>
      </w:r>
      <w:r w:rsidR="00E269A8">
        <w:rPr>
          <w:szCs w:val="19"/>
        </w:rPr>
        <w:t xml:space="preserve"> tablicach</w:t>
      </w:r>
      <w:r w:rsidRPr="0014685F">
        <w:rPr>
          <w:szCs w:val="19"/>
        </w:rPr>
        <w:t xml:space="preserve"> 4.5 </w:t>
      </w:r>
      <w:r w:rsidR="00E269A8">
        <w:rPr>
          <w:szCs w:val="19"/>
        </w:rPr>
        <w:t xml:space="preserve">i 4.6 </w:t>
      </w:r>
      <w:r w:rsidRPr="00E269A8">
        <w:rPr>
          <w:i/>
          <w:szCs w:val="19"/>
        </w:rPr>
        <w:t xml:space="preserve">Wartość międzynarodowego handlu usługami według </w:t>
      </w:r>
      <w:r w:rsidR="00E269A8" w:rsidRPr="00E269A8">
        <w:rPr>
          <w:i/>
          <w:szCs w:val="19"/>
        </w:rPr>
        <w:t xml:space="preserve">podstawowego </w:t>
      </w:r>
      <w:r w:rsidRPr="00E269A8">
        <w:rPr>
          <w:i/>
          <w:szCs w:val="19"/>
        </w:rPr>
        <w:t>rodzaju działalności</w:t>
      </w:r>
      <w:r w:rsidRPr="0014685F">
        <w:rPr>
          <w:szCs w:val="19"/>
        </w:rPr>
        <w:t xml:space="preserve">, oprócz wartości eksportu </w:t>
      </w:r>
      <w:r w:rsidR="00E269A8">
        <w:rPr>
          <w:szCs w:val="19"/>
        </w:rPr>
        <w:t xml:space="preserve">i importu usług ogółem </w:t>
      </w:r>
      <w:r w:rsidR="00FF1DE0">
        <w:rPr>
          <w:szCs w:val="19"/>
        </w:rPr>
        <w:t>na poziomie sekcji i działów</w:t>
      </w:r>
      <w:r w:rsidRPr="0014685F">
        <w:rPr>
          <w:szCs w:val="19"/>
        </w:rPr>
        <w:t xml:space="preserve">, zamieszczone zostały wskaźniki intensywności eksportu </w:t>
      </w:r>
      <w:r w:rsidR="00595966">
        <w:rPr>
          <w:szCs w:val="19"/>
        </w:rPr>
        <w:t>(tablica 4.5) o</w:t>
      </w:r>
      <w:r w:rsidRPr="0014685F">
        <w:rPr>
          <w:szCs w:val="19"/>
        </w:rPr>
        <w:t>raz intensywności importu usług (</w:t>
      </w:r>
      <w:r w:rsidR="00595966">
        <w:rPr>
          <w:szCs w:val="19"/>
        </w:rPr>
        <w:t>tablica 4.6</w:t>
      </w:r>
      <w:r w:rsidRPr="0014685F">
        <w:rPr>
          <w:szCs w:val="19"/>
        </w:rPr>
        <w:t>)</w:t>
      </w:r>
      <w:r w:rsidR="00595966">
        <w:rPr>
          <w:szCs w:val="19"/>
        </w:rPr>
        <w:t>. Wskaźniki te zostały naliczone jako udział odpowi</w:t>
      </w:r>
      <w:r w:rsidRPr="0014685F">
        <w:rPr>
          <w:szCs w:val="19"/>
        </w:rPr>
        <w:t>ednio wartoś</w:t>
      </w:r>
      <w:r w:rsidR="00595966">
        <w:rPr>
          <w:szCs w:val="19"/>
        </w:rPr>
        <w:t>ci</w:t>
      </w:r>
      <w:r w:rsidRPr="0014685F">
        <w:rPr>
          <w:szCs w:val="19"/>
        </w:rPr>
        <w:t xml:space="preserve"> eksportu</w:t>
      </w:r>
      <w:r w:rsidR="00595966">
        <w:rPr>
          <w:szCs w:val="19"/>
        </w:rPr>
        <w:t xml:space="preserve"> usług ogółem </w:t>
      </w:r>
      <w:r w:rsidRPr="0014685F">
        <w:rPr>
          <w:szCs w:val="19"/>
        </w:rPr>
        <w:t xml:space="preserve">i importu usług </w:t>
      </w:r>
      <w:r w:rsidR="00595966">
        <w:rPr>
          <w:szCs w:val="19"/>
        </w:rPr>
        <w:t xml:space="preserve">ogółem </w:t>
      </w:r>
      <w:r w:rsidR="00FF1DE0">
        <w:rPr>
          <w:szCs w:val="19"/>
        </w:rPr>
        <w:t>w całkowitej wartości przychodów</w:t>
      </w:r>
      <w:r w:rsidRPr="0014685F">
        <w:rPr>
          <w:szCs w:val="19"/>
        </w:rPr>
        <w:t xml:space="preserve"> </w:t>
      </w:r>
      <w:r w:rsidR="00595966">
        <w:rPr>
          <w:szCs w:val="19"/>
        </w:rPr>
        <w:t xml:space="preserve">i </w:t>
      </w:r>
      <w:r w:rsidR="00595966">
        <w:rPr>
          <w:szCs w:val="19"/>
        </w:rPr>
        <w:lastRenderedPageBreak/>
        <w:t xml:space="preserve">kosztów </w:t>
      </w:r>
      <w:r w:rsidRPr="0014685F">
        <w:rPr>
          <w:szCs w:val="19"/>
        </w:rPr>
        <w:t xml:space="preserve">podmiotów, które </w:t>
      </w:r>
      <w:r w:rsidR="00595966">
        <w:rPr>
          <w:szCs w:val="19"/>
        </w:rPr>
        <w:t xml:space="preserve">były objęte </w:t>
      </w:r>
      <w:r w:rsidRPr="0014685F">
        <w:rPr>
          <w:szCs w:val="19"/>
        </w:rPr>
        <w:t>obowiązk</w:t>
      </w:r>
      <w:r w:rsidR="00595966">
        <w:rPr>
          <w:szCs w:val="19"/>
        </w:rPr>
        <w:t>iem</w:t>
      </w:r>
      <w:r w:rsidRPr="0014685F">
        <w:rPr>
          <w:szCs w:val="19"/>
        </w:rPr>
        <w:t xml:space="preserve"> sprawozdawczego z tytułu badania </w:t>
      </w:r>
      <w:r w:rsidRPr="00595966">
        <w:rPr>
          <w:i/>
          <w:szCs w:val="19"/>
        </w:rPr>
        <w:t>Międzynarodowy handel usługami</w:t>
      </w:r>
      <w:r w:rsidRPr="0014685F">
        <w:rPr>
          <w:szCs w:val="19"/>
        </w:rPr>
        <w:t>.</w:t>
      </w:r>
    </w:p>
    <w:p w:rsidR="0014685F" w:rsidRDefault="0014685F" w:rsidP="0014685F">
      <w:pPr>
        <w:rPr>
          <w:szCs w:val="19"/>
        </w:rPr>
      </w:pPr>
      <w:r w:rsidRPr="0014685F">
        <w:rPr>
          <w:szCs w:val="19"/>
        </w:rPr>
        <w:t>Tablice</w:t>
      </w:r>
      <w:r w:rsidR="001B4D2E">
        <w:rPr>
          <w:szCs w:val="19"/>
        </w:rPr>
        <w:t xml:space="preserve"> zostały naliczone w tys. PLN (z jednym miejsce</w:t>
      </w:r>
      <w:r w:rsidR="00FF1DE0">
        <w:rPr>
          <w:szCs w:val="19"/>
        </w:rPr>
        <w:t>m</w:t>
      </w:r>
      <w:r w:rsidR="001B4D2E">
        <w:rPr>
          <w:szCs w:val="19"/>
        </w:rPr>
        <w:t xml:space="preserve"> po</w:t>
      </w:r>
      <w:r w:rsidRPr="0014685F">
        <w:rPr>
          <w:szCs w:val="19"/>
        </w:rPr>
        <w:t xml:space="preserve"> przecinku). We wszystkich  opracowanych tablicach zastos</w:t>
      </w:r>
      <w:r w:rsidR="00950FBF">
        <w:rPr>
          <w:szCs w:val="19"/>
        </w:rPr>
        <w:t>owano następujące zasady oznacze</w:t>
      </w:r>
      <w:r w:rsidRPr="0014685F">
        <w:rPr>
          <w:szCs w:val="19"/>
        </w:rPr>
        <w:t>nia:</w:t>
      </w:r>
    </w:p>
    <w:p w:rsidR="0014685F" w:rsidRDefault="0014685F" w:rsidP="001B4D2E">
      <w:pPr>
        <w:pStyle w:val="Akapitzlist"/>
        <w:numPr>
          <w:ilvl w:val="0"/>
          <w:numId w:val="9"/>
        </w:numPr>
        <w:ind w:left="284" w:hanging="284"/>
        <w:rPr>
          <w:szCs w:val="19"/>
        </w:rPr>
      </w:pPr>
      <w:r w:rsidRPr="001B4D2E">
        <w:rPr>
          <w:szCs w:val="19"/>
        </w:rPr>
        <w:t>tajem</w:t>
      </w:r>
      <w:r w:rsidR="00D9566E">
        <w:rPr>
          <w:szCs w:val="19"/>
        </w:rPr>
        <w:t>nica pierwotna i wtórna oznaczono</w:t>
      </w:r>
      <w:r w:rsidRPr="001B4D2E">
        <w:rPr>
          <w:szCs w:val="19"/>
        </w:rPr>
        <w:t xml:space="preserve"> jako puste komórki,</w:t>
      </w:r>
    </w:p>
    <w:p w:rsidR="0014685F" w:rsidRDefault="0014685F" w:rsidP="001B4D2E">
      <w:pPr>
        <w:pStyle w:val="Akapitzlist"/>
        <w:numPr>
          <w:ilvl w:val="0"/>
          <w:numId w:val="9"/>
        </w:numPr>
        <w:ind w:left="284" w:hanging="284"/>
        <w:rPr>
          <w:szCs w:val="19"/>
        </w:rPr>
      </w:pPr>
      <w:r w:rsidRPr="001B4D2E">
        <w:rPr>
          <w:szCs w:val="19"/>
        </w:rPr>
        <w:t>w przypadku, gdy zjawisko nie występowało bądź wartość usługi była mniejsza niż</w:t>
      </w:r>
      <w:r w:rsidR="00950FBF">
        <w:rPr>
          <w:szCs w:val="19"/>
        </w:rPr>
        <w:t xml:space="preserve"> 1 000 PLN i nie objęta żadnym </w:t>
      </w:r>
      <w:r w:rsidRPr="001B4D2E">
        <w:rPr>
          <w:szCs w:val="19"/>
        </w:rPr>
        <w:t>rodzajem tajemnicy statystycznej -  w komórkach wstawiono wartość „0” (z</w:t>
      </w:r>
      <w:r w:rsidR="001B4D2E">
        <w:rPr>
          <w:szCs w:val="19"/>
        </w:rPr>
        <w:t>ero),</w:t>
      </w:r>
    </w:p>
    <w:p w:rsidR="001B4D2E" w:rsidRPr="001B4D2E" w:rsidRDefault="001B4D2E" w:rsidP="001B4D2E">
      <w:pPr>
        <w:pStyle w:val="Akapitzlist"/>
        <w:numPr>
          <w:ilvl w:val="0"/>
          <w:numId w:val="9"/>
        </w:numPr>
        <w:ind w:left="284" w:hanging="284"/>
        <w:rPr>
          <w:szCs w:val="19"/>
        </w:rPr>
      </w:pPr>
      <w:r w:rsidRPr="001B4D2E">
        <w:rPr>
          <w:szCs w:val="19"/>
        </w:rPr>
        <w:t>w tablicach 4.5 i 4.6 w kolumnach dotyczących wskaźników intensywności w przypadku:</w:t>
      </w:r>
    </w:p>
    <w:p w:rsidR="001B4D2E" w:rsidRDefault="00D9566E" w:rsidP="001B4D2E">
      <w:pPr>
        <w:pStyle w:val="Akapitzlist"/>
        <w:numPr>
          <w:ilvl w:val="1"/>
          <w:numId w:val="9"/>
        </w:numPr>
        <w:ind w:left="567" w:hanging="283"/>
        <w:rPr>
          <w:szCs w:val="19"/>
        </w:rPr>
      </w:pPr>
      <w:r>
        <w:rPr>
          <w:szCs w:val="19"/>
        </w:rPr>
        <w:t>braku danych o przychodach</w:t>
      </w:r>
      <w:r w:rsidR="001B4D2E" w:rsidRPr="001B4D2E">
        <w:rPr>
          <w:szCs w:val="19"/>
        </w:rPr>
        <w:t xml:space="preserve"> lub kosztach podmiotów, a także niskiej wiarygodności tych danych przyjęto oznaczenia „:” oraz „:(u)”,</w:t>
      </w:r>
    </w:p>
    <w:p w:rsidR="001B4D2E" w:rsidRPr="001B4D2E" w:rsidRDefault="001B4D2E" w:rsidP="001B4D2E">
      <w:pPr>
        <w:pStyle w:val="Akapitzlist"/>
        <w:numPr>
          <w:ilvl w:val="1"/>
          <w:numId w:val="9"/>
        </w:numPr>
        <w:ind w:left="567" w:hanging="283"/>
        <w:rPr>
          <w:szCs w:val="19"/>
        </w:rPr>
      </w:pPr>
      <w:r w:rsidRPr="001B4D2E">
        <w:rPr>
          <w:szCs w:val="19"/>
        </w:rPr>
        <w:t>tajemnicy statystycznej przyjęto oznaczenie „(t)”.</w:t>
      </w:r>
    </w:p>
    <w:p w:rsidR="00BE78E6" w:rsidRPr="0014685F" w:rsidRDefault="0014685F" w:rsidP="00BE78E6">
      <w:pPr>
        <w:pStyle w:val="Nagwek1"/>
        <w:rPr>
          <w:sz w:val="18"/>
        </w:rPr>
      </w:pPr>
      <w:r w:rsidRPr="0014685F">
        <w:t>Podsumowanie</w:t>
      </w:r>
    </w:p>
    <w:p w:rsidR="0014685F" w:rsidRPr="0014685F" w:rsidRDefault="0014685F" w:rsidP="0014685F">
      <w:pPr>
        <w:pStyle w:val="Nagwek1"/>
        <w:rPr>
          <w:rFonts w:ascii="Fira Sans" w:hAnsi="Fira Sans"/>
          <w:color w:val="auto"/>
          <w:szCs w:val="19"/>
        </w:rPr>
      </w:pPr>
      <w:r w:rsidRPr="0014685F">
        <w:rPr>
          <w:rFonts w:ascii="Fira Sans" w:hAnsi="Fira Sans"/>
          <w:color w:val="auto"/>
          <w:szCs w:val="19"/>
        </w:rPr>
        <w:t>Pra</w:t>
      </w:r>
      <w:r w:rsidR="0039179D">
        <w:rPr>
          <w:rFonts w:ascii="Fira Sans" w:hAnsi="Fira Sans"/>
          <w:color w:val="auto"/>
          <w:szCs w:val="19"/>
        </w:rPr>
        <w:t>ce realizowane w ramach projektów</w:t>
      </w:r>
      <w:r w:rsidRPr="0014685F">
        <w:rPr>
          <w:rFonts w:ascii="Fira Sans" w:hAnsi="Fira Sans"/>
          <w:color w:val="auto"/>
          <w:szCs w:val="19"/>
        </w:rPr>
        <w:t xml:space="preserve"> „Opracowanie statystyki międzynarodowego handlu usługami według cech przedsiębiorstwa (STEC)” </w:t>
      </w:r>
      <w:r w:rsidR="00950FBF">
        <w:rPr>
          <w:rFonts w:ascii="Fira Sans" w:hAnsi="Fira Sans"/>
          <w:color w:val="auto"/>
          <w:szCs w:val="19"/>
        </w:rPr>
        <w:t xml:space="preserve">za lata 2016 i 2018 </w:t>
      </w:r>
      <w:r w:rsidRPr="0014685F">
        <w:rPr>
          <w:rFonts w:ascii="Fira Sans" w:hAnsi="Fira Sans"/>
          <w:color w:val="auto"/>
          <w:szCs w:val="19"/>
        </w:rPr>
        <w:t xml:space="preserve">pozwoliły na rozpoznanie możliwości pozyskania danych do opracowania tablic STEC, ale przede wszystkim na opracowanie </w:t>
      </w:r>
      <w:r w:rsidR="0039179D">
        <w:rPr>
          <w:rFonts w:ascii="Fira Sans" w:hAnsi="Fira Sans"/>
          <w:color w:val="auto"/>
          <w:szCs w:val="19"/>
        </w:rPr>
        <w:t xml:space="preserve">i przetestowanie metodologii naliczania </w:t>
      </w:r>
      <w:r w:rsidRPr="0014685F">
        <w:rPr>
          <w:rFonts w:ascii="Fira Sans" w:hAnsi="Fira Sans"/>
          <w:color w:val="auto"/>
          <w:szCs w:val="19"/>
        </w:rPr>
        <w:t>danych niezbędnych do zasilenia tych tablic oraz określenie wszystkich trudności i zagrożeń, które mogą pojawić się w trakcie realizacji prac. Dodatkową korzyścią z projektu było rozpatrzenie możliwości publikowania danych o zjawisku międzynarodowego handlu towarami i usługami w Polsce według podstawowych cech przedsiębiorstwa, co będzie mogło skutkować lepszym zaspokojeniem potrzeb informacyjnych wielu grup interesariuszy (np. środowiska naukowe).</w:t>
      </w:r>
    </w:p>
    <w:p w:rsidR="0014685F" w:rsidRPr="0014685F" w:rsidRDefault="0014685F" w:rsidP="0014685F">
      <w:pPr>
        <w:pStyle w:val="Nagwek1"/>
        <w:rPr>
          <w:rFonts w:ascii="Fira Sans" w:hAnsi="Fira Sans"/>
          <w:color w:val="auto"/>
          <w:szCs w:val="19"/>
        </w:rPr>
      </w:pPr>
      <w:r w:rsidRPr="0014685F">
        <w:rPr>
          <w:rFonts w:ascii="Fira Sans" w:hAnsi="Fira Sans"/>
          <w:color w:val="auto"/>
          <w:szCs w:val="19"/>
        </w:rPr>
        <w:t>Przewiduje się, że po zakończeniu prac związanych z przeprowadzonym</w:t>
      </w:r>
      <w:r w:rsidR="0039179D">
        <w:rPr>
          <w:rFonts w:ascii="Fira Sans" w:hAnsi="Fira Sans"/>
          <w:color w:val="auto"/>
          <w:szCs w:val="19"/>
        </w:rPr>
        <w:t>i</w:t>
      </w:r>
      <w:r w:rsidRPr="0014685F">
        <w:rPr>
          <w:rFonts w:ascii="Fira Sans" w:hAnsi="Fira Sans"/>
          <w:color w:val="auto"/>
          <w:szCs w:val="19"/>
        </w:rPr>
        <w:t xml:space="preserve"> projekt</w:t>
      </w:r>
      <w:r w:rsidR="0039179D">
        <w:rPr>
          <w:rFonts w:ascii="Fira Sans" w:hAnsi="Fira Sans"/>
          <w:color w:val="auto"/>
          <w:szCs w:val="19"/>
        </w:rPr>
        <w:t>ami</w:t>
      </w:r>
      <w:r w:rsidRPr="0014685F">
        <w:rPr>
          <w:rFonts w:ascii="Fira Sans" w:hAnsi="Fira Sans"/>
          <w:color w:val="auto"/>
          <w:szCs w:val="19"/>
        </w:rPr>
        <w:t xml:space="preserve"> oraz wejściem w życie FRIBS</w:t>
      </w:r>
      <w:r w:rsidR="00D9566E" w:rsidRPr="00D9566E">
        <w:rPr>
          <w:rFonts w:ascii="Fira Sans" w:hAnsi="Fira Sans"/>
          <w:color w:val="auto"/>
          <w:szCs w:val="19"/>
          <w:vertAlign w:val="superscript"/>
        </w:rPr>
        <w:fldChar w:fldCharType="begin"/>
      </w:r>
      <w:r w:rsidR="00D9566E" w:rsidRPr="00D9566E">
        <w:rPr>
          <w:rFonts w:ascii="Fira Sans" w:hAnsi="Fira Sans"/>
          <w:color w:val="auto"/>
          <w:szCs w:val="19"/>
          <w:vertAlign w:val="superscript"/>
        </w:rPr>
        <w:instrText xml:space="preserve"> NOTEREF _Ref46221996 \h </w:instrText>
      </w:r>
      <w:r w:rsidR="00D9566E" w:rsidRPr="00D9566E">
        <w:rPr>
          <w:rFonts w:ascii="Fira Sans" w:hAnsi="Fira Sans"/>
          <w:color w:val="auto"/>
          <w:szCs w:val="19"/>
          <w:vertAlign w:val="superscript"/>
        </w:rPr>
      </w:r>
      <w:r w:rsidR="00D9566E">
        <w:rPr>
          <w:rFonts w:ascii="Fira Sans" w:hAnsi="Fira Sans"/>
          <w:color w:val="auto"/>
          <w:szCs w:val="19"/>
          <w:vertAlign w:val="superscript"/>
        </w:rPr>
        <w:instrText xml:space="preserve"> \* MERGEFORMAT </w:instrText>
      </w:r>
      <w:r w:rsidR="00D9566E" w:rsidRPr="00D9566E">
        <w:rPr>
          <w:rFonts w:ascii="Fira Sans" w:hAnsi="Fira Sans"/>
          <w:color w:val="auto"/>
          <w:szCs w:val="19"/>
          <w:vertAlign w:val="superscript"/>
        </w:rPr>
        <w:fldChar w:fldCharType="separate"/>
      </w:r>
      <w:r w:rsidR="00D9566E" w:rsidRPr="00D9566E">
        <w:rPr>
          <w:rFonts w:ascii="Fira Sans" w:hAnsi="Fira Sans"/>
          <w:color w:val="auto"/>
          <w:szCs w:val="19"/>
          <w:vertAlign w:val="superscript"/>
        </w:rPr>
        <w:t>2</w:t>
      </w:r>
      <w:r w:rsidR="00D9566E" w:rsidRPr="00D9566E">
        <w:rPr>
          <w:rFonts w:ascii="Fira Sans" w:hAnsi="Fira Sans"/>
          <w:color w:val="auto"/>
          <w:szCs w:val="19"/>
          <w:vertAlign w:val="superscript"/>
        </w:rPr>
        <w:fldChar w:fldCharType="end"/>
      </w:r>
      <w:r w:rsidRPr="0014685F">
        <w:rPr>
          <w:rFonts w:ascii="Fira Sans" w:hAnsi="Fira Sans"/>
          <w:color w:val="auto"/>
          <w:szCs w:val="19"/>
        </w:rPr>
        <w:t>, opracowywanie tablic STEC będzie kontynuowane zgodnie z międzynarodowymi wymogami dotyczącymi międzynarodowego handlu usługami.</w:t>
      </w:r>
    </w:p>
    <w:p w:rsidR="001C5FD4" w:rsidRPr="0028511B" w:rsidRDefault="001C5FD4" w:rsidP="001C5FD4">
      <w:pPr>
        <w:keepNext/>
        <w:spacing w:before="0" w:after="0" w:line="240" w:lineRule="auto"/>
        <w:outlineLvl w:val="0"/>
        <w:rPr>
          <w:rFonts w:eastAsia="Times New Roman" w:cs="Times New Roman"/>
          <w:bCs/>
          <w:color w:val="BFBFBF" w:themeColor="background1" w:themeShade="BF"/>
          <w:sz w:val="18"/>
          <w:szCs w:val="18"/>
          <w:lang w:eastAsia="pl-PL"/>
        </w:rPr>
      </w:pPr>
    </w:p>
    <w:p w:rsidR="001C5FD4" w:rsidRPr="0028511B" w:rsidRDefault="001C5FD4" w:rsidP="001C5FD4">
      <w:pPr>
        <w:rPr>
          <w:b/>
          <w:color w:val="BFBFBF" w:themeColor="background1" w:themeShade="BF"/>
          <w:sz w:val="18"/>
          <w:szCs w:val="18"/>
          <w:shd w:val="clear" w:color="auto" w:fill="FFFFFF"/>
        </w:rPr>
        <w:sectPr w:rsidR="001C5FD4" w:rsidRPr="0028511B" w:rsidSect="001448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3119" w:bottom="720" w:left="720" w:header="284" w:footer="397" w:gutter="0"/>
          <w:cols w:space="708"/>
          <w:titlePg/>
          <w:docGrid w:linePitch="360"/>
        </w:sectPr>
      </w:pPr>
    </w:p>
    <w:p w:rsidR="000470AA" w:rsidRPr="0036406F" w:rsidRDefault="0036406F" w:rsidP="000470AA">
      <w:pPr>
        <w:rPr>
          <w:rFonts w:ascii="Calibri" w:hAnsi="Calibri"/>
          <w:sz w:val="22"/>
        </w:rPr>
      </w:pPr>
      <w:r>
        <w:lastRenderedPageBreak/>
        <w:t xml:space="preserve">W przypadku cytowania danych Głównego Urzędu Statystycznego prosimy o zamieszczenie informacji: „Źródło danych GUS”, a w przypadku publikowania obliczeń dokonanych na danych opublikowanych przez GUS prosimy o zamieszczenie informacji: „Opracowanie własne na podstawie danych GUS”. </w:t>
      </w:r>
    </w:p>
    <w:tbl>
      <w:tblPr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4241"/>
        <w:gridCol w:w="3826"/>
      </w:tblGrid>
      <w:tr w:rsidR="000470AA" w:rsidRPr="006D6DE0" w:rsidTr="00E23337">
        <w:trPr>
          <w:trHeight w:val="1912"/>
        </w:trPr>
        <w:tc>
          <w:tcPr>
            <w:tcW w:w="4379" w:type="dxa"/>
          </w:tcPr>
          <w:p w:rsidR="0036406F" w:rsidRDefault="0036406F" w:rsidP="00BC07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:rsidR="00BC0743" w:rsidRPr="00BC0743" w:rsidRDefault="00BC0743" w:rsidP="00BC07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  <w:r w:rsidRPr="00BC0743">
              <w:rPr>
                <w:rFonts w:cs="Arial"/>
                <w:color w:val="000000" w:themeColor="text1"/>
                <w:sz w:val="20"/>
              </w:rPr>
              <w:t>Opracowanie merytoryczne:</w:t>
            </w:r>
          </w:p>
          <w:p w:rsidR="00BC0743" w:rsidRPr="00BC0743" w:rsidRDefault="00BC0743" w:rsidP="00BC0743">
            <w:pPr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C0743">
              <w:rPr>
                <w:rFonts w:cs="Arial"/>
                <w:b/>
                <w:color w:val="000000" w:themeColor="text1"/>
                <w:sz w:val="20"/>
              </w:rPr>
              <w:t>Departament Handlu i Usług</w:t>
            </w:r>
          </w:p>
          <w:p w:rsidR="00BC0743" w:rsidRPr="00BC0743" w:rsidRDefault="00BC0743" w:rsidP="00BC0743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 w:rsidRPr="00BC0743"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Agnieszka Kaźmierczak</w:t>
            </w:r>
          </w:p>
          <w:p w:rsidR="00BC0743" w:rsidRPr="00BC0743" w:rsidRDefault="00BC0743" w:rsidP="00BC0743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BC0743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33 26</w:t>
            </w:r>
          </w:p>
          <w:p w:rsidR="000470AA" w:rsidRPr="008F3638" w:rsidRDefault="00BC0743" w:rsidP="00BC0743">
            <w:pPr>
              <w:pStyle w:val="Nagwek3"/>
              <w:spacing w:before="0" w:line="240" w:lineRule="auto"/>
              <w:rPr>
                <w:rFonts w:ascii="Fira Sans" w:hAnsi="Fira Sans"/>
                <w:color w:val="000000" w:themeColor="text1"/>
                <w:lang w:val="fi-FI"/>
              </w:rPr>
            </w:pPr>
            <w:r w:rsidRPr="00AB5DCE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0"/>
              </w:rPr>
              <w:t xml:space="preserve">e-mail: </w:t>
            </w:r>
            <w:hyperlink r:id="rId14" w:history="1">
              <w:r w:rsidRPr="00FA10F8">
                <w:rPr>
                  <w:rFonts w:ascii="Fira Sans" w:eastAsiaTheme="minorHAnsi" w:hAnsi="Fira Sans" w:cs="Arial"/>
                  <w:b/>
                  <w:color w:val="auto"/>
                  <w:sz w:val="20"/>
                  <w:szCs w:val="20"/>
                  <w:u w:val="single"/>
                </w:rPr>
                <w:t>a.kazmierczak@stat.gov.pl</w:t>
              </w:r>
            </w:hyperlink>
          </w:p>
        </w:tc>
        <w:tc>
          <w:tcPr>
            <w:tcW w:w="3942" w:type="dxa"/>
          </w:tcPr>
          <w:p w:rsidR="0036406F" w:rsidRDefault="0036406F" w:rsidP="00BC0743">
            <w:pPr>
              <w:spacing w:before="0" w:after="0" w:line="276" w:lineRule="auto"/>
              <w:rPr>
                <w:rFonts w:cs="Arial"/>
                <w:color w:val="000000" w:themeColor="text1"/>
                <w:sz w:val="20"/>
              </w:rPr>
            </w:pPr>
          </w:p>
          <w:p w:rsidR="00BC0743" w:rsidRPr="00BC0743" w:rsidRDefault="00BC0743" w:rsidP="00BC0743">
            <w:pPr>
              <w:spacing w:before="0" w:after="0" w:line="276" w:lineRule="auto"/>
              <w:rPr>
                <w:rFonts w:cs="Arial"/>
                <w:b/>
                <w:color w:val="000000" w:themeColor="text1"/>
                <w:sz w:val="20"/>
              </w:rPr>
            </w:pPr>
            <w:r w:rsidRPr="00BC0743">
              <w:rPr>
                <w:rFonts w:cs="Arial"/>
                <w:color w:val="000000" w:themeColor="text1"/>
                <w:sz w:val="20"/>
              </w:rPr>
              <w:t>Rozpowszechnianie:</w:t>
            </w:r>
            <w:r w:rsidRPr="00BC0743">
              <w:rPr>
                <w:rFonts w:cs="Arial"/>
                <w:color w:val="000000" w:themeColor="text1"/>
                <w:sz w:val="20"/>
              </w:rPr>
              <w:br/>
            </w:r>
            <w:r w:rsidRPr="00BC0743">
              <w:rPr>
                <w:rFonts w:cs="Arial"/>
                <w:b/>
                <w:color w:val="000000" w:themeColor="text1"/>
                <w:sz w:val="20"/>
              </w:rPr>
              <w:t>Rzecznik Prasowy Prezesa GUS</w:t>
            </w:r>
          </w:p>
          <w:p w:rsidR="00BC0743" w:rsidRPr="00BC0743" w:rsidRDefault="00DA6CC3" w:rsidP="00BC0743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</w:pPr>
            <w:r>
              <w:rPr>
                <w:rFonts w:eastAsiaTheme="majorEastAsia" w:cs="Arial"/>
                <w:b/>
                <w:color w:val="000000" w:themeColor="text1"/>
                <w:sz w:val="20"/>
                <w:szCs w:val="28"/>
              </w:rPr>
              <w:t>Karolina Banaszek</w:t>
            </w:r>
          </w:p>
          <w:p w:rsidR="00BC0743" w:rsidRPr="00BC0743" w:rsidRDefault="00BC0743" w:rsidP="00BC0743">
            <w:pPr>
              <w:keepNext/>
              <w:keepLines/>
              <w:spacing w:before="0" w:after="0" w:line="240" w:lineRule="auto"/>
              <w:outlineLvl w:val="2"/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</w:pPr>
            <w:r w:rsidRPr="00BC0743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Tel: 22 608 34</w:t>
            </w:r>
            <w:r w:rsidR="00FA10F8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 xml:space="preserve"> </w:t>
            </w:r>
            <w:r w:rsidRPr="00BC0743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75, 22 608 30</w:t>
            </w:r>
            <w:r w:rsidR="00FA10F8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 xml:space="preserve"> </w:t>
            </w:r>
            <w:r w:rsidRPr="00BC0743">
              <w:rPr>
                <w:rFonts w:eastAsiaTheme="majorEastAsia" w:cs="Arial"/>
                <w:color w:val="000000" w:themeColor="text1"/>
                <w:sz w:val="20"/>
                <w:szCs w:val="24"/>
                <w:lang w:val="fi-FI"/>
              </w:rPr>
              <w:t>09</w:t>
            </w:r>
          </w:p>
          <w:p w:rsidR="000470AA" w:rsidRPr="008F3638" w:rsidRDefault="00BC0743" w:rsidP="00BC0743">
            <w:pPr>
              <w:pStyle w:val="Nagwek3"/>
              <w:spacing w:before="0" w:line="240" w:lineRule="auto"/>
              <w:rPr>
                <w:rFonts w:ascii="Fira Sans" w:hAnsi="Fira Sans" w:cs="Arial"/>
                <w:color w:val="000000" w:themeColor="text1"/>
                <w:sz w:val="20"/>
                <w:szCs w:val="20"/>
                <w:lang w:val="en-US"/>
              </w:rPr>
            </w:pPr>
            <w:r w:rsidRPr="00BC0743">
              <w:rPr>
                <w:rFonts w:ascii="Fira Sans" w:eastAsiaTheme="minorHAnsi" w:hAnsi="Fira Sans" w:cs="Arial"/>
                <w:b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BC0743">
                <w:rPr>
                  <w:rFonts w:ascii="Fira Sans" w:eastAsiaTheme="minorHAnsi" w:hAnsi="Fira Sans" w:cs="Arial"/>
                  <w:b/>
                  <w:color w:val="000000" w:themeColor="text1"/>
                  <w:sz w:val="20"/>
                  <w:szCs w:val="20"/>
                  <w:u w:val="single"/>
                  <w:lang w:val="en-US"/>
                </w:rPr>
                <w:t>rzecznik@stat.gov.pl</w:t>
              </w:r>
            </w:hyperlink>
          </w:p>
        </w:tc>
      </w:tr>
    </w:tbl>
    <w:p w:rsidR="000470AA" w:rsidRPr="0060417C" w:rsidRDefault="000470AA" w:rsidP="000470AA">
      <w:pPr>
        <w:rPr>
          <w:sz w:val="20"/>
          <w:lang w:val="en-US"/>
        </w:rPr>
      </w:pPr>
    </w:p>
    <w:p w:rsidR="000470AA" w:rsidRPr="0060417C" w:rsidRDefault="000470AA" w:rsidP="000470AA">
      <w:pPr>
        <w:rPr>
          <w:sz w:val="18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595"/>
        <w:gridCol w:w="3082"/>
      </w:tblGrid>
      <w:tr w:rsidR="000470AA" w:rsidTr="000470AA">
        <w:trPr>
          <w:trHeight w:val="610"/>
        </w:trPr>
        <w:tc>
          <w:tcPr>
            <w:tcW w:w="2721" w:type="pct"/>
            <w:vMerge w:val="restart"/>
            <w:vAlign w:val="center"/>
          </w:tcPr>
          <w:p w:rsidR="000470AA" w:rsidRPr="00C91687" w:rsidRDefault="000470AA" w:rsidP="000470AA">
            <w:pPr>
              <w:rPr>
                <w:b/>
                <w:sz w:val="20"/>
              </w:rPr>
            </w:pPr>
            <w:r w:rsidRPr="00C91687">
              <w:rPr>
                <w:b/>
                <w:sz w:val="20"/>
              </w:rPr>
              <w:t xml:space="preserve">Wydział Współpracy z Mediami </w:t>
            </w:r>
          </w:p>
          <w:p w:rsidR="000470AA" w:rsidRPr="00C91687" w:rsidRDefault="000470AA" w:rsidP="000470AA">
            <w:pPr>
              <w:rPr>
                <w:sz w:val="20"/>
              </w:rPr>
            </w:pPr>
            <w:r w:rsidRPr="00C91687">
              <w:rPr>
                <w:b/>
                <w:sz w:val="20"/>
              </w:rPr>
              <w:t xml:space="preserve">tel.: </w:t>
            </w:r>
            <w:r w:rsidRPr="00C91687">
              <w:rPr>
                <w:sz w:val="20"/>
              </w:rPr>
              <w:t xml:space="preserve">22 608 34 91, 22 608 38 04 </w:t>
            </w:r>
          </w:p>
          <w:p w:rsidR="002410B5" w:rsidRPr="002410B5" w:rsidRDefault="002410B5" w:rsidP="000470AA">
            <w:pPr>
              <w:rPr>
                <w:b/>
                <w:sz w:val="20"/>
                <w:lang w:val="en-US"/>
              </w:rPr>
            </w:pPr>
            <w:r w:rsidRPr="002410B5">
              <w:rPr>
                <w:b/>
                <w:sz w:val="20"/>
                <w:lang w:val="en-US"/>
              </w:rPr>
              <w:t xml:space="preserve">e-mail: </w:t>
            </w:r>
            <w:hyperlink r:id="rId16" w:history="1">
              <w:r w:rsidRPr="002410B5">
                <w:rPr>
                  <w:rStyle w:val="Hipercze"/>
                  <w:rFonts w:cstheme="minorBidi"/>
                  <w:b/>
                  <w:color w:val="auto"/>
                  <w:sz w:val="20"/>
                  <w:lang w:val="en-US"/>
                </w:rPr>
                <w:t>obslugaprasowa@stat.gov.pl</w:t>
              </w:r>
            </w:hyperlink>
          </w:p>
          <w:p w:rsidR="000470AA" w:rsidRPr="0060417C" w:rsidRDefault="000470AA" w:rsidP="000470AA">
            <w:pPr>
              <w:rPr>
                <w:sz w:val="18"/>
                <w:lang w:val="en-US"/>
              </w:rPr>
            </w:pPr>
          </w:p>
        </w:tc>
        <w:tc>
          <w:tcPr>
            <w:tcW w:w="369" w:type="pct"/>
            <w:vAlign w:val="center"/>
          </w:tcPr>
          <w:p w:rsidR="000470AA" w:rsidRPr="0060417C" w:rsidRDefault="000470AA" w:rsidP="000470AA">
            <w:pPr>
              <w:rPr>
                <w:sz w:val="18"/>
                <w:lang w:val="en-US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2992" behindDoc="0" locked="0" layoutInCell="1" allowOverlap="1" wp14:anchorId="61D9BB21" wp14:editId="78ECC3AA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21590</wp:posOffset>
                  </wp:positionV>
                  <wp:extent cx="256540" cy="251460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-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www.stat.gov.pl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5040" behindDoc="0" locked="0" layoutInCell="1" allowOverlap="1" wp14:anchorId="2E1B596E" wp14:editId="6A42906C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18415</wp:posOffset>
                  </wp:positionV>
                  <wp:extent cx="256540" cy="251460"/>
                  <wp:effectExtent l="0" t="0" r="0" b="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-0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18"/>
              </w:rPr>
            </w:pPr>
            <w:r w:rsidRPr="003D5F42">
              <w:rPr>
                <w:sz w:val="20"/>
              </w:rPr>
              <w:t>@GUS_STAT</w:t>
            </w:r>
          </w:p>
        </w:tc>
      </w:tr>
      <w:tr w:rsidR="000470AA" w:rsidTr="000470AA">
        <w:trPr>
          <w:trHeight w:val="436"/>
        </w:trPr>
        <w:tc>
          <w:tcPr>
            <w:tcW w:w="2721" w:type="pct"/>
            <w:vMerge/>
            <w:vAlign w:val="center"/>
          </w:tcPr>
          <w:p w:rsidR="000470AA" w:rsidRDefault="000470AA" w:rsidP="000470AA">
            <w:pPr>
              <w:rPr>
                <w:sz w:val="18"/>
              </w:rPr>
            </w:pPr>
          </w:p>
        </w:tc>
        <w:tc>
          <w:tcPr>
            <w:tcW w:w="369" w:type="pct"/>
            <w:vAlign w:val="center"/>
          </w:tcPr>
          <w:p w:rsidR="000470AA" w:rsidRDefault="000470AA" w:rsidP="000470AA">
            <w:pPr>
              <w:rPr>
                <w:sz w:val="18"/>
              </w:rPr>
            </w:pPr>
            <w:r>
              <w:rPr>
                <w:noProof/>
                <w:sz w:val="20"/>
                <w:lang w:eastAsia="pl-PL"/>
              </w:rPr>
              <w:drawing>
                <wp:anchor distT="0" distB="0" distL="114300" distR="114300" simplePos="0" relativeHeight="251734016" behindDoc="0" locked="0" layoutInCell="1" allowOverlap="1" wp14:anchorId="16AB79AC" wp14:editId="4B67675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15240</wp:posOffset>
                  </wp:positionV>
                  <wp:extent cx="256540" cy="25146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-0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0" w:type="pct"/>
          </w:tcPr>
          <w:p w:rsidR="000470AA" w:rsidRDefault="000470AA" w:rsidP="000470AA">
            <w:pPr>
              <w:rPr>
                <w:sz w:val="20"/>
              </w:rPr>
            </w:pPr>
            <w:r w:rsidRPr="003D5F42">
              <w:rPr>
                <w:sz w:val="20"/>
              </w:rPr>
              <w:t>@</w:t>
            </w:r>
            <w:proofErr w:type="spellStart"/>
            <w:r w:rsidRPr="003D5F42">
              <w:rPr>
                <w:sz w:val="20"/>
              </w:rPr>
              <w:t>GlownyUrzadStatystyczny</w:t>
            </w:r>
            <w:proofErr w:type="spellEnd"/>
          </w:p>
        </w:tc>
      </w:tr>
    </w:tbl>
    <w:p w:rsidR="00D261A2" w:rsidRPr="00001C5B" w:rsidRDefault="001448A7" w:rsidP="00E76D26">
      <w:pPr>
        <w:rPr>
          <w:sz w:val="18"/>
        </w:rPr>
      </w:pPr>
      <w:r w:rsidRPr="00001C5B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F3723B" wp14:editId="0E72192E">
                <wp:simplePos x="0" y="0"/>
                <wp:positionH relativeFrom="margin">
                  <wp:posOffset>19229</wp:posOffset>
                </wp:positionH>
                <wp:positionV relativeFrom="paragraph">
                  <wp:posOffset>425682</wp:posOffset>
                </wp:positionV>
                <wp:extent cx="6559550" cy="4443095"/>
                <wp:effectExtent l="0" t="0" r="12700" b="146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44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D25" w:rsidRDefault="00AB6D25" w:rsidP="00AB6D25">
                            <w:pPr>
                              <w:rPr>
                                <w:b/>
                              </w:rPr>
                            </w:pPr>
                          </w:p>
                          <w:p w:rsidR="00BC0743" w:rsidRDefault="00BC0743" w:rsidP="00BC0743">
                            <w:pPr>
                              <w:rPr>
                                <w:b/>
                              </w:rPr>
                            </w:pPr>
                            <w:r w:rsidRPr="00BC0743">
                              <w:rPr>
                                <w:b/>
                              </w:rPr>
                              <w:t>Powiązane opracowania</w:t>
                            </w:r>
                          </w:p>
                          <w:p w:rsidR="00801EA6" w:rsidRPr="00801EA6" w:rsidRDefault="00D9566E" w:rsidP="00BC0743">
                            <w:pPr>
                              <w:rPr>
                                <w:color w:val="001D77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801EA6" w:rsidRPr="00801EA6">
                                <w:rPr>
                                  <w:rStyle w:val="Hipercze"/>
                                  <w:rFonts w:cstheme="minorBidi"/>
                                  <w:color w:val="001D77"/>
                                  <w:sz w:val="18"/>
                                  <w:szCs w:val="18"/>
                                </w:rPr>
                                <w:t>Rocznik Handlu Zagranicznego</w:t>
                              </w:r>
                            </w:hyperlink>
                          </w:p>
                          <w:p w:rsidR="00801EA6" w:rsidRDefault="00801EA6" w:rsidP="00BC0743">
                            <w:pPr>
                              <w:rPr>
                                <w:b/>
                              </w:rPr>
                            </w:pPr>
                          </w:p>
                          <w:p w:rsidR="00BC0743" w:rsidRPr="00BC0743" w:rsidRDefault="00BC0743" w:rsidP="00BC074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BC0743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Temat dostępny w bazach danych</w:t>
                            </w:r>
                          </w:p>
                          <w:p w:rsidR="00BC0743" w:rsidRPr="002410B5" w:rsidRDefault="00D9566E" w:rsidP="00BC0743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1" w:history="1">
                              <w:r w:rsidR="00BC0743" w:rsidRPr="002410B5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Dziedzinowe Bazy Wiedzy Handel Zagraniczny</w:t>
                              </w:r>
                            </w:hyperlink>
                            <w:r w:rsidR="00BC0743" w:rsidRPr="002410B5"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  <w:t xml:space="preserve"> </w:t>
                            </w:r>
                          </w:p>
                          <w:p w:rsidR="00BC0743" w:rsidRPr="00BC0743" w:rsidRDefault="00BC0743" w:rsidP="00BC074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C0743" w:rsidRPr="00BC0743" w:rsidRDefault="00BC0743" w:rsidP="00BC0743">
                            <w:pPr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BC0743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Ważniejsze pojęcia dostępne w słowniku</w:t>
                            </w:r>
                          </w:p>
                          <w:p w:rsidR="00BC0743" w:rsidRPr="002410B5" w:rsidRDefault="00D9566E" w:rsidP="00BC0743">
                            <w:pPr>
                              <w:rPr>
                                <w:rFonts w:cs="Arial"/>
                                <w:color w:val="001D77"/>
                                <w:sz w:val="18"/>
                                <w:szCs w:val="30"/>
                                <w:u w:val="single"/>
                                <w:shd w:val="clear" w:color="auto" w:fill="F0F0F0"/>
                              </w:rPr>
                            </w:pPr>
                            <w:hyperlink r:id="rId22" w:history="1">
                              <w:r w:rsidR="00BC0743" w:rsidRPr="002410B5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rezydenci - międzynarodowy handel usługami</w:t>
                              </w:r>
                            </w:hyperlink>
                          </w:p>
                          <w:p w:rsidR="00AB6D25" w:rsidRPr="002410B5" w:rsidRDefault="00D9566E" w:rsidP="00BC0743">
                            <w:pPr>
                              <w:rPr>
                                <w:b/>
                                <w:color w:val="001D77"/>
                                <w:szCs w:val="24"/>
                                <w:lang w:val="en-US"/>
                              </w:rPr>
                            </w:pPr>
                            <w:hyperlink r:id="rId23" w:history="1">
                              <w:r w:rsidR="00BC0743" w:rsidRPr="002410B5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usługa w wymianie między</w:t>
                              </w:r>
                              <w:bookmarkStart w:id="3" w:name="_GoBack"/>
                              <w:bookmarkEnd w:id="3"/>
                              <w:r w:rsidR="00BC0743" w:rsidRPr="002410B5">
                                <w:rPr>
                                  <w:rFonts w:cs="Arial"/>
                                  <w:color w:val="001D77"/>
                                  <w:sz w:val="18"/>
                                  <w:szCs w:val="30"/>
                                  <w:u w:val="single"/>
                                  <w:shd w:val="clear" w:color="auto" w:fill="F0F0F0"/>
                                </w:rPr>
                                <w:t>narodowej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372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pt;margin-top:33.5pt;width:516.5pt;height:34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" fillcolor="#f2f2f2 [3052]" strokecolor="white [3212]">
                <v:textbox>
                  <w:txbxContent>
                    <w:p w:rsidR="00AB6D25" w:rsidRDefault="00AB6D25" w:rsidP="00AB6D25">
                      <w:pPr>
                        <w:rPr>
                          <w:b/>
                        </w:rPr>
                      </w:pPr>
                    </w:p>
                    <w:p w:rsidR="00BC0743" w:rsidRDefault="00BC0743" w:rsidP="00BC0743">
                      <w:pPr>
                        <w:rPr>
                          <w:b/>
                        </w:rPr>
                      </w:pPr>
                      <w:r w:rsidRPr="00BC0743">
                        <w:rPr>
                          <w:b/>
                        </w:rPr>
                        <w:t>Powiązane opracowania</w:t>
                      </w:r>
                    </w:p>
                    <w:p w:rsidR="00801EA6" w:rsidRPr="00801EA6" w:rsidRDefault="00D9566E" w:rsidP="00BC0743">
                      <w:pPr>
                        <w:rPr>
                          <w:color w:val="001D77"/>
                          <w:sz w:val="18"/>
                          <w:szCs w:val="18"/>
                        </w:rPr>
                      </w:pPr>
                      <w:hyperlink r:id="rId24" w:history="1">
                        <w:r w:rsidR="00801EA6" w:rsidRPr="00801EA6">
                          <w:rPr>
                            <w:rStyle w:val="Hipercze"/>
                            <w:rFonts w:cstheme="minorBidi"/>
                            <w:color w:val="001D77"/>
                            <w:sz w:val="18"/>
                            <w:szCs w:val="18"/>
                          </w:rPr>
                          <w:t>Rocznik Handlu Zagranicznego</w:t>
                        </w:r>
                      </w:hyperlink>
                    </w:p>
                    <w:p w:rsidR="00801EA6" w:rsidRDefault="00801EA6" w:rsidP="00BC0743">
                      <w:pPr>
                        <w:rPr>
                          <w:b/>
                        </w:rPr>
                      </w:pPr>
                    </w:p>
                    <w:p w:rsidR="00BC0743" w:rsidRPr="00BC0743" w:rsidRDefault="00BC0743" w:rsidP="00BC074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BC0743">
                        <w:rPr>
                          <w:b/>
                          <w:color w:val="000000" w:themeColor="text1"/>
                          <w:szCs w:val="24"/>
                        </w:rPr>
                        <w:t>Temat dostępny w bazach danych</w:t>
                      </w:r>
                    </w:p>
                    <w:p w:rsidR="00BC0743" w:rsidRPr="002410B5" w:rsidRDefault="00D9566E" w:rsidP="00BC0743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25" w:history="1">
                        <w:r w:rsidR="00BC0743" w:rsidRPr="002410B5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Dziedzinowe Bazy Wiedzy Handel Zagraniczny</w:t>
                        </w:r>
                      </w:hyperlink>
                      <w:r w:rsidR="00BC0743" w:rsidRPr="002410B5"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  <w:t xml:space="preserve"> </w:t>
                      </w:r>
                    </w:p>
                    <w:p w:rsidR="00BC0743" w:rsidRPr="00BC0743" w:rsidRDefault="00BC0743" w:rsidP="00BC074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</w:p>
                    <w:p w:rsidR="00BC0743" w:rsidRPr="00BC0743" w:rsidRDefault="00BC0743" w:rsidP="00BC0743">
                      <w:pPr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BC0743">
                        <w:rPr>
                          <w:b/>
                          <w:color w:val="000000" w:themeColor="text1"/>
                          <w:szCs w:val="24"/>
                        </w:rPr>
                        <w:t>Ważniejsze pojęcia dostępne w słowniku</w:t>
                      </w:r>
                    </w:p>
                    <w:p w:rsidR="00BC0743" w:rsidRPr="002410B5" w:rsidRDefault="00D9566E" w:rsidP="00BC0743">
                      <w:pPr>
                        <w:rPr>
                          <w:rFonts w:cs="Arial"/>
                          <w:color w:val="001D77"/>
                          <w:sz w:val="18"/>
                          <w:szCs w:val="30"/>
                          <w:u w:val="single"/>
                          <w:shd w:val="clear" w:color="auto" w:fill="F0F0F0"/>
                        </w:rPr>
                      </w:pPr>
                      <w:hyperlink r:id="rId26" w:history="1">
                        <w:r w:rsidR="00BC0743" w:rsidRPr="002410B5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rezydenci - międzynarodowy handel usługami</w:t>
                        </w:r>
                      </w:hyperlink>
                    </w:p>
                    <w:p w:rsidR="00AB6D25" w:rsidRPr="002410B5" w:rsidRDefault="00D9566E" w:rsidP="00BC0743">
                      <w:pPr>
                        <w:rPr>
                          <w:b/>
                          <w:color w:val="001D77"/>
                          <w:szCs w:val="24"/>
                          <w:lang w:val="en-US"/>
                        </w:rPr>
                      </w:pPr>
                      <w:hyperlink r:id="rId27" w:history="1">
                        <w:r w:rsidR="00BC0743" w:rsidRPr="002410B5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usługa w wymianie między</w:t>
                        </w:r>
                        <w:bookmarkStart w:id="4" w:name="_GoBack"/>
                        <w:bookmarkEnd w:id="4"/>
                        <w:r w:rsidR="00BC0743" w:rsidRPr="002410B5">
                          <w:rPr>
                            <w:rFonts w:cs="Arial"/>
                            <w:color w:val="001D77"/>
                            <w:sz w:val="18"/>
                            <w:szCs w:val="30"/>
                            <w:u w:val="single"/>
                            <w:shd w:val="clear" w:color="auto" w:fill="F0F0F0"/>
                          </w:rPr>
                          <w:t>narodowej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61A2" w:rsidRPr="00001C5B" w:rsidSect="00AE4F99">
      <w:headerReference w:type="default" r:id="rId28"/>
      <w:pgSz w:w="11906" w:h="16838"/>
      <w:pgMar w:top="720" w:right="3119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22" w:rsidRDefault="00144522" w:rsidP="000662E2">
      <w:pPr>
        <w:spacing w:after="0" w:line="240" w:lineRule="auto"/>
      </w:pPr>
      <w:r>
        <w:separator/>
      </w:r>
    </w:p>
  </w:endnote>
  <w:endnote w:type="continuationSeparator" w:id="0">
    <w:p w:rsidR="00144522" w:rsidRDefault="00144522" w:rsidP="0006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2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Fira Sans Medium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Extra Condensed SemiB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16679"/>
      <w:docPartObj>
        <w:docPartGallery w:val="Page Numbers (Bottom of Page)"/>
        <w:docPartUnique/>
      </w:docPartObj>
    </w:sdtPr>
    <w:sdtEndPr/>
    <w:sdtContent>
      <w:p w:rsidR="00A33B47" w:rsidRDefault="00A33B47">
        <w:pPr>
          <w:pStyle w:val="Stopka"/>
          <w:jc w:val="center"/>
        </w:pPr>
      </w:p>
      <w:p w:rsidR="00A33B47" w:rsidRDefault="00A33B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6E">
          <w:rPr>
            <w:noProof/>
          </w:rPr>
          <w:t>4</w:t>
        </w:r>
        <w:r>
          <w:fldChar w:fldCharType="end"/>
        </w:r>
      </w:p>
    </w:sdtContent>
  </w:sdt>
  <w:p w:rsidR="00A33B47" w:rsidRDefault="00A33B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659305"/>
      <w:docPartObj>
        <w:docPartGallery w:val="Page Numbers (Bottom of Page)"/>
        <w:docPartUnique/>
      </w:docPartObj>
    </w:sdtPr>
    <w:sdtEndPr/>
    <w:sdtContent>
      <w:p w:rsidR="00A33B47" w:rsidRDefault="00A33B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6E">
          <w:rPr>
            <w:noProof/>
          </w:rPr>
          <w:t>1</w:t>
        </w:r>
        <w:r>
          <w:fldChar w:fldCharType="end"/>
        </w:r>
      </w:p>
    </w:sdtContent>
  </w:sdt>
  <w:p w:rsidR="00A33B47" w:rsidRDefault="00A33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22" w:rsidRDefault="00144522" w:rsidP="000662E2">
      <w:pPr>
        <w:spacing w:after="0" w:line="240" w:lineRule="auto"/>
      </w:pPr>
      <w:r>
        <w:separator/>
      </w:r>
    </w:p>
  </w:footnote>
  <w:footnote w:type="continuationSeparator" w:id="0">
    <w:p w:rsidR="00144522" w:rsidRDefault="00144522" w:rsidP="000662E2">
      <w:pPr>
        <w:spacing w:after="0" w:line="240" w:lineRule="auto"/>
      </w:pPr>
      <w:r>
        <w:continuationSeparator/>
      </w:r>
    </w:p>
  </w:footnote>
  <w:footnote w:id="1">
    <w:p w:rsidR="003F1D40" w:rsidRDefault="003F1D40" w:rsidP="00BE61B6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3F1D40">
        <w:rPr>
          <w:sz w:val="18"/>
          <w:szCs w:val="18"/>
        </w:rPr>
        <w:t xml:space="preserve">Trade by </w:t>
      </w:r>
      <w:proofErr w:type="spellStart"/>
      <w:r w:rsidRPr="003F1D40">
        <w:rPr>
          <w:sz w:val="18"/>
          <w:szCs w:val="18"/>
        </w:rPr>
        <w:t>enterprise</w:t>
      </w:r>
      <w:proofErr w:type="spellEnd"/>
      <w:r w:rsidRPr="003F1D40">
        <w:rPr>
          <w:sz w:val="18"/>
          <w:szCs w:val="18"/>
        </w:rPr>
        <w:t xml:space="preserve"> </w:t>
      </w:r>
      <w:proofErr w:type="spellStart"/>
      <w:r w:rsidRPr="003F1D40">
        <w:rPr>
          <w:sz w:val="18"/>
          <w:szCs w:val="18"/>
        </w:rPr>
        <w:t>characteristics</w:t>
      </w:r>
      <w:proofErr w:type="spellEnd"/>
    </w:p>
  </w:footnote>
  <w:footnote w:id="2">
    <w:p w:rsidR="00996BA9" w:rsidRPr="00BE61B6" w:rsidRDefault="00996BA9" w:rsidP="00BE61B6">
      <w:pPr>
        <w:pStyle w:val="Tekstprzypisudolnego"/>
        <w:spacing w:before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E61B6" w:rsidRPr="00BE61B6">
        <w:rPr>
          <w:sz w:val="18"/>
          <w:szCs w:val="18"/>
        </w:rPr>
        <w:t xml:space="preserve">Framework </w:t>
      </w:r>
      <w:proofErr w:type="spellStart"/>
      <w:r w:rsidR="00BE61B6" w:rsidRPr="00BE61B6">
        <w:rPr>
          <w:sz w:val="18"/>
          <w:szCs w:val="18"/>
        </w:rPr>
        <w:t>Regulation</w:t>
      </w:r>
      <w:proofErr w:type="spellEnd"/>
      <w:r w:rsidR="00BE61B6" w:rsidRPr="00BE61B6">
        <w:rPr>
          <w:sz w:val="18"/>
          <w:szCs w:val="18"/>
        </w:rPr>
        <w:t xml:space="preserve"> </w:t>
      </w:r>
      <w:proofErr w:type="spellStart"/>
      <w:r w:rsidR="00BE61B6" w:rsidRPr="00BE61B6">
        <w:rPr>
          <w:sz w:val="18"/>
          <w:szCs w:val="18"/>
        </w:rPr>
        <w:t>Integrating</w:t>
      </w:r>
      <w:proofErr w:type="spellEnd"/>
      <w:r w:rsidR="00BE61B6" w:rsidRPr="00BE61B6">
        <w:rPr>
          <w:sz w:val="18"/>
          <w:szCs w:val="18"/>
        </w:rPr>
        <w:t xml:space="preserve"> Business </w:t>
      </w:r>
      <w:proofErr w:type="spellStart"/>
      <w:r w:rsidR="00BE61B6" w:rsidRPr="00BE61B6">
        <w:rPr>
          <w:sz w:val="18"/>
          <w:szCs w:val="18"/>
        </w:rPr>
        <w:t>Statistics</w:t>
      </w:r>
      <w:proofErr w:type="spellEnd"/>
    </w:p>
  </w:footnote>
  <w:footnote w:id="3">
    <w:p w:rsidR="00FF1DE0" w:rsidRPr="00FF1DE0" w:rsidRDefault="00FF1DE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1DE0">
        <w:rPr>
          <w:sz w:val="18"/>
          <w:szCs w:val="18"/>
        </w:rPr>
        <w:t xml:space="preserve">Rozszerzona Klasyfikacja Usług w Bilansie Płatniczym (EBOPS) 2010 (Extended </w:t>
      </w:r>
      <w:proofErr w:type="spellStart"/>
      <w:r w:rsidRPr="00FF1DE0">
        <w:rPr>
          <w:sz w:val="18"/>
          <w:szCs w:val="18"/>
        </w:rPr>
        <w:t>Balance</w:t>
      </w:r>
      <w:proofErr w:type="spellEnd"/>
      <w:r w:rsidRPr="00FF1DE0">
        <w:rPr>
          <w:sz w:val="18"/>
          <w:szCs w:val="18"/>
        </w:rPr>
        <w:t xml:space="preserve"> of </w:t>
      </w:r>
      <w:proofErr w:type="spellStart"/>
      <w:r w:rsidRPr="00FF1DE0">
        <w:rPr>
          <w:sz w:val="18"/>
          <w:szCs w:val="18"/>
        </w:rPr>
        <w:t>Payments</w:t>
      </w:r>
      <w:proofErr w:type="spellEnd"/>
      <w:r w:rsidRPr="00FF1DE0">
        <w:rPr>
          <w:sz w:val="18"/>
          <w:szCs w:val="18"/>
        </w:rPr>
        <w:t xml:space="preserve"> Services </w:t>
      </w:r>
      <w:proofErr w:type="spellStart"/>
      <w:r w:rsidRPr="00FF1DE0">
        <w:rPr>
          <w:sz w:val="18"/>
          <w:szCs w:val="18"/>
        </w:rPr>
        <w:t>Classification</w:t>
      </w:r>
      <w:proofErr w:type="spellEnd"/>
      <w:r w:rsidRPr="00FF1DE0">
        <w:rPr>
          <w:sz w:val="18"/>
          <w:szCs w:val="18"/>
        </w:rPr>
        <w:t xml:space="preserve"> (EBOPS) 2010)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7C" w:rsidRDefault="0060417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AE7B5EE" wp14:editId="263B61ED">
              <wp:simplePos x="0" y="0"/>
              <wp:positionH relativeFrom="column">
                <wp:posOffset>5214620</wp:posOffset>
              </wp:positionH>
              <wp:positionV relativeFrom="paragraph">
                <wp:posOffset>-178435</wp:posOffset>
              </wp:positionV>
              <wp:extent cx="1874520" cy="22680295"/>
              <wp:effectExtent l="0" t="0" r="0" b="8255"/>
              <wp:wrapNone/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4520" cy="2268029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BFC34" id="Prostokąt 15" o:spid="_x0000_s1026" style="position:absolute;margin-left:410.6pt;margin-top:-14.05pt;width:147.6pt;height:178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" fillcolor="#f2f2f2" stroked="f" strokeweight="1pt"/>
          </w:pict>
        </mc:Fallback>
      </mc:AlternateContent>
    </w:r>
  </w:p>
  <w:p w:rsidR="0060417C" w:rsidRDefault="006041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7C" w:rsidRDefault="0060417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28923F" wp14:editId="627F49DC">
              <wp:simplePos x="0" y="0"/>
              <wp:positionH relativeFrom="column">
                <wp:posOffset>5036820</wp:posOffset>
              </wp:positionH>
              <wp:positionV relativeFrom="paragraph">
                <wp:posOffset>198755</wp:posOffset>
              </wp:positionV>
              <wp:extent cx="2060575" cy="357505"/>
              <wp:effectExtent l="0" t="0" r="0" b="4445"/>
              <wp:wrapNone/>
              <wp:docPr id="17" name="Schemat blokowy: opóźnieni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060575" cy="357505"/>
                      </a:xfrm>
                      <a:custGeom>
                        <a:avLst/>
                        <a:gdLst>
                          <a:gd name="connsiteX0" fmla="*/ 0 w 612140"/>
                          <a:gd name="connsiteY0" fmla="*/ 0 h 612140"/>
                          <a:gd name="connsiteX1" fmla="*/ 306070 w 612140"/>
                          <a:gd name="connsiteY1" fmla="*/ 0 h 612140"/>
                          <a:gd name="connsiteX2" fmla="*/ 612140 w 612140"/>
                          <a:gd name="connsiteY2" fmla="*/ 306070 h 612140"/>
                          <a:gd name="connsiteX3" fmla="*/ 306070 w 612140"/>
                          <a:gd name="connsiteY3" fmla="*/ 612140 h 612140"/>
                          <a:gd name="connsiteX4" fmla="*/ 0 w 612140"/>
                          <a:gd name="connsiteY4" fmla="*/ 612140 h 612140"/>
                          <a:gd name="connsiteX5" fmla="*/ 0 w 612140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1327068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0 w 1939208"/>
                          <a:gd name="connsiteY0" fmla="*/ 0 h 612140"/>
                          <a:gd name="connsiteX1" fmla="*/ 1633138 w 1939208"/>
                          <a:gd name="connsiteY1" fmla="*/ 0 h 612140"/>
                          <a:gd name="connsiteX2" fmla="*/ 1939208 w 1939208"/>
                          <a:gd name="connsiteY2" fmla="*/ 306070 h 612140"/>
                          <a:gd name="connsiteX3" fmla="*/ 1633138 w 1939208"/>
                          <a:gd name="connsiteY3" fmla="*/ 612140 h 612140"/>
                          <a:gd name="connsiteX4" fmla="*/ 0 w 1939208"/>
                          <a:gd name="connsiteY4" fmla="*/ 612140 h 612140"/>
                          <a:gd name="connsiteX5" fmla="*/ 0 w 1939208"/>
                          <a:gd name="connsiteY5" fmla="*/ 0 h 612140"/>
                          <a:gd name="connsiteX0" fmla="*/ 1 w 3113643"/>
                          <a:gd name="connsiteY0" fmla="*/ 10131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1 w 3113643"/>
                          <a:gd name="connsiteY5" fmla="*/ 10131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1174435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113643"/>
                          <a:gd name="connsiteY0" fmla="*/ 0 h 612140"/>
                          <a:gd name="connsiteX1" fmla="*/ 2807573 w 3113643"/>
                          <a:gd name="connsiteY1" fmla="*/ 0 h 612140"/>
                          <a:gd name="connsiteX2" fmla="*/ 3113643 w 3113643"/>
                          <a:gd name="connsiteY2" fmla="*/ 306070 h 612140"/>
                          <a:gd name="connsiteX3" fmla="*/ 2807573 w 3113643"/>
                          <a:gd name="connsiteY3" fmla="*/ 612140 h 612140"/>
                          <a:gd name="connsiteX4" fmla="*/ 0 w 3113643"/>
                          <a:gd name="connsiteY4" fmla="*/ 612140 h 612140"/>
                          <a:gd name="connsiteX5" fmla="*/ 0 w 3113643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788886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0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0 w 3902529"/>
                          <a:gd name="connsiteY5" fmla="*/ 0 h 612140"/>
                          <a:gd name="connsiteX0" fmla="*/ 546911 w 3902529"/>
                          <a:gd name="connsiteY0" fmla="*/ 0 h 612140"/>
                          <a:gd name="connsiteX1" fmla="*/ 3596459 w 3902529"/>
                          <a:gd name="connsiteY1" fmla="*/ 0 h 612140"/>
                          <a:gd name="connsiteX2" fmla="*/ 3902529 w 3902529"/>
                          <a:gd name="connsiteY2" fmla="*/ 306070 h 612140"/>
                          <a:gd name="connsiteX3" fmla="*/ 3596459 w 3902529"/>
                          <a:gd name="connsiteY3" fmla="*/ 612140 h 612140"/>
                          <a:gd name="connsiteX4" fmla="*/ 0 w 3902529"/>
                          <a:gd name="connsiteY4" fmla="*/ 612140 h 612140"/>
                          <a:gd name="connsiteX5" fmla="*/ 546911 w 3902529"/>
                          <a:gd name="connsiteY5" fmla="*/ 0 h 612140"/>
                          <a:gd name="connsiteX0" fmla="*/ 23272 w 3378890"/>
                          <a:gd name="connsiteY0" fmla="*/ 0 h 612140"/>
                          <a:gd name="connsiteX1" fmla="*/ 3072820 w 3378890"/>
                          <a:gd name="connsiteY1" fmla="*/ 0 h 612140"/>
                          <a:gd name="connsiteX2" fmla="*/ 3378890 w 3378890"/>
                          <a:gd name="connsiteY2" fmla="*/ 306070 h 612140"/>
                          <a:gd name="connsiteX3" fmla="*/ 3072820 w 3378890"/>
                          <a:gd name="connsiteY3" fmla="*/ 612140 h 612140"/>
                          <a:gd name="connsiteX4" fmla="*/ 0 w 3378890"/>
                          <a:gd name="connsiteY4" fmla="*/ 612140 h 612140"/>
                          <a:gd name="connsiteX5" fmla="*/ 23272 w 3378890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19571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355618"/>
                          <a:gd name="connsiteY0" fmla="*/ 0 h 612140"/>
                          <a:gd name="connsiteX1" fmla="*/ 3049548 w 3355618"/>
                          <a:gd name="connsiteY1" fmla="*/ 0 h 612140"/>
                          <a:gd name="connsiteX2" fmla="*/ 3355618 w 3355618"/>
                          <a:gd name="connsiteY2" fmla="*/ 306070 h 612140"/>
                          <a:gd name="connsiteX3" fmla="*/ 3049548 w 3355618"/>
                          <a:gd name="connsiteY3" fmla="*/ 612140 h 612140"/>
                          <a:gd name="connsiteX4" fmla="*/ 0 w 3355618"/>
                          <a:gd name="connsiteY4" fmla="*/ 612140 h 612140"/>
                          <a:gd name="connsiteX5" fmla="*/ 0 w 33556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171400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21835 w 3527018"/>
                          <a:gd name="connsiteY4" fmla="*/ 612140 h 612140"/>
                          <a:gd name="connsiteX5" fmla="*/ 0 w 3527018"/>
                          <a:gd name="connsiteY5" fmla="*/ 0 h 612140"/>
                          <a:gd name="connsiteX0" fmla="*/ 0 w 3527018"/>
                          <a:gd name="connsiteY0" fmla="*/ 0 h 612140"/>
                          <a:gd name="connsiteX1" fmla="*/ 3220948 w 3527018"/>
                          <a:gd name="connsiteY1" fmla="*/ 0 h 612140"/>
                          <a:gd name="connsiteX2" fmla="*/ 3527018 w 3527018"/>
                          <a:gd name="connsiteY2" fmla="*/ 306070 h 612140"/>
                          <a:gd name="connsiteX3" fmla="*/ 3220948 w 3527018"/>
                          <a:gd name="connsiteY3" fmla="*/ 612140 h 612140"/>
                          <a:gd name="connsiteX4" fmla="*/ 0 w 3527018"/>
                          <a:gd name="connsiteY4" fmla="*/ 612140 h 612140"/>
                          <a:gd name="connsiteX5" fmla="*/ 0 w 3527018"/>
                          <a:gd name="connsiteY5" fmla="*/ 0 h 6121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527018" h="612140">
                            <a:moveTo>
                              <a:pt x="0" y="0"/>
                            </a:moveTo>
                            <a:lnTo>
                              <a:pt x="3220948" y="0"/>
                            </a:lnTo>
                            <a:cubicBezTo>
                              <a:pt x="3389986" y="0"/>
                              <a:pt x="3527018" y="137032"/>
                              <a:pt x="3527018" y="306070"/>
                            </a:cubicBezTo>
                            <a:cubicBezTo>
                              <a:pt x="3527018" y="475108"/>
                              <a:pt x="3389986" y="612140"/>
                              <a:pt x="3220948" y="612140"/>
                            </a:cubicBezTo>
                            <a:lnTo>
                              <a:pt x="0" y="6121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1D7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0417C" w:rsidRPr="003C6C8D" w:rsidRDefault="00DC286F" w:rsidP="00074DD8">
                          <w:pPr>
                            <w:spacing w:before="0" w:after="0" w:line="240" w:lineRule="auto"/>
                            <w:ind w:left="227"/>
                            <w:jc w:val="both"/>
                            <w:rPr>
                              <w:rFonts w:ascii="Fira Sans SemiBold" w:hAnsi="Fira Sans SemiBold"/>
                            </w:rPr>
                          </w:pPr>
                          <w:r>
                            <w:rPr>
                              <w:rFonts w:ascii="Fira Sans SemiBold" w:hAnsi="Fira Sans SemiBold"/>
                            </w:rPr>
                            <w:t>BADANIA EKSPERYMENTALNE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8923F" id="Schemat blokowy: opóźnienie 6" o:spid="_x0000_s1027" style="position:absolute;margin-left:396.6pt;margin-top:15.65pt;width:162.25pt;height:28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7018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" adj="-11796480,,5400" path="m,l3220948,v169038,,306070,137032,306070,306070c3527018,475108,3389986,612140,3220948,612140l,612140,,xe" fillcolor="#001d77" stroked="f" strokeweight="1pt">
              <v:stroke joinstyle="miter"/>
              <v:formulas/>
              <v:path arrowok="t" o:connecttype="custom" o:connectlocs="0,0;1881761,0;2060575,178753;1881761,357505;0,357505;0,0" o:connectangles="0,0,0,0,0,0" textboxrect="0,0,3527018,612140"/>
              <v:textbox>
                <w:txbxContent>
                  <w:p w:rsidR="0060417C" w:rsidRPr="003C6C8D" w:rsidRDefault="00DC286F" w:rsidP="00074DD8">
                    <w:pPr>
                      <w:spacing w:before="0" w:after="0" w:line="240" w:lineRule="auto"/>
                      <w:ind w:left="227"/>
                      <w:jc w:val="both"/>
                      <w:rPr>
                        <w:rFonts w:ascii="Fira Sans SemiBold" w:hAnsi="Fira Sans SemiBold"/>
                      </w:rPr>
                    </w:pPr>
                    <w:r>
                      <w:rPr>
                        <w:rFonts w:ascii="Fira Sans SemiBold" w:hAnsi="Fira Sans SemiBold"/>
                      </w:rPr>
                      <w:t>BADANIA EKSPERYMENTALNE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84167FF" wp14:editId="103F6AC5">
              <wp:simplePos x="0" y="0"/>
              <wp:positionH relativeFrom="column">
                <wp:posOffset>5219065</wp:posOffset>
              </wp:positionH>
              <wp:positionV relativeFrom="paragraph">
                <wp:posOffset>511810</wp:posOffset>
              </wp:positionV>
              <wp:extent cx="1871980" cy="22905085"/>
              <wp:effectExtent l="0" t="0" r="0" b="0"/>
              <wp:wrapTight wrapText="bothSides">
                <wp:wrapPolygon edited="0">
                  <wp:start x="0" y="0"/>
                  <wp:lineTo x="0" y="21575"/>
                  <wp:lineTo x="21322" y="21575"/>
                  <wp:lineTo x="21322" y="0"/>
                  <wp:lineTo x="0" y="0"/>
                </wp:wrapPolygon>
              </wp:wrapTight>
              <wp:docPr id="18" name="Prostoką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980" cy="2290508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55F7C" id="Prostokąt 18" o:spid="_x0000_s1026" style="position:absolute;margin-left:410.95pt;margin-top:40.3pt;width:147.4pt;height:180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" fillcolor="#f2f2f2" stroked="f" strokeweight="1pt">
              <w10:wrap type="tight"/>
            </v:rect>
          </w:pict>
        </mc:Fallback>
      </mc:AlternateContent>
    </w:r>
    <w:r w:rsidR="00AD0283">
      <w:rPr>
        <w:noProof/>
        <w:lang w:eastAsia="pl-PL"/>
      </w:rPr>
      <w:drawing>
        <wp:inline distT="0" distB="0" distL="0" distR="0" wp14:anchorId="6BEFC5D4" wp14:editId="6885540B">
          <wp:extent cx="1152525" cy="719455"/>
          <wp:effectExtent l="0" t="0" r="952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417C" w:rsidRDefault="0060417C">
    <w:pPr>
      <w:pStyle w:val="Nagwek"/>
      <w:rPr>
        <w:noProof/>
        <w:lang w:eastAsia="pl-PL"/>
      </w:rPr>
    </w:pPr>
    <w:r w:rsidRPr="00F3717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DF617EA" wp14:editId="450057C1">
              <wp:simplePos x="0" y="0"/>
              <wp:positionH relativeFrom="column">
                <wp:posOffset>5219700</wp:posOffset>
              </wp:positionH>
              <wp:positionV relativeFrom="paragraph">
                <wp:posOffset>266065</wp:posOffset>
              </wp:positionV>
              <wp:extent cx="1432293" cy="336589"/>
              <wp:effectExtent l="0" t="0" r="0" b="635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293" cy="3365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17C" w:rsidRPr="00C97596" w:rsidRDefault="00DC286F" w:rsidP="00F37172">
                          <w:pPr>
                            <w:jc w:val="both"/>
                            <w:rPr>
                              <w:rFonts w:ascii="Fira Sans SemiBold" w:hAnsi="Fira Sans SemiBold"/>
                              <w:color w:val="001D77"/>
                            </w:rPr>
                          </w:pP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31</w:t>
                          </w:r>
                          <w:r w:rsidR="0060417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C12164">
                            <w:rPr>
                              <w:rFonts w:ascii="Fira Sans SemiBold" w:hAnsi="Fira Sans SemiBold"/>
                              <w:color w:val="001D77"/>
                            </w:rPr>
                            <w:t>0</w:t>
                          </w:r>
                          <w:r>
                            <w:rPr>
                              <w:rFonts w:ascii="Fira Sans SemiBold" w:hAnsi="Fira Sans SemiBold"/>
                              <w:color w:val="001D77"/>
                            </w:rPr>
                            <w:t>7</w:t>
                          </w:r>
                          <w:r w:rsidR="0060417C">
                            <w:rPr>
                              <w:rFonts w:ascii="Fira Sans SemiBold" w:hAnsi="Fira Sans SemiBold"/>
                              <w:color w:val="001D77"/>
                            </w:rPr>
                            <w:t>.</w:t>
                          </w:r>
                          <w:r w:rsidR="00041C85">
                            <w:rPr>
                              <w:rFonts w:ascii="Fira Sans SemiBold" w:hAnsi="Fira Sans SemiBold"/>
                              <w:color w:val="001D77"/>
                            </w:rPr>
                            <w:t>2020</w:t>
                          </w:r>
                          <w:r w:rsidR="0060417C" w:rsidRPr="00C97596">
                            <w:rPr>
                              <w:rFonts w:ascii="Fira Sans SemiBold" w:hAnsi="Fira Sans SemiBold"/>
                              <w:color w:val="001D77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617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1pt;margin-top:20.95pt;width:112.8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" filled="f" stroked="f">
              <v:textbox>
                <w:txbxContent>
                  <w:p w:rsidR="0060417C" w:rsidRPr="00C97596" w:rsidRDefault="00DC286F" w:rsidP="00F37172">
                    <w:pPr>
                      <w:jc w:val="both"/>
                      <w:rPr>
                        <w:rFonts w:ascii="Fira Sans SemiBold" w:hAnsi="Fira Sans SemiBold"/>
                        <w:color w:val="001D77"/>
                      </w:rPr>
                    </w:pPr>
                    <w:r>
                      <w:rPr>
                        <w:rFonts w:ascii="Fira Sans SemiBold" w:hAnsi="Fira Sans SemiBold"/>
                        <w:color w:val="001D77"/>
                      </w:rPr>
                      <w:t>31</w:t>
                    </w:r>
                    <w:r w:rsidR="0060417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C12164">
                      <w:rPr>
                        <w:rFonts w:ascii="Fira Sans SemiBold" w:hAnsi="Fira Sans SemiBold"/>
                        <w:color w:val="001D77"/>
                      </w:rPr>
                      <w:t>0</w:t>
                    </w:r>
                    <w:r>
                      <w:rPr>
                        <w:rFonts w:ascii="Fira Sans SemiBold" w:hAnsi="Fira Sans SemiBold"/>
                        <w:color w:val="001D77"/>
                      </w:rPr>
                      <w:t>7</w:t>
                    </w:r>
                    <w:r w:rsidR="0060417C">
                      <w:rPr>
                        <w:rFonts w:ascii="Fira Sans SemiBold" w:hAnsi="Fira Sans SemiBold"/>
                        <w:color w:val="001D77"/>
                      </w:rPr>
                      <w:t>.</w:t>
                    </w:r>
                    <w:r w:rsidR="00041C85">
                      <w:rPr>
                        <w:rFonts w:ascii="Fira Sans SemiBold" w:hAnsi="Fira Sans SemiBold"/>
                        <w:color w:val="001D77"/>
                      </w:rPr>
                      <w:t>2020</w:t>
                    </w:r>
                    <w:r w:rsidR="0060417C" w:rsidRPr="00C97596">
                      <w:rPr>
                        <w:rFonts w:ascii="Fira Sans SemiBold" w:hAnsi="Fira Sans SemiBold"/>
                        <w:color w:val="001D77"/>
                      </w:rPr>
                      <w:t xml:space="preserve"> r.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5" w:rsidRDefault="00607CC5">
    <w:pPr>
      <w:pStyle w:val="Nagwek"/>
    </w:pPr>
  </w:p>
  <w:p w:rsidR="00607CC5" w:rsidRDefault="00607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3pt;height:123pt;visibility:visible;mso-wrap-style:square" o:bullet="t">
        <v:imagedata r:id="rId1" o:title=""/>
      </v:shape>
    </w:pict>
  </w:numPicBullet>
  <w:numPicBullet w:numPicBulletId="1">
    <w:pict>
      <v:shape id="_x0000_i1035" type="#_x0000_t75" style="width:122.4pt;height:123pt;visibility:visible;mso-wrap-style:square" o:bullet="t">
        <v:imagedata r:id="rId2" o:title=""/>
      </v:shape>
    </w:pict>
  </w:numPicBullet>
  <w:abstractNum w:abstractNumId="0" w15:restartNumberingAfterBreak="0">
    <w:nsid w:val="10497FAF"/>
    <w:multiLevelType w:val="hybridMultilevel"/>
    <w:tmpl w:val="7BEC98E0"/>
    <w:lvl w:ilvl="0" w:tplc="74F2CA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ED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0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64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88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D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63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AB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CF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8042B6"/>
    <w:multiLevelType w:val="hybridMultilevel"/>
    <w:tmpl w:val="FA6C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30B"/>
    <w:multiLevelType w:val="hybridMultilevel"/>
    <w:tmpl w:val="125A64C4"/>
    <w:lvl w:ilvl="0" w:tplc="340AE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B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AE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4F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8D8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C7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27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74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8B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05137A"/>
    <w:multiLevelType w:val="hybridMultilevel"/>
    <w:tmpl w:val="C350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7487"/>
    <w:multiLevelType w:val="hybridMultilevel"/>
    <w:tmpl w:val="500A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F01"/>
    <w:multiLevelType w:val="hybridMultilevel"/>
    <w:tmpl w:val="7CE27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25866"/>
    <w:multiLevelType w:val="hybridMultilevel"/>
    <w:tmpl w:val="EE6E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B772D"/>
    <w:multiLevelType w:val="hybridMultilevel"/>
    <w:tmpl w:val="BB5C4E9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7B4C6A4B"/>
    <w:multiLevelType w:val="hybridMultilevel"/>
    <w:tmpl w:val="277A0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7"/>
    <w:rsid w:val="00001C5B"/>
    <w:rsid w:val="00003437"/>
    <w:rsid w:val="00004A35"/>
    <w:rsid w:val="00006B69"/>
    <w:rsid w:val="0000709F"/>
    <w:rsid w:val="000108B8"/>
    <w:rsid w:val="00012C83"/>
    <w:rsid w:val="000152F5"/>
    <w:rsid w:val="0001562C"/>
    <w:rsid w:val="00016484"/>
    <w:rsid w:val="0002111D"/>
    <w:rsid w:val="000228CD"/>
    <w:rsid w:val="00024023"/>
    <w:rsid w:val="0003050C"/>
    <w:rsid w:val="00030BDB"/>
    <w:rsid w:val="00041C85"/>
    <w:rsid w:val="0004582E"/>
    <w:rsid w:val="000461C3"/>
    <w:rsid w:val="000470AA"/>
    <w:rsid w:val="00051C77"/>
    <w:rsid w:val="00053A4F"/>
    <w:rsid w:val="000551E2"/>
    <w:rsid w:val="00057CA1"/>
    <w:rsid w:val="00064843"/>
    <w:rsid w:val="000662E2"/>
    <w:rsid w:val="00066883"/>
    <w:rsid w:val="00071896"/>
    <w:rsid w:val="00074DD8"/>
    <w:rsid w:val="000806F7"/>
    <w:rsid w:val="00082D1B"/>
    <w:rsid w:val="00082DBF"/>
    <w:rsid w:val="000952B6"/>
    <w:rsid w:val="000A02D4"/>
    <w:rsid w:val="000A3389"/>
    <w:rsid w:val="000B0727"/>
    <w:rsid w:val="000B346C"/>
    <w:rsid w:val="000C135D"/>
    <w:rsid w:val="000C1E09"/>
    <w:rsid w:val="000D1D43"/>
    <w:rsid w:val="000D225C"/>
    <w:rsid w:val="000D2A5C"/>
    <w:rsid w:val="000E0918"/>
    <w:rsid w:val="000E3E70"/>
    <w:rsid w:val="000E7516"/>
    <w:rsid w:val="001011C3"/>
    <w:rsid w:val="00102CE8"/>
    <w:rsid w:val="00105CCB"/>
    <w:rsid w:val="001060F6"/>
    <w:rsid w:val="00110D87"/>
    <w:rsid w:val="001128A5"/>
    <w:rsid w:val="00112F9F"/>
    <w:rsid w:val="00114DB9"/>
    <w:rsid w:val="0011553A"/>
    <w:rsid w:val="0011556A"/>
    <w:rsid w:val="00115EEA"/>
    <w:rsid w:val="00116087"/>
    <w:rsid w:val="00130296"/>
    <w:rsid w:val="00130FC8"/>
    <w:rsid w:val="00132F37"/>
    <w:rsid w:val="001423B6"/>
    <w:rsid w:val="00143EDA"/>
    <w:rsid w:val="00144522"/>
    <w:rsid w:val="001448A7"/>
    <w:rsid w:val="00146621"/>
    <w:rsid w:val="0014685F"/>
    <w:rsid w:val="001469EB"/>
    <w:rsid w:val="00150C96"/>
    <w:rsid w:val="00152273"/>
    <w:rsid w:val="00162325"/>
    <w:rsid w:val="0017227E"/>
    <w:rsid w:val="00184498"/>
    <w:rsid w:val="00190465"/>
    <w:rsid w:val="001951DA"/>
    <w:rsid w:val="001A4C98"/>
    <w:rsid w:val="001B4D2E"/>
    <w:rsid w:val="001C3269"/>
    <w:rsid w:val="001C5FD4"/>
    <w:rsid w:val="001D1DB4"/>
    <w:rsid w:val="001D425C"/>
    <w:rsid w:val="001D5F5D"/>
    <w:rsid w:val="00203C48"/>
    <w:rsid w:val="00210CE0"/>
    <w:rsid w:val="00216833"/>
    <w:rsid w:val="00224F47"/>
    <w:rsid w:val="00227E2C"/>
    <w:rsid w:val="002326E7"/>
    <w:rsid w:val="002349CB"/>
    <w:rsid w:val="002410B5"/>
    <w:rsid w:val="002464D6"/>
    <w:rsid w:val="00252EC4"/>
    <w:rsid w:val="002545F6"/>
    <w:rsid w:val="00255072"/>
    <w:rsid w:val="002574F9"/>
    <w:rsid w:val="0026139D"/>
    <w:rsid w:val="00263334"/>
    <w:rsid w:val="0026553A"/>
    <w:rsid w:val="00267308"/>
    <w:rsid w:val="00270D79"/>
    <w:rsid w:val="00276811"/>
    <w:rsid w:val="00276E6C"/>
    <w:rsid w:val="00281906"/>
    <w:rsid w:val="00282699"/>
    <w:rsid w:val="0028511B"/>
    <w:rsid w:val="0028515C"/>
    <w:rsid w:val="002926DF"/>
    <w:rsid w:val="00296697"/>
    <w:rsid w:val="002A11FE"/>
    <w:rsid w:val="002A2DF6"/>
    <w:rsid w:val="002B0472"/>
    <w:rsid w:val="002B5ADB"/>
    <w:rsid w:val="002B6B12"/>
    <w:rsid w:val="002C16C8"/>
    <w:rsid w:val="002C26A4"/>
    <w:rsid w:val="002C2DAF"/>
    <w:rsid w:val="002E0E8B"/>
    <w:rsid w:val="002E2917"/>
    <w:rsid w:val="002E5721"/>
    <w:rsid w:val="002E6140"/>
    <w:rsid w:val="002E6985"/>
    <w:rsid w:val="002E71B6"/>
    <w:rsid w:val="002F0AE5"/>
    <w:rsid w:val="002F4F6B"/>
    <w:rsid w:val="002F6AF9"/>
    <w:rsid w:val="002F77C8"/>
    <w:rsid w:val="00304F22"/>
    <w:rsid w:val="00306C7C"/>
    <w:rsid w:val="0031428D"/>
    <w:rsid w:val="00317303"/>
    <w:rsid w:val="00320371"/>
    <w:rsid w:val="00321755"/>
    <w:rsid w:val="003227F2"/>
    <w:rsid w:val="00322EDD"/>
    <w:rsid w:val="00325B6A"/>
    <w:rsid w:val="0033153F"/>
    <w:rsid w:val="00332320"/>
    <w:rsid w:val="00345AA4"/>
    <w:rsid w:val="00347D72"/>
    <w:rsid w:val="00347ED6"/>
    <w:rsid w:val="0035147E"/>
    <w:rsid w:val="00354539"/>
    <w:rsid w:val="003550E8"/>
    <w:rsid w:val="00355161"/>
    <w:rsid w:val="00357611"/>
    <w:rsid w:val="0036406F"/>
    <w:rsid w:val="00367237"/>
    <w:rsid w:val="003706B1"/>
    <w:rsid w:val="0037077F"/>
    <w:rsid w:val="00373882"/>
    <w:rsid w:val="00377B9B"/>
    <w:rsid w:val="003843DB"/>
    <w:rsid w:val="0039179D"/>
    <w:rsid w:val="00393118"/>
    <w:rsid w:val="00393761"/>
    <w:rsid w:val="0039434D"/>
    <w:rsid w:val="00397D18"/>
    <w:rsid w:val="003A1B36"/>
    <w:rsid w:val="003B1454"/>
    <w:rsid w:val="003C1197"/>
    <w:rsid w:val="003C5374"/>
    <w:rsid w:val="003C59E0"/>
    <w:rsid w:val="003C6C8D"/>
    <w:rsid w:val="003D4F95"/>
    <w:rsid w:val="003D5F42"/>
    <w:rsid w:val="003D60A9"/>
    <w:rsid w:val="003E2510"/>
    <w:rsid w:val="003F1D40"/>
    <w:rsid w:val="003F4C97"/>
    <w:rsid w:val="003F73BA"/>
    <w:rsid w:val="003F7FE6"/>
    <w:rsid w:val="00400193"/>
    <w:rsid w:val="00402E8E"/>
    <w:rsid w:val="00405100"/>
    <w:rsid w:val="00407283"/>
    <w:rsid w:val="004207ED"/>
    <w:rsid w:val="004212E7"/>
    <w:rsid w:val="0042446D"/>
    <w:rsid w:val="0042589A"/>
    <w:rsid w:val="00427BF8"/>
    <w:rsid w:val="00431C02"/>
    <w:rsid w:val="004320E1"/>
    <w:rsid w:val="00433B63"/>
    <w:rsid w:val="004368B9"/>
    <w:rsid w:val="00437395"/>
    <w:rsid w:val="004405C5"/>
    <w:rsid w:val="00445047"/>
    <w:rsid w:val="00450257"/>
    <w:rsid w:val="00451F6C"/>
    <w:rsid w:val="00452C5F"/>
    <w:rsid w:val="00456C72"/>
    <w:rsid w:val="00457D15"/>
    <w:rsid w:val="00463E39"/>
    <w:rsid w:val="004657FC"/>
    <w:rsid w:val="00465B10"/>
    <w:rsid w:val="00467F73"/>
    <w:rsid w:val="00471884"/>
    <w:rsid w:val="004733F6"/>
    <w:rsid w:val="0047483C"/>
    <w:rsid w:val="00474E69"/>
    <w:rsid w:val="00476295"/>
    <w:rsid w:val="00492ED5"/>
    <w:rsid w:val="00493700"/>
    <w:rsid w:val="0049621B"/>
    <w:rsid w:val="004A2A5D"/>
    <w:rsid w:val="004B1B19"/>
    <w:rsid w:val="004B53B3"/>
    <w:rsid w:val="004C1895"/>
    <w:rsid w:val="004C6693"/>
    <w:rsid w:val="004C6D40"/>
    <w:rsid w:val="004D2EDB"/>
    <w:rsid w:val="004E259C"/>
    <w:rsid w:val="004E2D53"/>
    <w:rsid w:val="004E4F26"/>
    <w:rsid w:val="004E5830"/>
    <w:rsid w:val="004F0684"/>
    <w:rsid w:val="004F0C3C"/>
    <w:rsid w:val="004F63FC"/>
    <w:rsid w:val="00500519"/>
    <w:rsid w:val="005023F6"/>
    <w:rsid w:val="0050485B"/>
    <w:rsid w:val="00505A92"/>
    <w:rsid w:val="005117A5"/>
    <w:rsid w:val="00513F49"/>
    <w:rsid w:val="0051529D"/>
    <w:rsid w:val="005170DF"/>
    <w:rsid w:val="00517E3C"/>
    <w:rsid w:val="005203F1"/>
    <w:rsid w:val="00521BC3"/>
    <w:rsid w:val="00533632"/>
    <w:rsid w:val="00541BC8"/>
    <w:rsid w:val="00541D6E"/>
    <w:rsid w:val="0054251F"/>
    <w:rsid w:val="005467EF"/>
    <w:rsid w:val="00550618"/>
    <w:rsid w:val="005520D8"/>
    <w:rsid w:val="00556CF1"/>
    <w:rsid w:val="00557826"/>
    <w:rsid w:val="00562D77"/>
    <w:rsid w:val="005762A7"/>
    <w:rsid w:val="005816AD"/>
    <w:rsid w:val="00581FCB"/>
    <w:rsid w:val="00591011"/>
    <w:rsid w:val="005916D7"/>
    <w:rsid w:val="00595966"/>
    <w:rsid w:val="005A555F"/>
    <w:rsid w:val="005A698C"/>
    <w:rsid w:val="005C08FA"/>
    <w:rsid w:val="005E06BD"/>
    <w:rsid w:val="005E0799"/>
    <w:rsid w:val="005E27B1"/>
    <w:rsid w:val="005F0139"/>
    <w:rsid w:val="005F5A80"/>
    <w:rsid w:val="00602497"/>
    <w:rsid w:val="0060417C"/>
    <w:rsid w:val="006044FF"/>
    <w:rsid w:val="00607CC5"/>
    <w:rsid w:val="006239C1"/>
    <w:rsid w:val="00626297"/>
    <w:rsid w:val="00627EC7"/>
    <w:rsid w:val="00630A7D"/>
    <w:rsid w:val="00633014"/>
    <w:rsid w:val="0063437B"/>
    <w:rsid w:val="0064184F"/>
    <w:rsid w:val="00642914"/>
    <w:rsid w:val="006436AD"/>
    <w:rsid w:val="00647A0D"/>
    <w:rsid w:val="00655F51"/>
    <w:rsid w:val="006673CA"/>
    <w:rsid w:val="00673C26"/>
    <w:rsid w:val="006808FF"/>
    <w:rsid w:val="006812AF"/>
    <w:rsid w:val="0068327D"/>
    <w:rsid w:val="00694AF0"/>
    <w:rsid w:val="006A29DC"/>
    <w:rsid w:val="006B0E9E"/>
    <w:rsid w:val="006B5AE4"/>
    <w:rsid w:val="006D4054"/>
    <w:rsid w:val="006D6DE0"/>
    <w:rsid w:val="006E02EC"/>
    <w:rsid w:val="006E4163"/>
    <w:rsid w:val="006F6834"/>
    <w:rsid w:val="00713723"/>
    <w:rsid w:val="00716E3B"/>
    <w:rsid w:val="007211B1"/>
    <w:rsid w:val="00727819"/>
    <w:rsid w:val="00731E84"/>
    <w:rsid w:val="00733446"/>
    <w:rsid w:val="00746187"/>
    <w:rsid w:val="0074669E"/>
    <w:rsid w:val="00754059"/>
    <w:rsid w:val="00757019"/>
    <w:rsid w:val="0076254F"/>
    <w:rsid w:val="00763A36"/>
    <w:rsid w:val="00773012"/>
    <w:rsid w:val="00774CD2"/>
    <w:rsid w:val="007801F5"/>
    <w:rsid w:val="00780EB5"/>
    <w:rsid w:val="00783CA4"/>
    <w:rsid w:val="007842FB"/>
    <w:rsid w:val="007858B7"/>
    <w:rsid w:val="00786124"/>
    <w:rsid w:val="00786F1B"/>
    <w:rsid w:val="007909A1"/>
    <w:rsid w:val="0079514B"/>
    <w:rsid w:val="007A2DC1"/>
    <w:rsid w:val="007A6FF9"/>
    <w:rsid w:val="007C083C"/>
    <w:rsid w:val="007C1A68"/>
    <w:rsid w:val="007D3319"/>
    <w:rsid w:val="007D335D"/>
    <w:rsid w:val="007E0FD1"/>
    <w:rsid w:val="007E3314"/>
    <w:rsid w:val="007E4B03"/>
    <w:rsid w:val="007F324B"/>
    <w:rsid w:val="00801EA6"/>
    <w:rsid w:val="008027B9"/>
    <w:rsid w:val="0080553C"/>
    <w:rsid w:val="00805B46"/>
    <w:rsid w:val="008074AB"/>
    <w:rsid w:val="008125CB"/>
    <w:rsid w:val="00816CE1"/>
    <w:rsid w:val="00825D91"/>
    <w:rsid w:val="00825DC2"/>
    <w:rsid w:val="00832C70"/>
    <w:rsid w:val="00834AD3"/>
    <w:rsid w:val="0083732D"/>
    <w:rsid w:val="00843795"/>
    <w:rsid w:val="00847F0F"/>
    <w:rsid w:val="00847FEF"/>
    <w:rsid w:val="00852448"/>
    <w:rsid w:val="008529A9"/>
    <w:rsid w:val="008646EA"/>
    <w:rsid w:val="0088231B"/>
    <w:rsid w:val="0088258A"/>
    <w:rsid w:val="00883536"/>
    <w:rsid w:val="00886332"/>
    <w:rsid w:val="00886BA8"/>
    <w:rsid w:val="00891D75"/>
    <w:rsid w:val="00891E4F"/>
    <w:rsid w:val="008A26D9"/>
    <w:rsid w:val="008A5755"/>
    <w:rsid w:val="008A7C50"/>
    <w:rsid w:val="008B4AF0"/>
    <w:rsid w:val="008B783B"/>
    <w:rsid w:val="008B7B14"/>
    <w:rsid w:val="008C0C29"/>
    <w:rsid w:val="008D0B01"/>
    <w:rsid w:val="008E201D"/>
    <w:rsid w:val="008E68C4"/>
    <w:rsid w:val="008F3638"/>
    <w:rsid w:val="008F6F31"/>
    <w:rsid w:val="008F74DF"/>
    <w:rsid w:val="009026D6"/>
    <w:rsid w:val="00911D81"/>
    <w:rsid w:val="009127BA"/>
    <w:rsid w:val="009149F7"/>
    <w:rsid w:val="00916383"/>
    <w:rsid w:val="00916F85"/>
    <w:rsid w:val="009227A6"/>
    <w:rsid w:val="00926AD3"/>
    <w:rsid w:val="009325D0"/>
    <w:rsid w:val="00933EC1"/>
    <w:rsid w:val="00950FBF"/>
    <w:rsid w:val="009530DB"/>
    <w:rsid w:val="00953676"/>
    <w:rsid w:val="00960A2E"/>
    <w:rsid w:val="0096359C"/>
    <w:rsid w:val="009705EE"/>
    <w:rsid w:val="00977927"/>
    <w:rsid w:val="0098003E"/>
    <w:rsid w:val="0098135C"/>
    <w:rsid w:val="0098156A"/>
    <w:rsid w:val="00982C98"/>
    <w:rsid w:val="00984214"/>
    <w:rsid w:val="00985418"/>
    <w:rsid w:val="00991BAC"/>
    <w:rsid w:val="00996BA9"/>
    <w:rsid w:val="009A6EA0"/>
    <w:rsid w:val="009A78C8"/>
    <w:rsid w:val="009B2CBB"/>
    <w:rsid w:val="009B5887"/>
    <w:rsid w:val="009B60BC"/>
    <w:rsid w:val="009B78E9"/>
    <w:rsid w:val="009B7CDE"/>
    <w:rsid w:val="009C1335"/>
    <w:rsid w:val="009C1AB2"/>
    <w:rsid w:val="009C4254"/>
    <w:rsid w:val="009C7251"/>
    <w:rsid w:val="009D3775"/>
    <w:rsid w:val="009D483C"/>
    <w:rsid w:val="009D4A67"/>
    <w:rsid w:val="009E0386"/>
    <w:rsid w:val="009E099B"/>
    <w:rsid w:val="009E2E91"/>
    <w:rsid w:val="009E6957"/>
    <w:rsid w:val="00A07C70"/>
    <w:rsid w:val="00A11EEB"/>
    <w:rsid w:val="00A139F5"/>
    <w:rsid w:val="00A30061"/>
    <w:rsid w:val="00A33B47"/>
    <w:rsid w:val="00A365F4"/>
    <w:rsid w:val="00A37612"/>
    <w:rsid w:val="00A37806"/>
    <w:rsid w:val="00A47D80"/>
    <w:rsid w:val="00A53132"/>
    <w:rsid w:val="00A54768"/>
    <w:rsid w:val="00A563F2"/>
    <w:rsid w:val="00A566E8"/>
    <w:rsid w:val="00A649C0"/>
    <w:rsid w:val="00A71A77"/>
    <w:rsid w:val="00A76BF3"/>
    <w:rsid w:val="00A77663"/>
    <w:rsid w:val="00A810F9"/>
    <w:rsid w:val="00A84088"/>
    <w:rsid w:val="00A84503"/>
    <w:rsid w:val="00A86ECC"/>
    <w:rsid w:val="00A86FCC"/>
    <w:rsid w:val="00A9655D"/>
    <w:rsid w:val="00AA710D"/>
    <w:rsid w:val="00AB1614"/>
    <w:rsid w:val="00AB3F4D"/>
    <w:rsid w:val="00AB4A64"/>
    <w:rsid w:val="00AB5DCE"/>
    <w:rsid w:val="00AB65FB"/>
    <w:rsid w:val="00AB6D25"/>
    <w:rsid w:val="00AC0A79"/>
    <w:rsid w:val="00AC0BBE"/>
    <w:rsid w:val="00AC34DB"/>
    <w:rsid w:val="00AC49EF"/>
    <w:rsid w:val="00AC5547"/>
    <w:rsid w:val="00AD0283"/>
    <w:rsid w:val="00AD177C"/>
    <w:rsid w:val="00AD20F4"/>
    <w:rsid w:val="00AD6F39"/>
    <w:rsid w:val="00AE2D4B"/>
    <w:rsid w:val="00AE4F99"/>
    <w:rsid w:val="00AE6B96"/>
    <w:rsid w:val="00AF0AF4"/>
    <w:rsid w:val="00B00A24"/>
    <w:rsid w:val="00B035D0"/>
    <w:rsid w:val="00B14952"/>
    <w:rsid w:val="00B2460B"/>
    <w:rsid w:val="00B30FFD"/>
    <w:rsid w:val="00B3119B"/>
    <w:rsid w:val="00B31E5A"/>
    <w:rsid w:val="00B3654F"/>
    <w:rsid w:val="00B36F23"/>
    <w:rsid w:val="00B37CBD"/>
    <w:rsid w:val="00B530EB"/>
    <w:rsid w:val="00B54FF9"/>
    <w:rsid w:val="00B57AD4"/>
    <w:rsid w:val="00B60893"/>
    <w:rsid w:val="00B63949"/>
    <w:rsid w:val="00B653AB"/>
    <w:rsid w:val="00B65F9E"/>
    <w:rsid w:val="00B66B19"/>
    <w:rsid w:val="00B70A7D"/>
    <w:rsid w:val="00B74F5D"/>
    <w:rsid w:val="00B76562"/>
    <w:rsid w:val="00B81676"/>
    <w:rsid w:val="00B84C1B"/>
    <w:rsid w:val="00B90F56"/>
    <w:rsid w:val="00B914E9"/>
    <w:rsid w:val="00B93E4E"/>
    <w:rsid w:val="00B956EE"/>
    <w:rsid w:val="00BA2BA1"/>
    <w:rsid w:val="00BA4C34"/>
    <w:rsid w:val="00BB4F09"/>
    <w:rsid w:val="00BB6AB7"/>
    <w:rsid w:val="00BC0743"/>
    <w:rsid w:val="00BC0FCA"/>
    <w:rsid w:val="00BC667C"/>
    <w:rsid w:val="00BC78EF"/>
    <w:rsid w:val="00BD2433"/>
    <w:rsid w:val="00BD4E33"/>
    <w:rsid w:val="00BD692C"/>
    <w:rsid w:val="00BD75EB"/>
    <w:rsid w:val="00BE61B6"/>
    <w:rsid w:val="00BE6452"/>
    <w:rsid w:val="00BE78E6"/>
    <w:rsid w:val="00BF0462"/>
    <w:rsid w:val="00BF1479"/>
    <w:rsid w:val="00BF46FA"/>
    <w:rsid w:val="00C030DE"/>
    <w:rsid w:val="00C03520"/>
    <w:rsid w:val="00C061E3"/>
    <w:rsid w:val="00C06A10"/>
    <w:rsid w:val="00C12164"/>
    <w:rsid w:val="00C141D6"/>
    <w:rsid w:val="00C22105"/>
    <w:rsid w:val="00C2229E"/>
    <w:rsid w:val="00C22E78"/>
    <w:rsid w:val="00C244B6"/>
    <w:rsid w:val="00C33A88"/>
    <w:rsid w:val="00C3702F"/>
    <w:rsid w:val="00C41E7E"/>
    <w:rsid w:val="00C4207B"/>
    <w:rsid w:val="00C442E5"/>
    <w:rsid w:val="00C476E8"/>
    <w:rsid w:val="00C51D20"/>
    <w:rsid w:val="00C64215"/>
    <w:rsid w:val="00C64A37"/>
    <w:rsid w:val="00C66B19"/>
    <w:rsid w:val="00C7158E"/>
    <w:rsid w:val="00C71F79"/>
    <w:rsid w:val="00C7228E"/>
    <w:rsid w:val="00C7250B"/>
    <w:rsid w:val="00C7346B"/>
    <w:rsid w:val="00C77C0E"/>
    <w:rsid w:val="00C821E6"/>
    <w:rsid w:val="00C837AA"/>
    <w:rsid w:val="00C8517F"/>
    <w:rsid w:val="00C91687"/>
    <w:rsid w:val="00C924A8"/>
    <w:rsid w:val="00C945FE"/>
    <w:rsid w:val="00C94943"/>
    <w:rsid w:val="00C96FAA"/>
    <w:rsid w:val="00C97A04"/>
    <w:rsid w:val="00CA107B"/>
    <w:rsid w:val="00CA484D"/>
    <w:rsid w:val="00CA5D5F"/>
    <w:rsid w:val="00CC189A"/>
    <w:rsid w:val="00CC26E8"/>
    <w:rsid w:val="00CC69E5"/>
    <w:rsid w:val="00CC739E"/>
    <w:rsid w:val="00CD58B7"/>
    <w:rsid w:val="00CE3A2F"/>
    <w:rsid w:val="00CF4099"/>
    <w:rsid w:val="00CF4A3A"/>
    <w:rsid w:val="00D00796"/>
    <w:rsid w:val="00D027E2"/>
    <w:rsid w:val="00D12864"/>
    <w:rsid w:val="00D14972"/>
    <w:rsid w:val="00D24159"/>
    <w:rsid w:val="00D261A2"/>
    <w:rsid w:val="00D3785C"/>
    <w:rsid w:val="00D45622"/>
    <w:rsid w:val="00D4626A"/>
    <w:rsid w:val="00D56A8D"/>
    <w:rsid w:val="00D616D2"/>
    <w:rsid w:val="00D63B5F"/>
    <w:rsid w:val="00D64847"/>
    <w:rsid w:val="00D67092"/>
    <w:rsid w:val="00D70EF7"/>
    <w:rsid w:val="00D7190B"/>
    <w:rsid w:val="00D72AC5"/>
    <w:rsid w:val="00D81AF4"/>
    <w:rsid w:val="00D8397C"/>
    <w:rsid w:val="00D94EED"/>
    <w:rsid w:val="00D9566E"/>
    <w:rsid w:val="00D96026"/>
    <w:rsid w:val="00DA6CC3"/>
    <w:rsid w:val="00DA7C1C"/>
    <w:rsid w:val="00DB147A"/>
    <w:rsid w:val="00DB1B7A"/>
    <w:rsid w:val="00DB562E"/>
    <w:rsid w:val="00DB6B49"/>
    <w:rsid w:val="00DC000B"/>
    <w:rsid w:val="00DC286F"/>
    <w:rsid w:val="00DC343D"/>
    <w:rsid w:val="00DC6708"/>
    <w:rsid w:val="00DD11EE"/>
    <w:rsid w:val="00DD637B"/>
    <w:rsid w:val="00DD65D9"/>
    <w:rsid w:val="00DE0516"/>
    <w:rsid w:val="00DE1247"/>
    <w:rsid w:val="00DE308B"/>
    <w:rsid w:val="00DE4059"/>
    <w:rsid w:val="00DE6BEA"/>
    <w:rsid w:val="00DF38D7"/>
    <w:rsid w:val="00DF5449"/>
    <w:rsid w:val="00E01436"/>
    <w:rsid w:val="00E045BD"/>
    <w:rsid w:val="00E119EC"/>
    <w:rsid w:val="00E1295E"/>
    <w:rsid w:val="00E17B77"/>
    <w:rsid w:val="00E17D07"/>
    <w:rsid w:val="00E23337"/>
    <w:rsid w:val="00E259EA"/>
    <w:rsid w:val="00E269A8"/>
    <w:rsid w:val="00E32061"/>
    <w:rsid w:val="00E42C99"/>
    <w:rsid w:val="00E42FF9"/>
    <w:rsid w:val="00E463EE"/>
    <w:rsid w:val="00E46A81"/>
    <w:rsid w:val="00E4714C"/>
    <w:rsid w:val="00E51AEB"/>
    <w:rsid w:val="00E522A7"/>
    <w:rsid w:val="00E54452"/>
    <w:rsid w:val="00E63CA3"/>
    <w:rsid w:val="00E664C5"/>
    <w:rsid w:val="00E671A2"/>
    <w:rsid w:val="00E708B1"/>
    <w:rsid w:val="00E71334"/>
    <w:rsid w:val="00E76D26"/>
    <w:rsid w:val="00EA3746"/>
    <w:rsid w:val="00EB0922"/>
    <w:rsid w:val="00EB0A80"/>
    <w:rsid w:val="00EB1390"/>
    <w:rsid w:val="00EB2C71"/>
    <w:rsid w:val="00EB4340"/>
    <w:rsid w:val="00EB556D"/>
    <w:rsid w:val="00EB5A7D"/>
    <w:rsid w:val="00EC5227"/>
    <w:rsid w:val="00ED55C0"/>
    <w:rsid w:val="00ED5A2D"/>
    <w:rsid w:val="00ED682B"/>
    <w:rsid w:val="00EE353C"/>
    <w:rsid w:val="00EE41D5"/>
    <w:rsid w:val="00F037A4"/>
    <w:rsid w:val="00F04272"/>
    <w:rsid w:val="00F10E31"/>
    <w:rsid w:val="00F117A1"/>
    <w:rsid w:val="00F11FA7"/>
    <w:rsid w:val="00F1301B"/>
    <w:rsid w:val="00F27C8F"/>
    <w:rsid w:val="00F32749"/>
    <w:rsid w:val="00F33A7A"/>
    <w:rsid w:val="00F37172"/>
    <w:rsid w:val="00F4477E"/>
    <w:rsid w:val="00F55B24"/>
    <w:rsid w:val="00F66AA2"/>
    <w:rsid w:val="00F67D8F"/>
    <w:rsid w:val="00F73AAD"/>
    <w:rsid w:val="00F77F85"/>
    <w:rsid w:val="00F802BE"/>
    <w:rsid w:val="00F86024"/>
    <w:rsid w:val="00F8611A"/>
    <w:rsid w:val="00FA10F8"/>
    <w:rsid w:val="00FA5128"/>
    <w:rsid w:val="00FA57F0"/>
    <w:rsid w:val="00FB23ED"/>
    <w:rsid w:val="00FB3C78"/>
    <w:rsid w:val="00FB42D4"/>
    <w:rsid w:val="00FB5108"/>
    <w:rsid w:val="00FB5441"/>
    <w:rsid w:val="00FB5906"/>
    <w:rsid w:val="00FB762F"/>
    <w:rsid w:val="00FC1F1B"/>
    <w:rsid w:val="00FC2AED"/>
    <w:rsid w:val="00FC67ED"/>
    <w:rsid w:val="00FD1823"/>
    <w:rsid w:val="00FD4E22"/>
    <w:rsid w:val="00FD4F2D"/>
    <w:rsid w:val="00FD5EA7"/>
    <w:rsid w:val="00FD6433"/>
    <w:rsid w:val="00FE3CBC"/>
    <w:rsid w:val="00FE4B41"/>
    <w:rsid w:val="00FE71A2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3C9AAA-BD9E-4889-8D2C-517DF6F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informacji"/>
    <w:qFormat/>
    <w:rsid w:val="00074DD8"/>
    <w:pPr>
      <w:spacing w:before="120" w:after="120" w:line="240" w:lineRule="exact"/>
    </w:pPr>
    <w:rPr>
      <w:rFonts w:ascii="Fira Sans" w:hAnsi="Fira Sans"/>
      <w:sz w:val="19"/>
    </w:rPr>
  </w:style>
  <w:style w:type="paragraph" w:styleId="Nagwek1">
    <w:name w:val="heading 1"/>
    <w:aliases w:val="tytuł podrozdziału"/>
    <w:basedOn w:val="Normalny"/>
    <w:next w:val="Normalny"/>
    <w:link w:val="Nagwek1Znak"/>
    <w:qFormat/>
    <w:rsid w:val="00633014"/>
    <w:pPr>
      <w:keepNext/>
      <w:spacing w:before="240" w:line="240" w:lineRule="auto"/>
      <w:outlineLvl w:val="0"/>
    </w:pPr>
    <w:rPr>
      <w:rFonts w:ascii="Fira Sans SemiBold" w:eastAsia="Times New Roman" w:hAnsi="Fira Sans SemiBold" w:cs="Times New Roman"/>
      <w:bCs/>
      <w:color w:val="001D77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7A2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7A2D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373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2D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A2D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2D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podrozdziału Znak"/>
    <w:basedOn w:val="Domylnaczcionkaakapitu"/>
    <w:link w:val="Nagwek1"/>
    <w:rsid w:val="00633014"/>
    <w:rPr>
      <w:rFonts w:ascii="Fira Sans SemiBold" w:eastAsia="Times New Roman" w:hAnsi="Fira Sans SemiBold" w:cs="Times New Roman"/>
      <w:bCs/>
      <w:color w:val="001D77"/>
      <w:sz w:val="19"/>
      <w:szCs w:val="24"/>
      <w:lang w:eastAsia="pl-PL"/>
    </w:rPr>
  </w:style>
  <w:style w:type="paragraph" w:customStyle="1" w:styleId="LID">
    <w:name w:val="LID"/>
    <w:basedOn w:val="Normalny"/>
    <w:qFormat/>
    <w:rsid w:val="00633014"/>
    <w:rPr>
      <w:b/>
      <w:noProof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A2D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2D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rsid w:val="007A2D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2D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siatki1jasnaakcent1">
    <w:name w:val="Grid Table 1 Light Accent 1"/>
    <w:basedOn w:val="Standardowy"/>
    <w:uiPriority w:val="46"/>
    <w:rsid w:val="007A2D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7A2D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semiHidden/>
    <w:rsid w:val="008F36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73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5203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E2"/>
  </w:style>
  <w:style w:type="paragraph" w:styleId="Stopka">
    <w:name w:val="footer"/>
    <w:basedOn w:val="Normalny"/>
    <w:link w:val="StopkaZnak"/>
    <w:uiPriority w:val="99"/>
    <w:unhideWhenUsed/>
    <w:rsid w:val="0006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E2"/>
  </w:style>
  <w:style w:type="paragraph" w:styleId="Akapitzlist">
    <w:name w:val="List Paragraph"/>
    <w:basedOn w:val="Normalny"/>
    <w:uiPriority w:val="34"/>
    <w:qFormat/>
    <w:rsid w:val="00933E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A7"/>
    <w:rPr>
      <w:vertAlign w:val="superscript"/>
    </w:rPr>
  </w:style>
  <w:style w:type="paragraph" w:customStyle="1" w:styleId="tytuinformacji">
    <w:name w:val="tytuł informacji"/>
    <w:basedOn w:val="Normalny"/>
    <w:rsid w:val="00633014"/>
    <w:pPr>
      <w:spacing w:after="0" w:line="240" w:lineRule="auto"/>
    </w:pPr>
    <w:rPr>
      <w:rFonts w:ascii="Fira Sans Extra Condensed SemiB" w:hAnsi="Fira Sans Extra Condensed SemiB"/>
      <w:color w:val="000000" w:themeColor="text1"/>
      <w:sz w:val="40"/>
      <w:szCs w:val="26"/>
    </w:rPr>
  </w:style>
  <w:style w:type="paragraph" w:customStyle="1" w:styleId="tekstzboku">
    <w:name w:val="tekst z boku"/>
    <w:basedOn w:val="Normalny"/>
    <w:qFormat/>
    <w:rsid w:val="008F74DF"/>
    <w:pPr>
      <w:spacing w:after="0"/>
    </w:pPr>
    <w:rPr>
      <w:rFonts w:eastAsia="Times New Roman" w:cs="Times New Roman"/>
      <w:bCs/>
      <w:color w:val="001D77"/>
      <w:sz w:val="18"/>
      <w:szCs w:val="18"/>
      <w:lang w:eastAsia="pl-PL"/>
    </w:rPr>
  </w:style>
  <w:style w:type="paragraph" w:customStyle="1" w:styleId="tytuwykresu">
    <w:name w:val="tytuł wykresu"/>
    <w:basedOn w:val="Normalny"/>
    <w:qFormat/>
    <w:rsid w:val="00E664C5"/>
    <w:rPr>
      <w:b/>
      <w:spacing w:val="-2"/>
      <w:sz w:val="18"/>
    </w:rPr>
  </w:style>
  <w:style w:type="paragraph" w:customStyle="1" w:styleId="tekstnaniebieskimtle">
    <w:name w:val="tekst na niebieskim tle"/>
    <w:basedOn w:val="Normalny"/>
    <w:qFormat/>
    <w:rsid w:val="00074DD8"/>
    <w:pPr>
      <w:spacing w:before="0"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17C"/>
    <w:rPr>
      <w:rFonts w:ascii="Fira Sans" w:hAnsi="Fir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17C"/>
    <w:rPr>
      <w:rFonts w:ascii="Fira Sans" w:hAnsi="Fira Sans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15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hyperlink" Target="http://stat.gov.pl/metainformacje/slownik-pojec/pojecia-stosowane-w-statystyce-publicznej/3180,pojeci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waid.stat.gov.pl/SitePagesDBW/HandelZagraniczny.aspx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hyperlink" Target="http://swaid.stat.gov.pl/SitePagesDBW/HandelZagraniczn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bslugaprasowa@stat.gov.pl" TargetMode="External"/><Relationship Id="rId20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stat.gov.pl/obszary-tematyczne/roczniki-statystyczne/roczniki-statystyczne/rocznik-statystyczny-handlu-zagranicznego-2019,9,13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rzecznik@stat.gov.pl" TargetMode="External"/><Relationship Id="rId23" Type="http://schemas.openxmlformats.org/officeDocument/2006/relationships/hyperlink" Target="http://stat.gov.pl/metainformacje/slownik-pojec/pojecia-stosowane-w-statystyce-publicznej/3179,pojecie.html" TargetMode="Externa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.kazmierczak@stat.gov.pl" TargetMode="External"/><Relationship Id="rId22" Type="http://schemas.openxmlformats.org/officeDocument/2006/relationships/hyperlink" Target="http://stat.gov.pl/metainformacje/slownik-pojec/pojecia-stosowane-w-statystyce-publicznej/3180,pojecie.html" TargetMode="External"/><Relationship Id="rId27" Type="http://schemas.openxmlformats.org/officeDocument/2006/relationships/hyperlink" Target="http://stat.gov.pl/metainformacje/slownik-pojec/pojecia-stosowane-w-statystyce-publicznej/3179,pojecie.html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ira">
      <a:majorFont>
        <a:latin typeface="Fira Sans Medium"/>
        <a:ea typeface=""/>
        <a:cs typeface=""/>
      </a:majorFont>
      <a:minorFont>
        <a:latin typeface="Fira Sans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STAT\KAZMIERCZAKA</Osoba>
    <NazwaPliku xmlns="8C029B3F-2CC4-4A59-AF0D-A90575FA3373">Metodologia naliczenia międzynarodowego handlu usługami według cech przedsiębiorstwa (STEC).docx</NazwaPliku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1255-D137-4CF3-ACAB-5CF213221A00}"/>
</file>

<file path=customXml/itemProps2.xml><?xml version="1.0" encoding="utf-8"?>
<ds:datastoreItem xmlns:ds="http://schemas.openxmlformats.org/officeDocument/2006/customXml" ds:itemID="{F0CA8B5C-31D1-44D8-BAA2-D57C9058BECB}"/>
</file>

<file path=customXml/itemProps3.xml><?xml version="1.0" encoding="utf-8"?>
<ds:datastoreItem xmlns:ds="http://schemas.openxmlformats.org/officeDocument/2006/customXml" ds:itemID="{1362D70F-C252-4BDC-B621-17788DB90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2019-09-12T07:59:00Z</cp:lastPrinted>
  <dcterms:created xsi:type="dcterms:W3CDTF">2019-09-16T05:43:00Z</dcterms:created>
  <dcterms:modified xsi:type="dcterms:W3CDTF">2020-07-21T09:08:00Z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0x01010044DF1BA9951007438FCA488A6A01397F</vt:lpwstr>
  </property>
</Properties>
</file>