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323E6" w14:textId="77777777" w:rsidR="004D3B7C" w:rsidRPr="0055302E" w:rsidRDefault="004D3B7C" w:rsidP="004D3B7C">
      <w:pPr>
        <w:pStyle w:val="tytuinformacji"/>
        <w:rPr>
          <w:shd w:val="clear" w:color="auto" w:fill="FFFFFF"/>
        </w:rPr>
      </w:pPr>
      <w:r>
        <w:rPr>
          <w:shd w:val="clear" w:color="auto" w:fill="FFFFFF"/>
        </w:rPr>
        <w:t>Uprawnienia emerytalno</w:t>
      </w:r>
      <w:r w:rsidRPr="0055302E">
        <w:rPr>
          <w:shd w:val="clear" w:color="auto" w:fill="FFFFFF"/>
        </w:rPr>
        <w:t>-</w:t>
      </w:r>
      <w:r>
        <w:rPr>
          <w:shd w:val="clear" w:color="auto" w:fill="FFFFFF"/>
        </w:rPr>
        <w:t xml:space="preserve">rentowe </w:t>
      </w:r>
      <w:r>
        <w:rPr>
          <w:shd w:val="clear" w:color="auto" w:fill="FFFFFF"/>
        </w:rPr>
        <w:br/>
        <w:t xml:space="preserve">gospodarstw domowych nabyte </w:t>
      </w:r>
      <w:r>
        <w:rPr>
          <w:shd w:val="clear" w:color="auto" w:fill="FFFFFF"/>
        </w:rPr>
        <w:br/>
        <w:t xml:space="preserve">w ramach ubezpieczeń społecznych </w:t>
      </w:r>
      <w:r>
        <w:rPr>
          <w:shd w:val="clear" w:color="auto" w:fill="FFFFFF"/>
        </w:rPr>
        <w:br/>
        <w:t>według stanu na dzień 31 grudnia 2015 r.</w:t>
      </w:r>
    </w:p>
    <w:p w14:paraId="0E652565" w14:textId="77777777" w:rsidR="00393761" w:rsidRPr="0038292F" w:rsidRDefault="00393761" w:rsidP="00074DD8">
      <w:pPr>
        <w:pStyle w:val="tytuinformacji"/>
        <w:rPr>
          <w:sz w:val="32"/>
        </w:rPr>
      </w:pPr>
    </w:p>
    <w:p w14:paraId="2B2D889B" w14:textId="7053EDCA" w:rsidR="006F4D83" w:rsidRPr="00924A53" w:rsidRDefault="00003437" w:rsidP="00924A53">
      <w:pPr>
        <w:pStyle w:val="LID"/>
        <w:jc w:val="both"/>
      </w:pPr>
      <w:r w:rsidRPr="00074DD8">
        <mc:AlternateContent>
          <mc:Choice Requires="wps">
            <w:drawing>
              <wp:anchor distT="45720" distB="45720" distL="114300" distR="114300" simplePos="0" relativeHeight="251676672" behindDoc="0" locked="0" layoutInCell="1" allowOverlap="1" wp14:anchorId="14F06E7C" wp14:editId="2D0724E4">
                <wp:simplePos x="0" y="0"/>
                <wp:positionH relativeFrom="margin">
                  <wp:align>left</wp:align>
                </wp:positionH>
                <wp:positionV relativeFrom="paragraph">
                  <wp:posOffset>83427</wp:posOffset>
                </wp:positionV>
                <wp:extent cx="1828800" cy="1287780"/>
                <wp:effectExtent l="0" t="0" r="0" b="762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88111"/>
                        </a:xfrm>
                        <a:prstGeom prst="rect">
                          <a:avLst/>
                        </a:prstGeom>
                        <a:solidFill>
                          <a:srgbClr val="001D77"/>
                        </a:solidFill>
                        <a:ln w="9525">
                          <a:noFill/>
                          <a:miter lim="800000"/>
                          <a:headEnd/>
                          <a:tailEnd/>
                        </a:ln>
                      </wps:spPr>
                      <wps:txbx>
                        <w:txbxContent>
                          <w:p w14:paraId="61EE4443" w14:textId="77777777" w:rsidR="006F4D83" w:rsidRPr="003D1228" w:rsidRDefault="00AF0A5D" w:rsidP="006F4D83">
                            <w:pPr>
                              <w:spacing w:before="0" w:after="0" w:line="240" w:lineRule="auto"/>
                              <w:jc w:val="center"/>
                              <w:rPr>
                                <w:sz w:val="44"/>
                                <w:szCs w:val="44"/>
                              </w:rPr>
                            </w:pPr>
                            <w:r>
                              <w:rPr>
                                <w:noProof/>
                                <w:color w:val="001D77"/>
                                <w:lang w:eastAsia="pl-PL"/>
                              </w:rPr>
                              <w:t> </w:t>
                            </w:r>
                            <w:r w:rsidR="006F4D83" w:rsidRPr="003D1228">
                              <w:rPr>
                                <w:rFonts w:ascii="Fira Sans SemiBold" w:hAnsi="Fira Sans SemiBold"/>
                                <w:b/>
                                <w:color w:val="FFFFFF"/>
                                <w:sz w:val="44"/>
                                <w:szCs w:val="44"/>
                              </w:rPr>
                              <w:t>276 % PKB</w:t>
                            </w:r>
                          </w:p>
                          <w:p w14:paraId="76043660" w14:textId="2420BF5F" w:rsidR="00933EC1" w:rsidRPr="00074DD8" w:rsidRDefault="006F4D83" w:rsidP="00325FEE">
                            <w:pPr>
                              <w:pStyle w:val="tekstnaniebieskimtle"/>
                              <w:spacing w:line="240" w:lineRule="exact"/>
                              <w:jc w:val="center"/>
                              <w:rPr>
                                <w:color w:val="FFFFFF" w:themeColor="background1"/>
                                <w:sz w:val="18"/>
                                <w:szCs w:val="20"/>
                              </w:rPr>
                            </w:pPr>
                            <w:r w:rsidRPr="003D1228">
                              <w:rPr>
                                <w:color w:val="FFFFFF"/>
                                <w:spacing w:val="-10"/>
                                <w:sz w:val="18"/>
                                <w:szCs w:val="18"/>
                              </w:rPr>
                              <w:t xml:space="preserve">czyli </w:t>
                            </w:r>
                            <w:r w:rsidR="00325FEE">
                              <w:rPr>
                                <w:color w:val="FFFFFF"/>
                                <w:spacing w:val="-10"/>
                                <w:sz w:val="18"/>
                                <w:szCs w:val="18"/>
                              </w:rPr>
                              <w:t xml:space="preserve"> </w:t>
                            </w:r>
                            <w:r w:rsidRPr="003D1228">
                              <w:rPr>
                                <w:b/>
                                <w:color w:val="FFFFFF"/>
                                <w:spacing w:val="-10"/>
                                <w:sz w:val="18"/>
                                <w:szCs w:val="18"/>
                              </w:rPr>
                              <w:t>4 959 144  mln  zł</w:t>
                            </w:r>
                            <w:r>
                              <w:rPr>
                                <w:color w:val="FFFFFF"/>
                                <w:spacing w:val="-10"/>
                                <w:sz w:val="18"/>
                                <w:szCs w:val="18"/>
                              </w:rPr>
                              <w:t xml:space="preserve">  wyniosły na koniec 2015 roku </w:t>
                            </w:r>
                            <w:r w:rsidRPr="003D1228">
                              <w:rPr>
                                <w:color w:val="FFFFFF"/>
                                <w:spacing w:val="-10"/>
                                <w:sz w:val="18"/>
                                <w:szCs w:val="18"/>
                              </w:rPr>
                              <w:t xml:space="preserve">nabyte uprawnienia emerytalno-rentowe gospodarstw domowych w Polsce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06E7C" id="_x0000_t202" coordsize="21600,21600" o:spt="202" path="m,l,21600r21600,l21600,xe">
                <v:stroke joinstyle="miter"/>
                <v:path gradientshapeok="t" o:connecttype="rect"/>
              </v:shapetype>
              <v:shape id="Pole tekstowe 2" o:spid="_x0000_s1026" type="#_x0000_t202" style="position:absolute;left:0;text-align:left;margin-left:0;margin-top:6.55pt;width:2in;height:101.4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" fillcolor="#001d77" stroked="f">
                <v:textbox>
                  <w:txbxContent>
                    <w:p w14:paraId="61EE4443" w14:textId="77777777" w:rsidR="006F4D83" w:rsidRPr="003D1228" w:rsidRDefault="00AF0A5D" w:rsidP="006F4D83">
                      <w:pPr>
                        <w:spacing w:before="0" w:after="0" w:line="240" w:lineRule="auto"/>
                        <w:jc w:val="center"/>
                        <w:rPr>
                          <w:sz w:val="44"/>
                          <w:szCs w:val="44"/>
                        </w:rPr>
                      </w:pPr>
                      <w:r>
                        <w:rPr>
                          <w:noProof/>
                          <w:color w:val="001D77"/>
                          <w:lang w:eastAsia="pl-PL"/>
                        </w:rPr>
                        <w:t> </w:t>
                      </w:r>
                      <w:r w:rsidR="006F4D83" w:rsidRPr="003D1228">
                        <w:rPr>
                          <w:rFonts w:ascii="Fira Sans SemiBold" w:hAnsi="Fira Sans SemiBold"/>
                          <w:b/>
                          <w:color w:val="FFFFFF"/>
                          <w:sz w:val="44"/>
                          <w:szCs w:val="44"/>
                        </w:rPr>
                        <w:t>276 % PKB</w:t>
                      </w:r>
                    </w:p>
                    <w:p w14:paraId="76043660" w14:textId="2420BF5F" w:rsidR="00933EC1" w:rsidRPr="00074DD8" w:rsidRDefault="006F4D83" w:rsidP="00325FEE">
                      <w:pPr>
                        <w:pStyle w:val="tekstnaniebieskimtle"/>
                        <w:spacing w:line="240" w:lineRule="exact"/>
                        <w:jc w:val="center"/>
                        <w:rPr>
                          <w:color w:val="FFFFFF" w:themeColor="background1"/>
                          <w:sz w:val="18"/>
                          <w:szCs w:val="20"/>
                        </w:rPr>
                      </w:pPr>
                      <w:r w:rsidRPr="003D1228">
                        <w:rPr>
                          <w:color w:val="FFFFFF"/>
                          <w:spacing w:val="-10"/>
                          <w:sz w:val="18"/>
                          <w:szCs w:val="18"/>
                        </w:rPr>
                        <w:t xml:space="preserve">czyli </w:t>
                      </w:r>
                      <w:r w:rsidR="00325FEE">
                        <w:rPr>
                          <w:color w:val="FFFFFF"/>
                          <w:spacing w:val="-10"/>
                          <w:sz w:val="18"/>
                          <w:szCs w:val="18"/>
                        </w:rPr>
                        <w:t xml:space="preserve"> </w:t>
                      </w:r>
                      <w:r w:rsidRPr="003D1228">
                        <w:rPr>
                          <w:b/>
                          <w:color w:val="FFFFFF"/>
                          <w:spacing w:val="-10"/>
                          <w:sz w:val="18"/>
                          <w:szCs w:val="18"/>
                        </w:rPr>
                        <w:t>4 959 144  mln  zł</w:t>
                      </w:r>
                      <w:r>
                        <w:rPr>
                          <w:color w:val="FFFFFF"/>
                          <w:spacing w:val="-10"/>
                          <w:sz w:val="18"/>
                          <w:szCs w:val="18"/>
                        </w:rPr>
                        <w:t xml:space="preserve">  wyniosły na koniec 2015 roku </w:t>
                      </w:r>
                      <w:r w:rsidRPr="003D1228">
                        <w:rPr>
                          <w:color w:val="FFFFFF"/>
                          <w:spacing w:val="-10"/>
                          <w:sz w:val="18"/>
                          <w:szCs w:val="18"/>
                        </w:rPr>
                        <w:t xml:space="preserve">nabyte uprawnienia emerytalno-rentowe gospodarstw domowych w Polsce </w:t>
                      </w:r>
                    </w:p>
                  </w:txbxContent>
                </v:textbox>
                <w10:wrap type="square" anchorx="margin"/>
              </v:shape>
            </w:pict>
          </mc:Fallback>
        </mc:AlternateContent>
      </w:r>
      <w:r w:rsidR="006F4D83" w:rsidRPr="00ED04B4">
        <w:rPr>
          <w:spacing w:val="-10"/>
        </w:rPr>
        <w:t>Główny Urząd Stat</w:t>
      </w:r>
      <w:r w:rsidR="00DC2623">
        <w:rPr>
          <w:spacing w:val="-10"/>
        </w:rPr>
        <w:t>y</w:t>
      </w:r>
      <w:bookmarkStart w:id="0" w:name="_GoBack"/>
      <w:bookmarkEnd w:id="0"/>
      <w:r w:rsidR="006F4D83" w:rsidRPr="00ED04B4">
        <w:rPr>
          <w:spacing w:val="-10"/>
        </w:rPr>
        <w:t>sytyczny prezentuje po raz pierwszy szacunki wartości uprawnień emerytalno-rentowych gospodarstw domowych nabytych w ramach ubezpiecz</w:t>
      </w:r>
      <w:r w:rsidR="00C07A6A">
        <w:rPr>
          <w:spacing w:val="-10"/>
        </w:rPr>
        <w:t xml:space="preserve">eń społecznych. Metodologia </w:t>
      </w:r>
      <w:r w:rsidR="006F4D83" w:rsidRPr="00ED04B4">
        <w:rPr>
          <w:spacing w:val="-10"/>
        </w:rPr>
        <w:t xml:space="preserve">opracowania została określona w </w:t>
      </w:r>
      <w:r w:rsidR="0062679A">
        <w:rPr>
          <w:rFonts w:eastAsia="Times New Roman" w:cs="Times New Roman"/>
        </w:rPr>
        <w:t>rozporządzeniu</w:t>
      </w:r>
      <w:r w:rsidR="0062679A" w:rsidRPr="00C2597B">
        <w:rPr>
          <w:rFonts w:eastAsia="Times New Roman" w:cs="Times New Roman"/>
        </w:rPr>
        <w:t xml:space="preserve"> Parlamentu Europejskiego i Rady (UE) nr 549/2013 z dnia 21 maja 2013 r. </w:t>
      </w:r>
      <w:r w:rsidR="0062679A" w:rsidRPr="00C2597B">
        <w:rPr>
          <w:rFonts w:eastAsia="Times New Roman" w:cs="Times New Roman"/>
          <w:i/>
        </w:rPr>
        <w:t>w sprawie europejskiego systemu rachunków narodowych i regionalnych w Unii Europejskiej</w:t>
      </w:r>
      <w:r w:rsidR="0062679A" w:rsidRPr="00C2597B">
        <w:rPr>
          <w:rFonts w:eastAsia="Times New Roman" w:cs="Times New Roman"/>
        </w:rPr>
        <w:t xml:space="preserve"> </w:t>
      </w:r>
      <w:r w:rsidR="0062679A">
        <w:rPr>
          <w:rFonts w:eastAsia="Times New Roman" w:cs="Times New Roman"/>
        </w:rPr>
        <w:t>(</w:t>
      </w:r>
      <w:r w:rsidR="006F4D83" w:rsidRPr="00ED04B4">
        <w:rPr>
          <w:spacing w:val="-10"/>
        </w:rPr>
        <w:t>ESA</w:t>
      </w:r>
      <w:r w:rsidR="006F4D83">
        <w:rPr>
          <w:spacing w:val="-10"/>
        </w:rPr>
        <w:t xml:space="preserve"> </w:t>
      </w:r>
      <w:r w:rsidR="006F4D83" w:rsidRPr="00ED04B4">
        <w:rPr>
          <w:spacing w:val="-10"/>
        </w:rPr>
        <w:t>2010</w:t>
      </w:r>
      <w:r w:rsidR="0062679A">
        <w:rPr>
          <w:spacing w:val="-10"/>
        </w:rPr>
        <w:t>)</w:t>
      </w:r>
      <w:r w:rsidR="006F4D83" w:rsidRPr="00ED04B4">
        <w:rPr>
          <w:spacing w:val="-10"/>
        </w:rPr>
        <w:t xml:space="preserve"> oraz podręczniku</w:t>
      </w:r>
      <w:r w:rsidR="006F4D83">
        <w:rPr>
          <w:spacing w:val="-10"/>
        </w:rPr>
        <w:t xml:space="preserve">: </w:t>
      </w:r>
      <w:hyperlink r:id="rId11" w:history="1">
        <w:r w:rsidR="006F4D83">
          <w:rPr>
            <w:i/>
            <w:spacing w:val="-10"/>
          </w:rPr>
          <w:t xml:space="preserve">Technical </w:t>
        </w:r>
        <w:r w:rsidR="006F4D83" w:rsidRPr="00ED04B4">
          <w:rPr>
            <w:i/>
            <w:spacing w:val="-10"/>
          </w:rPr>
          <w:t>Compilation Guide for Pensions in National Accounts</w:t>
        </w:r>
      </w:hyperlink>
      <w:r w:rsidR="006F4D83" w:rsidRPr="00ED04B4">
        <w:rPr>
          <w:rStyle w:val="Odwoanieprzypisudolnego"/>
          <w:spacing w:val="-10"/>
        </w:rPr>
        <w:footnoteReference w:id="1"/>
      </w:r>
      <w:r w:rsidR="006F4D83" w:rsidRPr="00ED04B4">
        <w:rPr>
          <w:spacing w:val="-10"/>
        </w:rPr>
        <w:t>.</w:t>
      </w:r>
    </w:p>
    <w:p w14:paraId="0CDE5FD4" w14:textId="77777777" w:rsidR="00C22105" w:rsidRPr="00193C61" w:rsidRDefault="00074DD8" w:rsidP="00074DD8">
      <w:pPr>
        <w:pStyle w:val="Nagwek1"/>
        <w:rPr>
          <w:shd w:val="clear" w:color="auto" w:fill="FFFFFF"/>
        </w:rPr>
      </w:pPr>
      <w:r w:rsidRPr="0038292F">
        <w:rPr>
          <w:shd w:val="clear" w:color="auto" w:fill="FFFFFF"/>
        </w:rPr>
        <w:t xml:space="preserve"> </w:t>
      </w:r>
      <w:r w:rsidR="00193C61" w:rsidRPr="00D52091">
        <w:t>Wprowadzenie</w:t>
      </w:r>
    </w:p>
    <w:p w14:paraId="4A0F005D" w14:textId="12ED94C8" w:rsidR="00C2597B" w:rsidRPr="00C2597B" w:rsidRDefault="00C2597B" w:rsidP="00C2597B">
      <w:pPr>
        <w:jc w:val="both"/>
        <w:rPr>
          <w:rFonts w:eastAsia="Times New Roman" w:cs="Times New Roman"/>
        </w:rPr>
      </w:pPr>
      <w:r w:rsidRPr="00C2597B">
        <w:rPr>
          <w:rFonts w:eastAsia="Times New Roman" w:cs="Times New Roman"/>
        </w:rPr>
        <w:t>Obowiązek szacowania wartości nabytych uprawnień emerytalno-rentowych przez państwa członkowskie UE wynika z ESA 2010. Dane mają być przesyłane do K</w:t>
      </w:r>
      <w:r w:rsidR="0062679A">
        <w:rPr>
          <w:rFonts w:eastAsia="Times New Roman" w:cs="Times New Roman"/>
        </w:rPr>
        <w:t xml:space="preserve">omisji </w:t>
      </w:r>
      <w:r w:rsidRPr="00C2597B">
        <w:rPr>
          <w:rFonts w:eastAsia="Times New Roman" w:cs="Times New Roman"/>
        </w:rPr>
        <w:t>E</w:t>
      </w:r>
      <w:r w:rsidR="00384C5B">
        <w:rPr>
          <w:rFonts w:eastAsia="Times New Roman" w:cs="Times New Roman"/>
        </w:rPr>
        <w:t>u</w:t>
      </w:r>
      <w:r w:rsidR="0062679A">
        <w:rPr>
          <w:rFonts w:eastAsia="Times New Roman" w:cs="Times New Roman"/>
        </w:rPr>
        <w:t>ropejskiej</w:t>
      </w:r>
      <w:r w:rsidRPr="00C2597B">
        <w:rPr>
          <w:rFonts w:eastAsia="Times New Roman" w:cs="Times New Roman"/>
        </w:rPr>
        <w:t xml:space="preserve"> (Eurostatu) co trzy lata w dwa lata po okresie sprawozdawczym, poczynając od informacji za rok 2015. Pierwsza obowiązkowa transmisja danych miała miejsce w grudniu 2017 r.</w:t>
      </w:r>
    </w:p>
    <w:p w14:paraId="2426EBB3" w14:textId="3B088895" w:rsidR="00C2597B" w:rsidRPr="00F228AE" w:rsidRDefault="00C2597B" w:rsidP="00C2597B">
      <w:pPr>
        <w:jc w:val="both"/>
        <w:rPr>
          <w:rFonts w:eastAsia="Times New Roman" w:cs="Times New Roman"/>
          <w:i/>
        </w:rPr>
      </w:pPr>
      <w:r w:rsidRPr="00C2597B">
        <w:rPr>
          <w:rFonts w:eastAsia="Times New Roman" w:cs="Times New Roman"/>
        </w:rPr>
        <w:t>Pod koniec 2017 roku, Prezes GUS po raz pierwszy przekazał do K</w:t>
      </w:r>
      <w:r w:rsidR="00DE5FD4">
        <w:rPr>
          <w:rFonts w:eastAsia="Times New Roman" w:cs="Times New Roman"/>
        </w:rPr>
        <w:t xml:space="preserve">omisji </w:t>
      </w:r>
      <w:r w:rsidRPr="00C2597B">
        <w:rPr>
          <w:rFonts w:eastAsia="Times New Roman" w:cs="Times New Roman"/>
        </w:rPr>
        <w:t>E</w:t>
      </w:r>
      <w:r w:rsidR="00A8559D">
        <w:rPr>
          <w:rFonts w:eastAsia="Times New Roman" w:cs="Times New Roman"/>
        </w:rPr>
        <w:t>uropejs</w:t>
      </w:r>
      <w:r w:rsidR="00DE5FD4">
        <w:rPr>
          <w:rFonts w:eastAsia="Times New Roman" w:cs="Times New Roman"/>
        </w:rPr>
        <w:t>kiej</w:t>
      </w:r>
      <w:r w:rsidRPr="00C2597B">
        <w:rPr>
          <w:rFonts w:eastAsia="Times New Roman" w:cs="Times New Roman"/>
        </w:rPr>
        <w:t xml:space="preserve"> (Eurostatu) tablicę dotyczącą nabytych uprawnień emerytalno-rentowych w ramach ubezpieczeń społecznych (</w:t>
      </w:r>
      <w:r w:rsidR="00832A83">
        <w:rPr>
          <w:rFonts w:eastAsia="Times New Roman" w:cs="Times New Roman"/>
        </w:rPr>
        <w:t xml:space="preserve">dalej określana zamiennie jako tablica </w:t>
      </w:r>
      <w:r w:rsidR="00447D98">
        <w:rPr>
          <w:rFonts w:eastAsia="Times New Roman" w:cs="Times New Roman"/>
        </w:rPr>
        <w:t>uzupełniająca</w:t>
      </w:r>
      <w:r w:rsidR="00832A83">
        <w:rPr>
          <w:rFonts w:eastAsia="Times New Roman" w:cs="Times New Roman"/>
        </w:rPr>
        <w:t xml:space="preserve"> lub t</w:t>
      </w:r>
      <w:r w:rsidRPr="00C2597B">
        <w:rPr>
          <w:rFonts w:eastAsia="Times New Roman" w:cs="Times New Roman"/>
        </w:rPr>
        <w:t>ablica 29). Prace nad tablicą rozpoczęły się we wrześniu 2015 r., i były realizowane we współpracy z Bankiem Światowym oraz m.in. z ZUS i KRUS</w:t>
      </w:r>
      <w:r w:rsidRPr="00C2597B">
        <w:rPr>
          <w:rFonts w:ascii="Times New Roman" w:eastAsia="Times New Roman" w:hAnsi="Times New Roman" w:cs="Times New Roman"/>
          <w:sz w:val="24"/>
        </w:rPr>
        <w:t xml:space="preserve">. </w:t>
      </w:r>
      <w:r w:rsidRPr="00C2597B">
        <w:rPr>
          <w:rFonts w:eastAsia="Times New Roman" w:cs="Times New Roman"/>
        </w:rPr>
        <w:t>Uprawnienia emerytalno-rentowe zostały oszacowane według stanu na koniec roku 2015 w ujęciu ADL (</w:t>
      </w:r>
      <w:proofErr w:type="spellStart"/>
      <w:r w:rsidRPr="00682133">
        <w:rPr>
          <w:rFonts w:eastAsia="Times New Roman" w:cs="Times New Roman"/>
          <w:i/>
        </w:rPr>
        <w:t>accrued</w:t>
      </w:r>
      <w:proofErr w:type="spellEnd"/>
      <w:r w:rsidRPr="00682133">
        <w:rPr>
          <w:rFonts w:eastAsia="Times New Roman" w:cs="Times New Roman"/>
          <w:i/>
        </w:rPr>
        <w:t>-to-</w:t>
      </w:r>
      <w:proofErr w:type="spellStart"/>
      <w:r w:rsidRPr="00682133">
        <w:rPr>
          <w:rFonts w:eastAsia="Times New Roman" w:cs="Times New Roman"/>
          <w:i/>
        </w:rPr>
        <w:t>date</w:t>
      </w:r>
      <w:proofErr w:type="spellEnd"/>
      <w:r w:rsidRPr="00682133">
        <w:rPr>
          <w:rFonts w:eastAsia="Times New Roman" w:cs="Times New Roman"/>
          <w:i/>
        </w:rPr>
        <w:t xml:space="preserve"> </w:t>
      </w:r>
      <w:proofErr w:type="spellStart"/>
      <w:r w:rsidRPr="00682133">
        <w:rPr>
          <w:rFonts w:eastAsia="Times New Roman" w:cs="Times New Roman"/>
          <w:i/>
        </w:rPr>
        <w:t>liabilities</w:t>
      </w:r>
      <w:proofErr w:type="spellEnd"/>
      <w:r w:rsidRPr="00C2597B">
        <w:rPr>
          <w:rFonts w:eastAsia="Times New Roman" w:cs="Times New Roman"/>
        </w:rPr>
        <w:t>)</w:t>
      </w:r>
      <w:r w:rsidRPr="00C2597B">
        <w:rPr>
          <w:rFonts w:eastAsia="Times New Roman" w:cs="Times New Roman"/>
          <w:vertAlign w:val="superscript"/>
        </w:rPr>
        <w:footnoteReference w:id="2"/>
      </w:r>
      <w:r w:rsidRPr="00C2597B">
        <w:rPr>
          <w:rFonts w:ascii="Times New Roman" w:eastAsia="Times New Roman" w:hAnsi="Times New Roman" w:cs="Times New Roman"/>
          <w:sz w:val="24"/>
        </w:rPr>
        <w:t xml:space="preserve"> </w:t>
      </w:r>
      <w:r w:rsidRPr="00C2597B">
        <w:rPr>
          <w:rFonts w:eastAsia="Times New Roman" w:cs="Times New Roman"/>
        </w:rPr>
        <w:t>zgodnie z wymaganiami metodologicznymi zawartymi</w:t>
      </w:r>
      <w:r w:rsidR="00961F1B">
        <w:rPr>
          <w:rFonts w:eastAsia="Times New Roman" w:cs="Times New Roman"/>
        </w:rPr>
        <w:t xml:space="preserve"> w</w:t>
      </w:r>
      <w:r w:rsidRPr="00C2597B">
        <w:rPr>
          <w:rFonts w:eastAsia="Times New Roman" w:cs="Times New Roman"/>
        </w:rPr>
        <w:t xml:space="preserve"> </w:t>
      </w:r>
      <w:r w:rsidR="00B200BF">
        <w:rPr>
          <w:rFonts w:eastAsia="Times New Roman" w:cs="Times New Roman"/>
        </w:rPr>
        <w:t>ESA 2010</w:t>
      </w:r>
      <w:r w:rsidRPr="00C2597B">
        <w:rPr>
          <w:rFonts w:eastAsia="Times New Roman" w:cs="Times New Roman"/>
        </w:rPr>
        <w:t xml:space="preserve"> oraz wytycznymi dotyczącymi założeń, które należy przyjąć w obliczeniach, ujętymi w opracowanym pod auspicjami Eurostatu i Europejskiego Banku Centralnego podręczniku: </w:t>
      </w:r>
      <w:r w:rsidRPr="00C2597B">
        <w:rPr>
          <w:rFonts w:eastAsia="Times New Roman" w:cs="Times New Roman"/>
          <w:i/>
        </w:rPr>
        <w:t xml:space="preserve">Technical </w:t>
      </w:r>
      <w:proofErr w:type="spellStart"/>
      <w:r w:rsidRPr="00C2597B">
        <w:rPr>
          <w:rFonts w:eastAsia="Times New Roman" w:cs="Times New Roman"/>
          <w:i/>
        </w:rPr>
        <w:t>Compilation</w:t>
      </w:r>
      <w:proofErr w:type="spellEnd"/>
      <w:r w:rsidRPr="00C2597B">
        <w:rPr>
          <w:rFonts w:eastAsia="Times New Roman" w:cs="Times New Roman"/>
          <w:i/>
        </w:rPr>
        <w:t xml:space="preserve"> Guide for </w:t>
      </w:r>
      <w:proofErr w:type="spellStart"/>
      <w:r w:rsidRPr="00C2597B">
        <w:rPr>
          <w:rFonts w:eastAsia="Times New Roman" w:cs="Times New Roman"/>
          <w:i/>
        </w:rPr>
        <w:t>Pensions</w:t>
      </w:r>
      <w:proofErr w:type="spellEnd"/>
      <w:r w:rsidRPr="00C2597B">
        <w:rPr>
          <w:rFonts w:eastAsia="Times New Roman" w:cs="Times New Roman"/>
          <w:i/>
        </w:rPr>
        <w:t xml:space="preserve"> </w:t>
      </w:r>
      <w:r w:rsidR="009940B4">
        <w:rPr>
          <w:rFonts w:eastAsia="Times New Roman" w:cs="Times New Roman"/>
          <w:i/>
        </w:rPr>
        <w:t>i</w:t>
      </w:r>
      <w:r w:rsidRPr="00C2597B">
        <w:rPr>
          <w:rFonts w:eastAsia="Times New Roman" w:cs="Times New Roman"/>
          <w:i/>
        </w:rPr>
        <w:t xml:space="preserve">n </w:t>
      </w:r>
      <w:proofErr w:type="spellStart"/>
      <w:r w:rsidR="00057715">
        <w:rPr>
          <w:rFonts w:eastAsia="Times New Roman" w:cs="Times New Roman"/>
          <w:i/>
        </w:rPr>
        <w:t>National</w:t>
      </w:r>
      <w:proofErr w:type="spellEnd"/>
      <w:r w:rsidR="00057715">
        <w:rPr>
          <w:rFonts w:eastAsia="Times New Roman" w:cs="Times New Roman"/>
          <w:i/>
        </w:rPr>
        <w:t xml:space="preserve"> </w:t>
      </w:r>
      <w:proofErr w:type="spellStart"/>
      <w:r w:rsidR="00057715">
        <w:rPr>
          <w:rFonts w:eastAsia="Times New Roman" w:cs="Times New Roman"/>
          <w:i/>
        </w:rPr>
        <w:t>Accounts</w:t>
      </w:r>
      <w:proofErr w:type="spellEnd"/>
      <w:r w:rsidR="00057715">
        <w:rPr>
          <w:rFonts w:eastAsia="Times New Roman" w:cs="Times New Roman"/>
          <w:i/>
        </w:rPr>
        <w:t xml:space="preserve">. </w:t>
      </w:r>
      <w:r w:rsidR="00057715" w:rsidRPr="00057715">
        <w:rPr>
          <w:rFonts w:eastAsia="Times New Roman" w:cs="Times New Roman"/>
        </w:rPr>
        <w:t>I</w:t>
      </w:r>
      <w:r w:rsidR="0003785A">
        <w:rPr>
          <w:rFonts w:eastAsia="Times New Roman" w:cs="Times New Roman"/>
        </w:rPr>
        <w:t>nformacje</w:t>
      </w:r>
      <w:r w:rsidRPr="00C2597B">
        <w:rPr>
          <w:rFonts w:eastAsia="Times New Roman" w:cs="Times New Roman"/>
        </w:rPr>
        <w:t xml:space="preserve"> na temat zastosowanej metodologii </w:t>
      </w:r>
      <w:r w:rsidR="0003785A">
        <w:rPr>
          <w:rFonts w:eastAsia="Times New Roman" w:cs="Times New Roman"/>
        </w:rPr>
        <w:t>zawiera punkt 3 niniejszej notatki pt.</w:t>
      </w:r>
      <w:r w:rsidRPr="00C2597B">
        <w:rPr>
          <w:rFonts w:eastAsia="Times New Roman" w:cs="Times New Roman"/>
        </w:rPr>
        <w:t xml:space="preserve"> </w:t>
      </w:r>
      <w:r w:rsidRPr="00C2597B">
        <w:rPr>
          <w:rFonts w:eastAsia="Times New Roman" w:cs="Times New Roman"/>
          <w:i/>
        </w:rPr>
        <w:t xml:space="preserve">Metodologia wyceny nabytych uprawnień emerytalno-rentowych. </w:t>
      </w:r>
    </w:p>
    <w:p w14:paraId="042CF23F" w14:textId="1C5F1B9F" w:rsidR="00C2597B" w:rsidRPr="00C2597B" w:rsidRDefault="00BF1B79" w:rsidP="00C2597B">
      <w:pPr>
        <w:jc w:val="both"/>
        <w:rPr>
          <w:rFonts w:eastAsia="Times New Roman" w:cs="Times New Roman"/>
        </w:rPr>
      </w:pPr>
      <w:r>
        <w:rPr>
          <w:rFonts w:eastAsia="Times New Roman" w:cs="Times New Roman"/>
        </w:rPr>
        <w:t xml:space="preserve">Nie jest jeszcze znana data opublikowania informacji dla poszczególnych krajów oraz dla całej Unii Europejskiej przez Eurostat. Część </w:t>
      </w:r>
      <w:r w:rsidR="00207939">
        <w:rPr>
          <w:rFonts w:eastAsia="Times New Roman" w:cs="Times New Roman"/>
        </w:rPr>
        <w:t>państw c</w:t>
      </w:r>
      <w:r>
        <w:rPr>
          <w:rFonts w:eastAsia="Times New Roman" w:cs="Times New Roman"/>
        </w:rPr>
        <w:t>złonkowskich opublikowała już dane</w:t>
      </w:r>
      <w:r w:rsidR="00917AAF">
        <w:rPr>
          <w:rFonts w:eastAsia="Times New Roman" w:cs="Times New Roman"/>
        </w:rPr>
        <w:t xml:space="preserve"> na poziomie narodowym.</w:t>
      </w:r>
    </w:p>
    <w:p w14:paraId="4B56018D" w14:textId="798FAC60" w:rsidR="00C2597B" w:rsidRPr="00C2597B" w:rsidRDefault="00C2597B" w:rsidP="00C2597B">
      <w:pPr>
        <w:jc w:val="both"/>
        <w:rPr>
          <w:rFonts w:eastAsia="Times New Roman" w:cs="Times New Roman"/>
        </w:rPr>
      </w:pPr>
      <w:r w:rsidRPr="00C2597B">
        <w:rPr>
          <w:rFonts w:eastAsia="Times New Roman" w:cs="Times New Roman"/>
        </w:rPr>
        <w:t>Głównym celem sprawozdawcz</w:t>
      </w:r>
      <w:r w:rsidR="0027324A">
        <w:rPr>
          <w:rFonts w:eastAsia="Times New Roman" w:cs="Times New Roman"/>
        </w:rPr>
        <w:t xml:space="preserve">ości w </w:t>
      </w:r>
      <w:r w:rsidRPr="00C2597B">
        <w:rPr>
          <w:rFonts w:eastAsia="Times New Roman" w:cs="Times New Roman"/>
        </w:rPr>
        <w:t xml:space="preserve">zakresie emerytur w rachunkach narodowych jest zapewnienie kompleksowego i porównywalnego przeglądu uprawnień emerytalno-rentowych gospodarstw domowych w państwach członkowskich UE, </w:t>
      </w:r>
      <w:r w:rsidRPr="00384C5B">
        <w:rPr>
          <w:rFonts w:eastAsia="Times New Roman" w:cs="Times New Roman"/>
        </w:rPr>
        <w:t>obejmującego wszystkie systemy ubezpieczeń społecznych</w:t>
      </w:r>
      <w:r w:rsidRPr="00384C5B">
        <w:rPr>
          <w:rFonts w:eastAsia="Times New Roman" w:cs="Times New Roman"/>
          <w:vertAlign w:val="superscript"/>
        </w:rPr>
        <w:footnoteReference w:id="3"/>
      </w:r>
      <w:r w:rsidRPr="00384C5B">
        <w:rPr>
          <w:rFonts w:eastAsia="Times New Roman" w:cs="Times New Roman"/>
        </w:rPr>
        <w:t>, tj. programy związane z zatrudnieniem oraz</w:t>
      </w:r>
      <w:r w:rsidR="00C5794F">
        <w:rPr>
          <w:rFonts w:eastAsia="Times New Roman" w:cs="Times New Roman"/>
        </w:rPr>
        <w:t>,</w:t>
      </w:r>
      <w:r w:rsidRPr="00384C5B">
        <w:rPr>
          <w:rFonts w:eastAsia="Times New Roman" w:cs="Times New Roman"/>
        </w:rPr>
        <w:t xml:space="preserve"> po raz pierwszy</w:t>
      </w:r>
      <w:r w:rsidR="00C5794F">
        <w:rPr>
          <w:rFonts w:eastAsia="Times New Roman" w:cs="Times New Roman"/>
        </w:rPr>
        <w:t>,</w:t>
      </w:r>
      <w:r w:rsidRPr="00384C5B">
        <w:rPr>
          <w:rFonts w:eastAsia="Times New Roman" w:cs="Times New Roman"/>
        </w:rPr>
        <w:t xml:space="preserve"> systemy zabezpieczenia społecznego.</w:t>
      </w:r>
      <w:r w:rsidRPr="00C2597B">
        <w:rPr>
          <w:rFonts w:eastAsia="Times New Roman" w:cs="Times New Roman"/>
        </w:rPr>
        <w:t xml:space="preserve"> </w:t>
      </w:r>
    </w:p>
    <w:p w14:paraId="3D864D92" w14:textId="2C448BE7" w:rsidR="00C2597B" w:rsidRPr="00C2597B" w:rsidRDefault="00C2597B" w:rsidP="00C2597B">
      <w:pPr>
        <w:spacing w:before="0"/>
        <w:contextualSpacing/>
        <w:jc w:val="both"/>
        <w:rPr>
          <w:rFonts w:eastAsia="Times New Roman" w:cs="Times New Roman"/>
        </w:rPr>
      </w:pPr>
      <w:r w:rsidRPr="00C2597B">
        <w:rPr>
          <w:rFonts w:eastAsia="Times New Roman" w:cs="Times New Roman"/>
        </w:rPr>
        <w:lastRenderedPageBreak/>
        <w:t xml:space="preserve">Należy </w:t>
      </w:r>
      <w:r w:rsidR="00E00952">
        <w:rPr>
          <w:rFonts w:eastAsia="Times New Roman" w:cs="Times New Roman"/>
        </w:rPr>
        <w:t xml:space="preserve">wyraźnie </w:t>
      </w:r>
      <w:r w:rsidRPr="00C2597B">
        <w:rPr>
          <w:rFonts w:eastAsia="Times New Roman" w:cs="Times New Roman"/>
        </w:rPr>
        <w:t>podk</w:t>
      </w:r>
      <w:r w:rsidR="0027324A">
        <w:rPr>
          <w:rFonts w:eastAsia="Times New Roman" w:cs="Times New Roman"/>
        </w:rPr>
        <w:t>reślić, że statystyki dotyczące</w:t>
      </w:r>
      <w:r w:rsidRPr="00C2597B">
        <w:rPr>
          <w:rFonts w:eastAsia="Times New Roman" w:cs="Times New Roman"/>
        </w:rPr>
        <w:t xml:space="preserve"> zobowiązań emerytalno-rentowych w ujęciu ADL </w:t>
      </w:r>
      <w:r w:rsidRPr="005A03F0">
        <w:rPr>
          <w:rFonts w:eastAsia="Times New Roman" w:cs="Times New Roman"/>
          <w:u w:val="single"/>
        </w:rPr>
        <w:t>nie stanowią miary stabilności finansów publicznych</w:t>
      </w:r>
      <w:r w:rsidRPr="00C2597B">
        <w:rPr>
          <w:rFonts w:eastAsia="Times New Roman" w:cs="Times New Roman"/>
        </w:rPr>
        <w:t xml:space="preserve">. Prezentują obecną wartość świadczeń, które mają być zapłacone w momencie przejścia na emeryturę obecnie pracujących (ubezpieczonych) oraz </w:t>
      </w:r>
      <w:r w:rsidR="00AD0B81">
        <w:rPr>
          <w:rFonts w:eastAsia="Times New Roman" w:cs="Times New Roman"/>
        </w:rPr>
        <w:t xml:space="preserve">pozostałe do wypłaty świadczenia obecnych emerytów i rencistów. </w:t>
      </w:r>
      <w:r w:rsidRPr="00C2597B">
        <w:rPr>
          <w:rFonts w:eastAsia="Times New Roman" w:cs="Times New Roman"/>
        </w:rPr>
        <w:t>Takie ujęcie pokazuje zatem zobowiązania w ograniczonej perspektywie czasowej. Nie uwzględnia uprawnień nabytych po okresie badanym zarówno przez osoby pracujące, jak i te, które dopiero podejmą zatrudnienie. Statystyki dotyczące uprawnień i zobowiązań emerytalno-rentowych w podejściu ADL mogą natomiast stanowić cenną informację o koszcie likwidacji systemu emerytalnego przy jednoczesnej wypłacie świadczeń, do których jego uczestnicy nabyli uprawnienia do momentu likwidacji systemu. Ocenę wpływu na stabilność finansów publicznych wydatków związanych ze starzeniem się ludności można znaleźć w raporcie o starzeniu się społeczeństw (</w:t>
      </w:r>
      <w:proofErr w:type="spellStart"/>
      <w:r w:rsidRPr="00682133">
        <w:rPr>
          <w:rFonts w:eastAsia="Times New Roman" w:cs="Times New Roman"/>
          <w:i/>
        </w:rPr>
        <w:t>Ageing</w:t>
      </w:r>
      <w:proofErr w:type="spellEnd"/>
      <w:r w:rsidRPr="00682133">
        <w:rPr>
          <w:rFonts w:eastAsia="Times New Roman" w:cs="Times New Roman"/>
          <w:i/>
        </w:rPr>
        <w:t xml:space="preserve"> report</w:t>
      </w:r>
      <w:r w:rsidRPr="00C2597B">
        <w:rPr>
          <w:rFonts w:eastAsia="Times New Roman" w:cs="Times New Roman"/>
        </w:rPr>
        <w:t>), który jest opracowywany i publikowany przez Komisję Europejską i grupę roboczą ds. starzenia się ludności (AWG), działającą przy Komitecie Polityki Gospodarczej (EPC)</w:t>
      </w:r>
      <w:r w:rsidRPr="00C2597B">
        <w:rPr>
          <w:rFonts w:eastAsia="Times New Roman" w:cs="Times New Roman"/>
          <w:vertAlign w:val="superscript"/>
        </w:rPr>
        <w:footnoteReference w:id="4"/>
      </w:r>
      <w:r w:rsidR="0093094E">
        <w:rPr>
          <w:rFonts w:eastAsia="Times New Roman" w:cs="Times New Roman"/>
        </w:rPr>
        <w:t xml:space="preserve"> i </w:t>
      </w:r>
      <w:r w:rsidR="008D6E0D">
        <w:rPr>
          <w:rFonts w:eastAsia="Times New Roman" w:cs="Times New Roman"/>
        </w:rPr>
        <w:t>której członkiem są przedstawiciele Ministerstwa Finansów</w:t>
      </w:r>
      <w:r w:rsidRPr="00C2597B">
        <w:rPr>
          <w:rFonts w:eastAsia="Times New Roman" w:cs="Times New Roman"/>
        </w:rPr>
        <w:t>.</w:t>
      </w:r>
    </w:p>
    <w:p w14:paraId="645AC197" w14:textId="77777777" w:rsidR="00C14A02" w:rsidRPr="00D52091" w:rsidRDefault="00C14A02" w:rsidP="009A6864">
      <w:pPr>
        <w:pStyle w:val="Nagwek1"/>
        <w:numPr>
          <w:ilvl w:val="0"/>
          <w:numId w:val="9"/>
        </w:numPr>
        <w:rPr>
          <w:shd w:val="clear" w:color="auto" w:fill="FFFFFF"/>
        </w:rPr>
      </w:pPr>
      <w:r>
        <w:t>Wyniki</w:t>
      </w:r>
    </w:p>
    <w:p w14:paraId="08C198BF" w14:textId="0959443A" w:rsidR="00C14A02" w:rsidRDefault="00C14A02" w:rsidP="00C14A02">
      <w:pPr>
        <w:spacing w:before="0" w:after="0"/>
        <w:ind w:left="45"/>
        <w:jc w:val="both"/>
        <w:rPr>
          <w:shd w:val="clear" w:color="auto" w:fill="FFFFFF"/>
        </w:rPr>
      </w:pPr>
      <w:r w:rsidRPr="00D52091">
        <w:rPr>
          <w:shd w:val="clear" w:color="auto" w:fill="FFFFFF"/>
        </w:rPr>
        <w:t xml:space="preserve">Łączna wartość nabytych uprawnień emerytalno-rentowych wyniosła w Polsce </w:t>
      </w:r>
      <w:r w:rsidRPr="00D66CC7">
        <w:rPr>
          <w:u w:val="single"/>
          <w:shd w:val="clear" w:color="auto" w:fill="FFFFFF"/>
        </w:rPr>
        <w:t xml:space="preserve">na początku 2015 roku 4 </w:t>
      </w:r>
      <w:r w:rsidR="00E330A1" w:rsidRPr="00D66CC7">
        <w:rPr>
          <w:u w:val="single"/>
          <w:shd w:val="clear" w:color="auto" w:fill="FFFFFF"/>
        </w:rPr>
        <w:t>580 080,8</w:t>
      </w:r>
      <w:r w:rsidRPr="00D66CC7">
        <w:rPr>
          <w:u w:val="single"/>
          <w:shd w:val="clear" w:color="auto" w:fill="FFFFFF"/>
        </w:rPr>
        <w:t xml:space="preserve"> mln zł</w:t>
      </w:r>
      <w:r w:rsidRPr="00D52091">
        <w:rPr>
          <w:shd w:val="clear" w:color="auto" w:fill="FFFFFF"/>
        </w:rPr>
        <w:t xml:space="preserve"> (255 % </w:t>
      </w:r>
      <w:r>
        <w:rPr>
          <w:shd w:val="clear" w:color="auto" w:fill="FFFFFF"/>
        </w:rPr>
        <w:t xml:space="preserve">w relacji do </w:t>
      </w:r>
      <w:r w:rsidRPr="00D52091">
        <w:rPr>
          <w:shd w:val="clear" w:color="auto" w:fill="FFFFFF"/>
        </w:rPr>
        <w:t xml:space="preserve">PKB), a </w:t>
      </w:r>
      <w:r w:rsidRPr="00D66CC7">
        <w:rPr>
          <w:u w:val="single"/>
          <w:shd w:val="clear" w:color="auto" w:fill="FFFFFF"/>
        </w:rPr>
        <w:t>na koniec 2015 roku 4 959 144 mln zł</w:t>
      </w:r>
      <w:r w:rsidRPr="00D52091">
        <w:rPr>
          <w:shd w:val="clear" w:color="auto" w:fill="FFFFFF"/>
        </w:rPr>
        <w:t xml:space="preserve"> (276 %</w:t>
      </w:r>
      <w:r>
        <w:rPr>
          <w:shd w:val="clear" w:color="auto" w:fill="FFFFFF"/>
        </w:rPr>
        <w:t xml:space="preserve"> w relacji do</w:t>
      </w:r>
      <w:r w:rsidRPr="00D52091">
        <w:rPr>
          <w:shd w:val="clear" w:color="auto" w:fill="FFFFFF"/>
        </w:rPr>
        <w:t xml:space="preserve"> PKB</w:t>
      </w:r>
      <w:r w:rsidRPr="00522589">
        <w:rPr>
          <w:shd w:val="clear" w:color="auto" w:fill="FFFFFF"/>
        </w:rPr>
        <w:t>).</w:t>
      </w:r>
      <w:r w:rsidRPr="00384C5B">
        <w:rPr>
          <w:shd w:val="clear" w:color="auto" w:fill="FFFFFF"/>
        </w:rPr>
        <w:t xml:space="preserve"> </w:t>
      </w:r>
      <w:r>
        <w:rPr>
          <w:shd w:val="clear" w:color="auto" w:fill="FFFFFF"/>
        </w:rPr>
        <w:t>W</w:t>
      </w:r>
      <w:r w:rsidRPr="00D52091">
        <w:rPr>
          <w:shd w:val="clear" w:color="auto" w:fill="FFFFFF"/>
        </w:rPr>
        <w:t xml:space="preserve">iększość uprawnień emerytalno-rentowych stanowią uprawnienia z powszechnego systemu </w:t>
      </w:r>
      <w:r w:rsidR="00AD0B81">
        <w:rPr>
          <w:shd w:val="clear" w:color="auto" w:fill="FFFFFF"/>
        </w:rPr>
        <w:t>zabezpieczeń</w:t>
      </w:r>
      <w:r w:rsidR="00AD0B81" w:rsidRPr="00D52091">
        <w:rPr>
          <w:shd w:val="clear" w:color="auto" w:fill="FFFFFF"/>
        </w:rPr>
        <w:t xml:space="preserve"> </w:t>
      </w:r>
      <w:r w:rsidRPr="00D52091">
        <w:rPr>
          <w:shd w:val="clear" w:color="auto" w:fill="FFFFFF"/>
        </w:rPr>
        <w:t xml:space="preserve">społecznych (ZUS). Wyniosły one na koniec 2015 roku 4 056 811,7 mln zł, co stanowi </w:t>
      </w:r>
      <w:r w:rsidR="002E7067" w:rsidRPr="00D52091">
        <w:rPr>
          <w:shd w:val="clear" w:color="auto" w:fill="FFFFFF"/>
        </w:rPr>
        <w:t>2</w:t>
      </w:r>
      <w:r w:rsidR="002E7067">
        <w:rPr>
          <w:shd w:val="clear" w:color="auto" w:fill="FFFFFF"/>
        </w:rPr>
        <w:t>2</w:t>
      </w:r>
      <w:r w:rsidR="002E7067" w:rsidRPr="00D52091">
        <w:rPr>
          <w:shd w:val="clear" w:color="auto" w:fill="FFFFFF"/>
        </w:rPr>
        <w:t>5</w:t>
      </w:r>
      <w:r w:rsidR="00F609DA">
        <w:rPr>
          <w:shd w:val="clear" w:color="auto" w:fill="FFFFFF"/>
        </w:rPr>
        <w:t>,5% PKB, tj. blisko 82</w:t>
      </w:r>
      <w:r w:rsidRPr="00D52091">
        <w:rPr>
          <w:shd w:val="clear" w:color="auto" w:fill="FFFFFF"/>
        </w:rPr>
        <w:t>% wszystkich uprawnień. Natomiast najmniejszą wartość stanowią uprawnienia emerytalno-rentowe w pracowniczych programach emerytalnych (PPE). Wyniosły one tylko 10 623 mln zł,</w:t>
      </w:r>
      <w:r w:rsidR="00261E2B">
        <w:rPr>
          <w:shd w:val="clear" w:color="auto" w:fill="FFFFFF"/>
        </w:rPr>
        <w:t xml:space="preserve"> </w:t>
      </w:r>
      <w:r w:rsidRPr="00D52091">
        <w:rPr>
          <w:shd w:val="clear" w:color="auto" w:fill="FFFFFF"/>
        </w:rPr>
        <w:t>co stanowi 0,6% PKB, tj. 0,2% wszystkich uprawnień. Poniższa tabl</w:t>
      </w:r>
      <w:r>
        <w:rPr>
          <w:shd w:val="clear" w:color="auto" w:fill="FFFFFF"/>
        </w:rPr>
        <w:t>ic</w:t>
      </w:r>
      <w:r w:rsidRPr="00D52091">
        <w:rPr>
          <w:shd w:val="clear" w:color="auto" w:fill="FFFFFF"/>
        </w:rPr>
        <w:t>a zawiera zestawienie nabytych uprawnień emerytalno-rentowych w poszczególnych systemach emerytalno-rentowych według stanu na koniec roku 2015:</w:t>
      </w:r>
    </w:p>
    <w:p w14:paraId="060D9787" w14:textId="32445B59" w:rsidR="00C14A02" w:rsidRDefault="00C14A02" w:rsidP="009940B4">
      <w:pPr>
        <w:spacing w:line="240" w:lineRule="auto"/>
        <w:ind w:left="709" w:hanging="709"/>
        <w:rPr>
          <w:b/>
          <w:sz w:val="18"/>
          <w:szCs w:val="18"/>
          <w:lang w:eastAsia="pl-PL"/>
        </w:rPr>
      </w:pPr>
      <w:r>
        <w:rPr>
          <w:b/>
          <w:sz w:val="18"/>
          <w:szCs w:val="18"/>
          <w:lang w:eastAsia="pl-PL"/>
        </w:rPr>
        <w:t>Tablica</w:t>
      </w:r>
      <w:r w:rsidRPr="00D52091">
        <w:rPr>
          <w:b/>
          <w:sz w:val="18"/>
          <w:szCs w:val="18"/>
          <w:lang w:eastAsia="pl-PL"/>
        </w:rPr>
        <w:t xml:space="preserve"> 1. Wartość nabytych uprawnień emerytalno-rentowych w Polsce </w:t>
      </w:r>
      <w:r>
        <w:rPr>
          <w:b/>
          <w:sz w:val="18"/>
          <w:szCs w:val="18"/>
          <w:lang w:eastAsia="pl-PL"/>
        </w:rPr>
        <w:t xml:space="preserve">według stanu na dzień </w:t>
      </w:r>
      <w:r w:rsidR="009940B4">
        <w:rPr>
          <w:b/>
          <w:sz w:val="18"/>
          <w:szCs w:val="18"/>
          <w:lang w:eastAsia="pl-PL"/>
        </w:rPr>
        <w:br/>
      </w:r>
      <w:r>
        <w:rPr>
          <w:b/>
          <w:sz w:val="18"/>
          <w:szCs w:val="18"/>
          <w:lang w:eastAsia="pl-PL"/>
        </w:rPr>
        <w:t xml:space="preserve">31 grudnia </w:t>
      </w:r>
      <w:r w:rsidRPr="00D52091">
        <w:rPr>
          <w:b/>
          <w:sz w:val="18"/>
          <w:szCs w:val="18"/>
          <w:lang w:eastAsia="pl-PL"/>
        </w:rPr>
        <w:t>2015 roku.</w:t>
      </w:r>
      <w:r>
        <w:rPr>
          <w:b/>
          <w:sz w:val="18"/>
          <w:szCs w:val="18"/>
          <w:lang w:eastAsia="pl-PL"/>
        </w:rPr>
        <w:t xml:space="preserve"> </w:t>
      </w:r>
    </w:p>
    <w:tbl>
      <w:tblPr>
        <w:tblW w:w="5000" w:type="pct"/>
        <w:tblBorders>
          <w:insideH w:val="single" w:sz="4" w:space="0" w:color="212492"/>
          <w:insideV w:val="single" w:sz="4" w:space="0" w:color="212492"/>
        </w:tblBorders>
        <w:tblCellMar>
          <w:top w:w="57" w:type="dxa"/>
          <w:bottom w:w="57" w:type="dxa"/>
        </w:tblCellMar>
        <w:tblLook w:val="0200" w:firstRow="0" w:lastRow="0" w:firstColumn="0" w:lastColumn="0" w:noHBand="1" w:noVBand="0"/>
      </w:tblPr>
      <w:tblGrid>
        <w:gridCol w:w="1438"/>
        <w:gridCol w:w="1834"/>
        <w:gridCol w:w="2277"/>
        <w:gridCol w:w="1260"/>
        <w:gridCol w:w="1258"/>
      </w:tblGrid>
      <w:tr w:rsidR="00C14A02" w:rsidRPr="00261E2B" w14:paraId="457D01EE" w14:textId="77777777" w:rsidTr="00261E2B">
        <w:trPr>
          <w:trHeight w:val="420"/>
        </w:trPr>
        <w:tc>
          <w:tcPr>
            <w:tcW w:w="891" w:type="pct"/>
            <w:vMerge w:val="restart"/>
            <w:tcBorders>
              <w:top w:val="nil"/>
              <w:right w:val="single" w:sz="12" w:space="0" w:color="333399"/>
            </w:tcBorders>
            <w:vAlign w:val="center"/>
          </w:tcPr>
          <w:p w14:paraId="527ADC1A" w14:textId="77777777" w:rsidR="00C14A02" w:rsidRPr="00261E2B" w:rsidRDefault="00C14A02" w:rsidP="00261E2B">
            <w:pPr>
              <w:pStyle w:val="Nagwek5"/>
              <w:tabs>
                <w:tab w:val="right" w:leader="dot" w:pos="4156"/>
              </w:tabs>
              <w:spacing w:before="0" w:line="240" w:lineRule="auto"/>
              <w:jc w:val="center"/>
              <w:rPr>
                <w:rFonts w:ascii="Fira Sans" w:hAnsi="Fira Sans"/>
                <w:b/>
                <w:color w:val="000000"/>
                <w:sz w:val="15"/>
                <w:szCs w:val="15"/>
              </w:rPr>
            </w:pPr>
            <w:r w:rsidRPr="00261E2B">
              <w:rPr>
                <w:rFonts w:ascii="Fira Sans" w:hAnsi="Fira Sans"/>
                <w:b/>
                <w:color w:val="000000"/>
                <w:sz w:val="15"/>
                <w:szCs w:val="15"/>
              </w:rPr>
              <w:t xml:space="preserve">Typ ubezpieczenia zgodnie </w:t>
            </w:r>
            <w:r w:rsidRPr="00261E2B">
              <w:rPr>
                <w:rFonts w:ascii="Fira Sans" w:hAnsi="Fira Sans"/>
                <w:b/>
                <w:color w:val="000000"/>
                <w:sz w:val="15"/>
                <w:szCs w:val="15"/>
              </w:rPr>
              <w:br/>
              <w:t>z metodologią ESA 2010</w:t>
            </w:r>
          </w:p>
        </w:tc>
        <w:tc>
          <w:tcPr>
            <w:tcW w:w="1137" w:type="pct"/>
            <w:vMerge w:val="restart"/>
            <w:tcBorders>
              <w:top w:val="nil"/>
              <w:bottom w:val="single" w:sz="12" w:space="0" w:color="333399"/>
              <w:right w:val="single" w:sz="12" w:space="0" w:color="333399"/>
            </w:tcBorders>
            <w:vAlign w:val="center"/>
          </w:tcPr>
          <w:p w14:paraId="4E5AA4EA" w14:textId="77777777" w:rsidR="00C14A02" w:rsidRPr="00261E2B" w:rsidRDefault="00C14A02" w:rsidP="00261E2B">
            <w:pPr>
              <w:pStyle w:val="Nagwek5"/>
              <w:tabs>
                <w:tab w:val="right" w:leader="dot" w:pos="4156"/>
              </w:tabs>
              <w:spacing w:before="0" w:line="240" w:lineRule="auto"/>
              <w:jc w:val="center"/>
              <w:rPr>
                <w:rFonts w:ascii="Fira Sans" w:hAnsi="Fira Sans" w:cs="Arial"/>
                <w:b/>
                <w:bCs/>
                <w:color w:val="000000"/>
                <w:sz w:val="15"/>
                <w:szCs w:val="15"/>
              </w:rPr>
            </w:pPr>
            <w:r w:rsidRPr="00261E2B">
              <w:rPr>
                <w:rFonts w:ascii="Fira Sans" w:hAnsi="Fira Sans"/>
                <w:b/>
                <w:color w:val="000000"/>
                <w:sz w:val="15"/>
                <w:szCs w:val="15"/>
              </w:rPr>
              <w:t xml:space="preserve">Rodzaj systemu </w:t>
            </w:r>
            <w:r w:rsidRPr="00261E2B">
              <w:rPr>
                <w:rFonts w:ascii="Fira Sans" w:hAnsi="Fira Sans"/>
                <w:b/>
                <w:color w:val="000000"/>
                <w:sz w:val="15"/>
                <w:szCs w:val="15"/>
              </w:rPr>
              <w:br/>
              <w:t xml:space="preserve">zgodnie z metodologią </w:t>
            </w:r>
            <w:r w:rsidRPr="00261E2B">
              <w:rPr>
                <w:rFonts w:ascii="Fira Sans" w:hAnsi="Fira Sans"/>
                <w:b/>
                <w:color w:val="000000"/>
                <w:sz w:val="15"/>
                <w:szCs w:val="15"/>
              </w:rPr>
              <w:br/>
              <w:t>ESA 2010</w:t>
            </w:r>
          </w:p>
        </w:tc>
        <w:tc>
          <w:tcPr>
            <w:tcW w:w="1411" w:type="pct"/>
            <w:tcBorders>
              <w:top w:val="nil"/>
              <w:left w:val="single" w:sz="12" w:space="0" w:color="333399"/>
              <w:bottom w:val="single" w:sz="12" w:space="0" w:color="333399"/>
              <w:right w:val="single" w:sz="12" w:space="0" w:color="333399"/>
            </w:tcBorders>
            <w:vAlign w:val="center"/>
          </w:tcPr>
          <w:p w14:paraId="06758C30" w14:textId="77777777" w:rsidR="00C14A02" w:rsidRPr="00261E2B" w:rsidRDefault="00C14A02" w:rsidP="00261E2B">
            <w:pPr>
              <w:pStyle w:val="Nagwek1"/>
              <w:tabs>
                <w:tab w:val="right" w:leader="dot" w:pos="4139"/>
              </w:tabs>
              <w:spacing w:before="0" w:after="0"/>
              <w:jc w:val="center"/>
              <w:rPr>
                <w:rFonts w:ascii="Fira Sans" w:hAnsi="Fira Sans" w:cs="Arial"/>
                <w:b/>
                <w:color w:val="000000"/>
                <w:sz w:val="15"/>
                <w:szCs w:val="15"/>
              </w:rPr>
            </w:pPr>
            <w:r w:rsidRPr="00261E2B">
              <w:rPr>
                <w:rFonts w:ascii="Fira Sans" w:hAnsi="Fira Sans" w:cs="Arial"/>
                <w:b/>
                <w:color w:val="000000"/>
                <w:sz w:val="15"/>
                <w:szCs w:val="15"/>
              </w:rPr>
              <w:t>SYSTEM EMERYTALNY</w:t>
            </w:r>
          </w:p>
        </w:tc>
        <w:tc>
          <w:tcPr>
            <w:tcW w:w="781" w:type="pct"/>
            <w:tcBorders>
              <w:left w:val="single" w:sz="12" w:space="0" w:color="333399"/>
              <w:right w:val="single" w:sz="12" w:space="0" w:color="333399"/>
            </w:tcBorders>
            <w:vAlign w:val="center"/>
          </w:tcPr>
          <w:p w14:paraId="668FC57B" w14:textId="77777777" w:rsidR="00C14A02" w:rsidRPr="00261E2B" w:rsidRDefault="00C14A02" w:rsidP="00261E2B">
            <w:pPr>
              <w:pStyle w:val="Nagwek1"/>
              <w:tabs>
                <w:tab w:val="right" w:leader="dot" w:pos="4139"/>
              </w:tabs>
              <w:spacing w:before="0" w:after="0"/>
              <w:jc w:val="center"/>
              <w:rPr>
                <w:rFonts w:ascii="Fira Sans" w:hAnsi="Fira Sans"/>
                <w:b/>
                <w:bCs w:val="0"/>
                <w:color w:val="000000"/>
                <w:sz w:val="15"/>
                <w:szCs w:val="15"/>
              </w:rPr>
            </w:pPr>
            <w:r w:rsidRPr="00261E2B">
              <w:rPr>
                <w:rFonts w:ascii="Fira Sans" w:hAnsi="Fira Sans" w:cs="Arial"/>
                <w:b/>
                <w:color w:val="000000"/>
                <w:sz w:val="15"/>
                <w:szCs w:val="15"/>
              </w:rPr>
              <w:t xml:space="preserve">Nabyte </w:t>
            </w:r>
            <w:r w:rsidRPr="00261E2B">
              <w:rPr>
                <w:rFonts w:ascii="Fira Sans" w:hAnsi="Fira Sans" w:cs="Arial"/>
                <w:b/>
                <w:color w:val="000000"/>
                <w:sz w:val="15"/>
                <w:szCs w:val="15"/>
              </w:rPr>
              <w:br/>
              <w:t xml:space="preserve">uprawnienia emerytalno-rentowe </w:t>
            </w:r>
            <w:r w:rsidRPr="00261E2B">
              <w:rPr>
                <w:rFonts w:ascii="Fira Sans" w:hAnsi="Fira Sans" w:cs="Arial"/>
                <w:b/>
                <w:color w:val="000000"/>
                <w:sz w:val="15"/>
                <w:szCs w:val="15"/>
              </w:rPr>
              <w:br/>
              <w:t>(w mln zł)</w:t>
            </w:r>
          </w:p>
        </w:tc>
        <w:tc>
          <w:tcPr>
            <w:tcW w:w="780" w:type="pct"/>
            <w:tcBorders>
              <w:left w:val="single" w:sz="12" w:space="0" w:color="333399"/>
            </w:tcBorders>
            <w:vAlign w:val="center"/>
          </w:tcPr>
          <w:p w14:paraId="3497FACB" w14:textId="0B6902E1" w:rsidR="00C14A02" w:rsidRPr="00261E2B" w:rsidRDefault="00C14A02" w:rsidP="00E60266">
            <w:pPr>
              <w:pStyle w:val="Nagwek3"/>
              <w:spacing w:before="0" w:line="240" w:lineRule="auto"/>
              <w:jc w:val="center"/>
              <w:rPr>
                <w:rFonts w:ascii="Fira Sans" w:hAnsi="Fira Sans"/>
                <w:b/>
                <w:color w:val="000000"/>
                <w:sz w:val="15"/>
                <w:szCs w:val="15"/>
              </w:rPr>
            </w:pPr>
            <w:r w:rsidRPr="00261E2B">
              <w:rPr>
                <w:rFonts w:ascii="Fira Sans" w:hAnsi="Fira Sans"/>
                <w:b/>
                <w:color w:val="000000"/>
                <w:sz w:val="15"/>
                <w:szCs w:val="15"/>
              </w:rPr>
              <w:t xml:space="preserve">Nabyte </w:t>
            </w:r>
            <w:r w:rsidRPr="00261E2B">
              <w:rPr>
                <w:rFonts w:ascii="Fira Sans" w:hAnsi="Fira Sans"/>
                <w:b/>
                <w:color w:val="000000"/>
                <w:sz w:val="15"/>
                <w:szCs w:val="15"/>
              </w:rPr>
              <w:br/>
              <w:t xml:space="preserve">uprawnienia emerytalno-rentowe w relacji do PKB </w:t>
            </w:r>
            <w:r w:rsidRPr="00261E2B">
              <w:rPr>
                <w:rFonts w:ascii="Fira Sans" w:hAnsi="Fira Sans"/>
                <w:b/>
                <w:color w:val="000000"/>
                <w:sz w:val="15"/>
                <w:szCs w:val="15"/>
              </w:rPr>
              <w:br/>
              <w:t>(w %)</w:t>
            </w:r>
          </w:p>
        </w:tc>
      </w:tr>
      <w:tr w:rsidR="00C14A02" w:rsidRPr="00261E2B" w14:paraId="6EB54941" w14:textId="77777777" w:rsidTr="00261E2B">
        <w:trPr>
          <w:trHeight w:val="308"/>
        </w:trPr>
        <w:tc>
          <w:tcPr>
            <w:tcW w:w="891" w:type="pct"/>
            <w:vMerge/>
            <w:tcBorders>
              <w:bottom w:val="single" w:sz="12" w:space="0" w:color="333399"/>
              <w:right w:val="single" w:sz="12" w:space="0" w:color="333399"/>
            </w:tcBorders>
            <w:vAlign w:val="center"/>
          </w:tcPr>
          <w:p w14:paraId="67BFEC89" w14:textId="77777777" w:rsidR="00C14A02" w:rsidRPr="00261E2B" w:rsidRDefault="00C14A02" w:rsidP="00261E2B">
            <w:pPr>
              <w:pStyle w:val="Nagwek5"/>
              <w:tabs>
                <w:tab w:val="right" w:leader="dot" w:pos="4156"/>
              </w:tabs>
              <w:spacing w:before="0" w:line="240" w:lineRule="auto"/>
              <w:jc w:val="center"/>
              <w:rPr>
                <w:rFonts w:ascii="Fira Sans" w:hAnsi="Fira Sans"/>
                <w:b/>
                <w:color w:val="333399"/>
                <w:sz w:val="15"/>
                <w:szCs w:val="15"/>
              </w:rPr>
            </w:pPr>
          </w:p>
        </w:tc>
        <w:tc>
          <w:tcPr>
            <w:tcW w:w="1137" w:type="pct"/>
            <w:vMerge/>
            <w:tcBorders>
              <w:bottom w:val="single" w:sz="12" w:space="0" w:color="333399"/>
              <w:right w:val="single" w:sz="12" w:space="0" w:color="333399"/>
            </w:tcBorders>
            <w:vAlign w:val="center"/>
          </w:tcPr>
          <w:p w14:paraId="48E2453F" w14:textId="77777777" w:rsidR="00C14A02" w:rsidRPr="00261E2B" w:rsidRDefault="00C14A02" w:rsidP="00261E2B">
            <w:pPr>
              <w:pStyle w:val="Nagwek5"/>
              <w:tabs>
                <w:tab w:val="right" w:leader="dot" w:pos="4156"/>
              </w:tabs>
              <w:spacing w:before="0" w:line="240" w:lineRule="auto"/>
              <w:jc w:val="center"/>
              <w:rPr>
                <w:rFonts w:ascii="Fira Sans" w:hAnsi="Fira Sans"/>
                <w:b/>
                <w:color w:val="333399"/>
                <w:sz w:val="15"/>
                <w:szCs w:val="15"/>
              </w:rPr>
            </w:pPr>
          </w:p>
        </w:tc>
        <w:tc>
          <w:tcPr>
            <w:tcW w:w="1411" w:type="pct"/>
            <w:tcBorders>
              <w:top w:val="single" w:sz="12" w:space="0" w:color="333399"/>
              <w:left w:val="single" w:sz="12" w:space="0" w:color="333399"/>
              <w:bottom w:val="single" w:sz="12" w:space="0" w:color="333399"/>
              <w:right w:val="single" w:sz="12" w:space="0" w:color="333399"/>
            </w:tcBorders>
            <w:vAlign w:val="center"/>
          </w:tcPr>
          <w:p w14:paraId="2B8756EF" w14:textId="77777777" w:rsidR="00C14A02" w:rsidRPr="00261E2B" w:rsidRDefault="00C14A02" w:rsidP="00261E2B">
            <w:pPr>
              <w:pStyle w:val="Nagwek5"/>
              <w:tabs>
                <w:tab w:val="right" w:leader="dot" w:pos="4156"/>
              </w:tabs>
              <w:spacing w:before="0" w:line="240" w:lineRule="auto"/>
              <w:rPr>
                <w:rFonts w:ascii="Fira Sans" w:hAnsi="Fira Sans"/>
                <w:b/>
                <w:color w:val="000000"/>
                <w:sz w:val="15"/>
                <w:szCs w:val="15"/>
              </w:rPr>
            </w:pPr>
            <w:r w:rsidRPr="00261E2B">
              <w:rPr>
                <w:rFonts w:ascii="Fira Sans" w:hAnsi="Fira Sans"/>
                <w:b/>
                <w:color w:val="000000"/>
                <w:sz w:val="15"/>
                <w:szCs w:val="15"/>
              </w:rPr>
              <w:t>OGÓŁEM</w:t>
            </w:r>
          </w:p>
        </w:tc>
        <w:tc>
          <w:tcPr>
            <w:tcW w:w="781" w:type="pct"/>
            <w:tcBorders>
              <w:top w:val="single" w:sz="12" w:space="0" w:color="212492"/>
              <w:left w:val="single" w:sz="12" w:space="0" w:color="333399"/>
              <w:bottom w:val="single" w:sz="12" w:space="0" w:color="333399"/>
              <w:right w:val="single" w:sz="12" w:space="0" w:color="333399"/>
            </w:tcBorders>
            <w:vAlign w:val="center"/>
          </w:tcPr>
          <w:p w14:paraId="021EC886" w14:textId="77777777" w:rsidR="00C14A02" w:rsidRPr="00261E2B" w:rsidRDefault="00C14A02" w:rsidP="00261E2B">
            <w:pPr>
              <w:spacing w:before="0" w:after="0" w:line="240" w:lineRule="auto"/>
              <w:jc w:val="right"/>
              <w:rPr>
                <w:rFonts w:ascii="Calibri" w:hAnsi="Calibri"/>
                <w:b/>
                <w:color w:val="000000"/>
                <w:sz w:val="15"/>
                <w:szCs w:val="15"/>
              </w:rPr>
            </w:pPr>
            <w:r w:rsidRPr="00261E2B">
              <w:rPr>
                <w:rFonts w:cs="Arial"/>
                <w:b/>
                <w:color w:val="000000"/>
                <w:sz w:val="15"/>
                <w:szCs w:val="15"/>
              </w:rPr>
              <w:t>4 959 144,0</w:t>
            </w:r>
          </w:p>
        </w:tc>
        <w:tc>
          <w:tcPr>
            <w:tcW w:w="780" w:type="pct"/>
            <w:tcBorders>
              <w:top w:val="single" w:sz="12" w:space="0" w:color="212492"/>
              <w:left w:val="single" w:sz="12" w:space="0" w:color="333399"/>
              <w:bottom w:val="single" w:sz="12" w:space="0" w:color="333399"/>
            </w:tcBorders>
            <w:vAlign w:val="center"/>
          </w:tcPr>
          <w:p w14:paraId="71FF6AE8" w14:textId="77777777" w:rsidR="00C14A02" w:rsidRPr="00261E2B" w:rsidRDefault="00C14A02" w:rsidP="00261E2B">
            <w:pPr>
              <w:spacing w:before="0" w:after="0" w:line="240" w:lineRule="auto"/>
              <w:jc w:val="right"/>
              <w:rPr>
                <w:rFonts w:cs="Arial"/>
                <w:b/>
                <w:color w:val="000000"/>
                <w:sz w:val="15"/>
                <w:szCs w:val="15"/>
              </w:rPr>
            </w:pPr>
            <w:r w:rsidRPr="00261E2B">
              <w:rPr>
                <w:rFonts w:cs="Arial"/>
                <w:b/>
                <w:color w:val="000000"/>
                <w:sz w:val="15"/>
                <w:szCs w:val="15"/>
              </w:rPr>
              <w:t>275,7</w:t>
            </w:r>
          </w:p>
        </w:tc>
      </w:tr>
      <w:tr w:rsidR="00C14A02" w:rsidRPr="00261E2B" w14:paraId="1EE0C6A0" w14:textId="77777777" w:rsidTr="00261E2B">
        <w:trPr>
          <w:trHeight w:val="251"/>
        </w:trPr>
        <w:tc>
          <w:tcPr>
            <w:tcW w:w="891" w:type="pct"/>
            <w:vMerge w:val="restart"/>
            <w:tcBorders>
              <w:top w:val="single" w:sz="12" w:space="0" w:color="333399"/>
              <w:right w:val="single" w:sz="12" w:space="0" w:color="333399"/>
            </w:tcBorders>
            <w:vAlign w:val="center"/>
          </w:tcPr>
          <w:p w14:paraId="3BC84703" w14:textId="77777777" w:rsidR="00C14A02" w:rsidRPr="00261E2B" w:rsidRDefault="00C14A02" w:rsidP="00261E2B">
            <w:pPr>
              <w:pStyle w:val="Nagwek8"/>
              <w:tabs>
                <w:tab w:val="right" w:leader="dot" w:pos="4156"/>
              </w:tabs>
              <w:spacing w:before="0" w:line="240" w:lineRule="auto"/>
              <w:jc w:val="center"/>
              <w:rPr>
                <w:rFonts w:ascii="Fira Sans" w:hAnsi="Fira Sans"/>
                <w:b/>
                <w:color w:val="333399"/>
                <w:sz w:val="15"/>
                <w:szCs w:val="15"/>
              </w:rPr>
            </w:pPr>
            <w:r w:rsidRPr="00261E2B">
              <w:rPr>
                <w:rFonts w:ascii="Fira Sans" w:hAnsi="Fira Sans"/>
                <w:b/>
                <w:color w:val="333399"/>
                <w:sz w:val="15"/>
                <w:szCs w:val="15"/>
              </w:rPr>
              <w:t>Zabezpieczenie społeczne</w:t>
            </w:r>
          </w:p>
        </w:tc>
        <w:tc>
          <w:tcPr>
            <w:tcW w:w="1137" w:type="pct"/>
            <w:vMerge w:val="restart"/>
            <w:tcBorders>
              <w:top w:val="single" w:sz="12" w:space="0" w:color="333399"/>
              <w:right w:val="single" w:sz="12" w:space="0" w:color="333399"/>
            </w:tcBorders>
            <w:vAlign w:val="center"/>
          </w:tcPr>
          <w:p w14:paraId="0D59166F" w14:textId="6C61631D" w:rsidR="00C14A02" w:rsidRPr="00261E2B" w:rsidRDefault="00C14A02" w:rsidP="00261E2B">
            <w:pPr>
              <w:pStyle w:val="Nagwek8"/>
              <w:tabs>
                <w:tab w:val="right" w:leader="dot" w:pos="4156"/>
              </w:tabs>
              <w:spacing w:before="0" w:line="240" w:lineRule="auto"/>
              <w:jc w:val="center"/>
              <w:rPr>
                <w:rFonts w:ascii="Fira Sans" w:hAnsi="Fira Sans"/>
                <w:color w:val="333399"/>
                <w:sz w:val="15"/>
                <w:szCs w:val="15"/>
              </w:rPr>
            </w:pPr>
            <w:r w:rsidRPr="00261E2B">
              <w:rPr>
                <w:rFonts w:ascii="Fira Sans" w:hAnsi="Fira Sans"/>
                <w:b/>
                <w:color w:val="333399"/>
                <w:sz w:val="15"/>
                <w:szCs w:val="15"/>
              </w:rPr>
              <w:t xml:space="preserve">Systemy </w:t>
            </w:r>
            <w:r w:rsidR="00AD0B81" w:rsidRPr="00261E2B">
              <w:rPr>
                <w:rFonts w:ascii="Fira Sans" w:hAnsi="Fira Sans"/>
                <w:b/>
                <w:color w:val="333399"/>
                <w:sz w:val="15"/>
                <w:szCs w:val="15"/>
              </w:rPr>
              <w:t>zabezpieczeń</w:t>
            </w:r>
            <w:r w:rsidRPr="00261E2B">
              <w:rPr>
                <w:rFonts w:ascii="Fira Sans" w:hAnsi="Fira Sans"/>
                <w:b/>
                <w:color w:val="333399"/>
                <w:sz w:val="15"/>
                <w:szCs w:val="15"/>
              </w:rPr>
              <w:br/>
              <w:t>społecznych</w:t>
            </w:r>
            <w:r w:rsidRPr="00261E2B">
              <w:rPr>
                <w:rFonts w:ascii="Fira Sans" w:hAnsi="Fira Sans"/>
                <w:color w:val="333399"/>
                <w:sz w:val="15"/>
                <w:szCs w:val="15"/>
              </w:rPr>
              <w:t xml:space="preserve"> </w:t>
            </w:r>
            <w:r w:rsidRPr="00261E2B">
              <w:rPr>
                <w:rFonts w:ascii="Fira Sans" w:hAnsi="Fira Sans"/>
                <w:color w:val="333399"/>
                <w:sz w:val="15"/>
                <w:szCs w:val="15"/>
              </w:rPr>
              <w:br/>
            </w:r>
            <w:r w:rsidRPr="00F609DA">
              <w:rPr>
                <w:rFonts w:ascii="Fira Sans" w:hAnsi="Fira Sans"/>
                <w:color w:val="333399"/>
                <w:sz w:val="14"/>
                <w:szCs w:val="14"/>
              </w:rPr>
              <w:t>(kolumna H w tablicy 29)</w:t>
            </w:r>
          </w:p>
        </w:tc>
        <w:tc>
          <w:tcPr>
            <w:tcW w:w="1411" w:type="pct"/>
            <w:tcBorders>
              <w:top w:val="single" w:sz="12" w:space="0" w:color="333399"/>
              <w:left w:val="single" w:sz="12" w:space="0" w:color="333399"/>
            </w:tcBorders>
            <w:vAlign w:val="center"/>
          </w:tcPr>
          <w:p w14:paraId="2DBE59B9" w14:textId="6F2436B5" w:rsidR="00C14A02" w:rsidRPr="00261E2B" w:rsidRDefault="00C14A02" w:rsidP="00261E2B">
            <w:pPr>
              <w:pStyle w:val="Nagwek8"/>
              <w:tabs>
                <w:tab w:val="right" w:leader="dot" w:pos="4156"/>
              </w:tabs>
              <w:spacing w:before="0" w:line="240" w:lineRule="auto"/>
              <w:rPr>
                <w:rFonts w:ascii="Fira Sans" w:hAnsi="Fira Sans"/>
                <w:b/>
                <w:color w:val="000000"/>
                <w:sz w:val="15"/>
                <w:szCs w:val="15"/>
              </w:rPr>
            </w:pPr>
            <w:r w:rsidRPr="00261E2B">
              <w:rPr>
                <w:rFonts w:ascii="Fira Sans" w:hAnsi="Fira Sans"/>
                <w:b/>
                <w:color w:val="000000"/>
                <w:sz w:val="15"/>
                <w:szCs w:val="15"/>
              </w:rPr>
              <w:t xml:space="preserve">Powszechny system </w:t>
            </w:r>
            <w:r w:rsidR="00AD0B81" w:rsidRPr="00261E2B">
              <w:rPr>
                <w:rFonts w:ascii="Fira Sans" w:hAnsi="Fira Sans"/>
                <w:b/>
                <w:color w:val="000000"/>
                <w:sz w:val="15"/>
                <w:szCs w:val="15"/>
              </w:rPr>
              <w:t xml:space="preserve">zabezpieczeń </w:t>
            </w:r>
            <w:r w:rsidRPr="00261E2B">
              <w:rPr>
                <w:rFonts w:ascii="Fira Sans" w:hAnsi="Fira Sans"/>
                <w:b/>
                <w:color w:val="000000"/>
                <w:sz w:val="15"/>
                <w:szCs w:val="15"/>
              </w:rPr>
              <w:t>społecznych (ZUS)</w:t>
            </w:r>
          </w:p>
        </w:tc>
        <w:tc>
          <w:tcPr>
            <w:tcW w:w="781" w:type="pct"/>
            <w:tcBorders>
              <w:top w:val="single" w:sz="12" w:space="0" w:color="333399"/>
            </w:tcBorders>
            <w:vAlign w:val="center"/>
          </w:tcPr>
          <w:p w14:paraId="7A84C6ED"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4 056 811,7</w:t>
            </w:r>
          </w:p>
        </w:tc>
        <w:tc>
          <w:tcPr>
            <w:tcW w:w="780" w:type="pct"/>
            <w:tcBorders>
              <w:top w:val="single" w:sz="12" w:space="0" w:color="333399"/>
            </w:tcBorders>
            <w:vAlign w:val="center"/>
          </w:tcPr>
          <w:p w14:paraId="52D05F31"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225,5</w:t>
            </w:r>
          </w:p>
        </w:tc>
      </w:tr>
      <w:tr w:rsidR="00C14A02" w:rsidRPr="00261E2B" w14:paraId="2F321155" w14:textId="77777777" w:rsidTr="00261E2B">
        <w:trPr>
          <w:trHeight w:val="177"/>
        </w:trPr>
        <w:tc>
          <w:tcPr>
            <w:tcW w:w="891" w:type="pct"/>
            <w:vMerge/>
            <w:tcBorders>
              <w:right w:val="single" w:sz="12" w:space="0" w:color="333399"/>
            </w:tcBorders>
            <w:vAlign w:val="center"/>
          </w:tcPr>
          <w:p w14:paraId="3030AA37" w14:textId="77777777" w:rsidR="00C14A02" w:rsidRPr="00261E2B" w:rsidRDefault="00C14A02" w:rsidP="00261E2B">
            <w:pPr>
              <w:pStyle w:val="Nagwek8"/>
              <w:tabs>
                <w:tab w:val="right" w:leader="dot" w:pos="4156"/>
              </w:tabs>
              <w:spacing w:before="0" w:line="240" w:lineRule="auto"/>
              <w:jc w:val="center"/>
              <w:rPr>
                <w:rFonts w:ascii="Fira Sans" w:hAnsi="Fira Sans"/>
                <w:color w:val="333399"/>
                <w:sz w:val="15"/>
                <w:szCs w:val="15"/>
              </w:rPr>
            </w:pPr>
          </w:p>
        </w:tc>
        <w:tc>
          <w:tcPr>
            <w:tcW w:w="1137" w:type="pct"/>
            <w:vMerge/>
            <w:tcBorders>
              <w:right w:val="single" w:sz="12" w:space="0" w:color="333399"/>
            </w:tcBorders>
            <w:vAlign w:val="center"/>
          </w:tcPr>
          <w:p w14:paraId="55FEBB66" w14:textId="77777777" w:rsidR="00C14A02" w:rsidRPr="00261E2B" w:rsidRDefault="00C14A02" w:rsidP="00261E2B">
            <w:pPr>
              <w:pStyle w:val="Nagwek8"/>
              <w:tabs>
                <w:tab w:val="right" w:leader="dot" w:pos="4156"/>
              </w:tabs>
              <w:spacing w:before="0" w:line="240" w:lineRule="auto"/>
              <w:jc w:val="center"/>
              <w:rPr>
                <w:rFonts w:ascii="Fira Sans" w:hAnsi="Fira Sans"/>
                <w:color w:val="333399"/>
                <w:sz w:val="15"/>
                <w:szCs w:val="15"/>
              </w:rPr>
            </w:pPr>
          </w:p>
        </w:tc>
        <w:tc>
          <w:tcPr>
            <w:tcW w:w="1411" w:type="pct"/>
            <w:tcBorders>
              <w:left w:val="single" w:sz="12" w:space="0" w:color="333399"/>
            </w:tcBorders>
            <w:vAlign w:val="center"/>
          </w:tcPr>
          <w:p w14:paraId="28681378" w14:textId="0E5FCD00" w:rsidR="00C14A02" w:rsidRPr="00261E2B" w:rsidRDefault="0027324A" w:rsidP="00261E2B">
            <w:pPr>
              <w:pStyle w:val="Nagwek8"/>
              <w:tabs>
                <w:tab w:val="right" w:leader="dot" w:pos="4156"/>
              </w:tabs>
              <w:spacing w:before="0" w:line="240" w:lineRule="auto"/>
              <w:rPr>
                <w:rFonts w:ascii="Fira Sans" w:hAnsi="Fira Sans"/>
                <w:b/>
                <w:color w:val="000000"/>
                <w:sz w:val="15"/>
                <w:szCs w:val="15"/>
              </w:rPr>
            </w:pPr>
            <w:r w:rsidRPr="00261E2B">
              <w:rPr>
                <w:rFonts w:ascii="Fira Sans" w:hAnsi="Fira Sans"/>
                <w:b/>
                <w:color w:val="000000"/>
                <w:sz w:val="15"/>
                <w:szCs w:val="15"/>
              </w:rPr>
              <w:t xml:space="preserve">System </w:t>
            </w:r>
            <w:r w:rsidR="00AD0B81" w:rsidRPr="00261E2B">
              <w:rPr>
                <w:rFonts w:ascii="Fira Sans" w:hAnsi="Fira Sans"/>
                <w:b/>
                <w:color w:val="000000"/>
                <w:sz w:val="15"/>
                <w:szCs w:val="15"/>
              </w:rPr>
              <w:t xml:space="preserve">zabezpieczenia społecznego </w:t>
            </w:r>
            <w:r w:rsidR="00C14A02" w:rsidRPr="00261E2B">
              <w:rPr>
                <w:rFonts w:ascii="Fira Sans" w:hAnsi="Fira Sans"/>
                <w:b/>
                <w:color w:val="000000"/>
                <w:sz w:val="15"/>
                <w:szCs w:val="15"/>
              </w:rPr>
              <w:t>rolników (KRUS)</w:t>
            </w:r>
          </w:p>
        </w:tc>
        <w:tc>
          <w:tcPr>
            <w:tcW w:w="781" w:type="pct"/>
            <w:vAlign w:val="center"/>
          </w:tcPr>
          <w:p w14:paraId="3BBFAD26"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325 121,7</w:t>
            </w:r>
          </w:p>
        </w:tc>
        <w:tc>
          <w:tcPr>
            <w:tcW w:w="780" w:type="pct"/>
            <w:vAlign w:val="center"/>
          </w:tcPr>
          <w:p w14:paraId="43625A61"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18,1</w:t>
            </w:r>
          </w:p>
        </w:tc>
      </w:tr>
      <w:tr w:rsidR="00C14A02" w:rsidRPr="00261E2B" w14:paraId="2EBAA342" w14:textId="77777777" w:rsidTr="00261E2B">
        <w:trPr>
          <w:trHeight w:val="752"/>
        </w:trPr>
        <w:tc>
          <w:tcPr>
            <w:tcW w:w="891" w:type="pct"/>
            <w:vMerge/>
            <w:tcBorders>
              <w:right w:val="single" w:sz="12" w:space="0" w:color="333399"/>
            </w:tcBorders>
            <w:vAlign w:val="center"/>
          </w:tcPr>
          <w:p w14:paraId="2ECFB868" w14:textId="77777777" w:rsidR="00C14A02" w:rsidRPr="00261E2B" w:rsidRDefault="00C14A02" w:rsidP="00261E2B">
            <w:pPr>
              <w:pStyle w:val="Nagwek2"/>
              <w:tabs>
                <w:tab w:val="right" w:leader="dot" w:pos="4156"/>
              </w:tabs>
              <w:spacing w:before="0" w:line="240" w:lineRule="auto"/>
              <w:jc w:val="center"/>
              <w:rPr>
                <w:rFonts w:ascii="Fira Sans" w:hAnsi="Fira Sans"/>
                <w:b/>
                <w:color w:val="333399"/>
                <w:sz w:val="15"/>
                <w:szCs w:val="15"/>
              </w:rPr>
            </w:pPr>
          </w:p>
        </w:tc>
        <w:tc>
          <w:tcPr>
            <w:tcW w:w="1137" w:type="pct"/>
            <w:vMerge w:val="restart"/>
            <w:tcBorders>
              <w:right w:val="single" w:sz="12" w:space="0" w:color="333399"/>
            </w:tcBorders>
            <w:vAlign w:val="center"/>
          </w:tcPr>
          <w:p w14:paraId="71E22F0B" w14:textId="617944CA" w:rsidR="00C14A02" w:rsidRPr="00261E2B" w:rsidRDefault="00C14A02" w:rsidP="00261E2B">
            <w:pPr>
              <w:pStyle w:val="Nagwek2"/>
              <w:tabs>
                <w:tab w:val="right" w:leader="dot" w:pos="4156"/>
              </w:tabs>
              <w:spacing w:before="0" w:line="240" w:lineRule="auto"/>
              <w:jc w:val="center"/>
              <w:rPr>
                <w:rFonts w:ascii="Fira Sans" w:hAnsi="Fira Sans"/>
                <w:color w:val="333399"/>
                <w:sz w:val="15"/>
                <w:szCs w:val="15"/>
              </w:rPr>
            </w:pPr>
            <w:r w:rsidRPr="00261E2B">
              <w:rPr>
                <w:rFonts w:ascii="Fira Sans" w:hAnsi="Fira Sans"/>
                <w:b/>
                <w:color w:val="333399"/>
                <w:sz w:val="15"/>
                <w:szCs w:val="15"/>
              </w:rPr>
              <w:t>Systemy o zdefiniowanym świadczeniu dla pracowników sektora instytucji rządowych</w:t>
            </w:r>
            <w:r w:rsidR="0027324A" w:rsidRPr="00261E2B">
              <w:rPr>
                <w:rFonts w:ascii="Fira Sans" w:hAnsi="Fira Sans"/>
                <w:b/>
                <w:color w:val="333399"/>
                <w:sz w:val="15"/>
                <w:szCs w:val="15"/>
              </w:rPr>
              <w:t xml:space="preserve"> </w:t>
            </w:r>
            <w:r w:rsidR="0027324A" w:rsidRPr="00261E2B">
              <w:rPr>
                <w:rFonts w:ascii="Fira Sans" w:hAnsi="Fira Sans"/>
                <w:b/>
                <w:color w:val="333399"/>
                <w:sz w:val="15"/>
                <w:szCs w:val="15"/>
              </w:rPr>
              <w:br/>
              <w:t xml:space="preserve">i samorządowych rejestrowane </w:t>
            </w:r>
            <w:r w:rsidRPr="00261E2B">
              <w:rPr>
                <w:rFonts w:ascii="Fira Sans" w:hAnsi="Fira Sans"/>
                <w:b/>
                <w:color w:val="333399"/>
                <w:sz w:val="15"/>
                <w:szCs w:val="15"/>
              </w:rPr>
              <w:t xml:space="preserve">w sektorze instytucji rządowych </w:t>
            </w:r>
            <w:r w:rsidRPr="00261E2B">
              <w:rPr>
                <w:rFonts w:ascii="Fira Sans" w:hAnsi="Fira Sans"/>
                <w:b/>
                <w:color w:val="333399"/>
                <w:sz w:val="15"/>
                <w:szCs w:val="15"/>
              </w:rPr>
              <w:br/>
              <w:t>i samorządowych</w:t>
            </w:r>
            <w:r w:rsidR="0027324A" w:rsidRPr="00261E2B">
              <w:rPr>
                <w:rFonts w:ascii="Fira Sans" w:hAnsi="Fira Sans"/>
                <w:color w:val="333399"/>
                <w:sz w:val="15"/>
                <w:szCs w:val="15"/>
              </w:rPr>
              <w:t xml:space="preserve"> </w:t>
            </w:r>
            <w:r w:rsidR="0027324A" w:rsidRPr="00261E2B">
              <w:rPr>
                <w:rFonts w:ascii="Fira Sans" w:hAnsi="Fira Sans"/>
                <w:color w:val="333399"/>
                <w:sz w:val="15"/>
                <w:szCs w:val="15"/>
              </w:rPr>
              <w:br/>
            </w:r>
            <w:r w:rsidR="0027324A" w:rsidRPr="00F609DA">
              <w:rPr>
                <w:rFonts w:ascii="Fira Sans" w:hAnsi="Fira Sans"/>
                <w:color w:val="333399"/>
                <w:sz w:val="14"/>
                <w:szCs w:val="14"/>
              </w:rPr>
              <w:t xml:space="preserve">(kolumna G </w:t>
            </w:r>
            <w:r w:rsidRPr="00F609DA">
              <w:rPr>
                <w:rFonts w:ascii="Fira Sans" w:hAnsi="Fira Sans"/>
                <w:color w:val="333399"/>
                <w:sz w:val="14"/>
                <w:szCs w:val="14"/>
              </w:rPr>
              <w:t>w tablicy 29)</w:t>
            </w:r>
          </w:p>
        </w:tc>
        <w:tc>
          <w:tcPr>
            <w:tcW w:w="1411" w:type="pct"/>
            <w:tcBorders>
              <w:left w:val="single" w:sz="12" w:space="0" w:color="333399"/>
            </w:tcBorders>
            <w:vAlign w:val="center"/>
          </w:tcPr>
          <w:p w14:paraId="0D339ADB" w14:textId="77777777" w:rsidR="00C14A02" w:rsidRPr="00261E2B" w:rsidRDefault="00C14A02" w:rsidP="00261E2B">
            <w:pPr>
              <w:pStyle w:val="Nagwek2"/>
              <w:tabs>
                <w:tab w:val="right" w:leader="dot" w:pos="4156"/>
              </w:tabs>
              <w:spacing w:before="0" w:line="240" w:lineRule="auto"/>
              <w:rPr>
                <w:rFonts w:ascii="Fira Sans" w:hAnsi="Fira Sans"/>
                <w:b/>
                <w:color w:val="000000"/>
                <w:sz w:val="15"/>
                <w:szCs w:val="15"/>
              </w:rPr>
            </w:pPr>
            <w:r w:rsidRPr="00261E2B">
              <w:rPr>
                <w:rFonts w:ascii="Fira Sans" w:hAnsi="Fira Sans"/>
                <w:b/>
                <w:color w:val="000000"/>
                <w:sz w:val="15"/>
                <w:szCs w:val="15"/>
              </w:rPr>
              <w:t>System zaopatrzenia emerytalno-rentowego służb mundurowych i żołnierzy zawodowych</w:t>
            </w:r>
          </w:p>
        </w:tc>
        <w:tc>
          <w:tcPr>
            <w:tcW w:w="781" w:type="pct"/>
            <w:vAlign w:val="center"/>
          </w:tcPr>
          <w:p w14:paraId="0FC87FBB" w14:textId="52E82FD9"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391 778,</w:t>
            </w:r>
            <w:r w:rsidR="00B66928" w:rsidRPr="00261E2B">
              <w:rPr>
                <w:rFonts w:cs="Arial"/>
                <w:color w:val="000000"/>
                <w:sz w:val="15"/>
                <w:szCs w:val="15"/>
              </w:rPr>
              <w:t>4</w:t>
            </w:r>
          </w:p>
        </w:tc>
        <w:tc>
          <w:tcPr>
            <w:tcW w:w="780" w:type="pct"/>
            <w:vAlign w:val="center"/>
          </w:tcPr>
          <w:p w14:paraId="19D8D6F1"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21,8</w:t>
            </w:r>
          </w:p>
        </w:tc>
      </w:tr>
      <w:tr w:rsidR="00C14A02" w:rsidRPr="00261E2B" w14:paraId="02C659A3" w14:textId="77777777" w:rsidTr="00261E2B">
        <w:trPr>
          <w:trHeight w:val="57"/>
        </w:trPr>
        <w:tc>
          <w:tcPr>
            <w:tcW w:w="891" w:type="pct"/>
            <w:vMerge/>
            <w:tcBorders>
              <w:right w:val="single" w:sz="12" w:space="0" w:color="333399"/>
            </w:tcBorders>
            <w:vAlign w:val="center"/>
          </w:tcPr>
          <w:p w14:paraId="4915EE4C" w14:textId="77777777" w:rsidR="00C14A02" w:rsidRPr="00261E2B" w:rsidRDefault="00C14A02" w:rsidP="00261E2B">
            <w:pPr>
              <w:tabs>
                <w:tab w:val="right" w:leader="dot" w:pos="4156"/>
              </w:tabs>
              <w:spacing w:before="0" w:after="0" w:line="240" w:lineRule="auto"/>
              <w:jc w:val="center"/>
              <w:rPr>
                <w:color w:val="333399"/>
                <w:sz w:val="15"/>
                <w:szCs w:val="15"/>
              </w:rPr>
            </w:pPr>
          </w:p>
        </w:tc>
        <w:tc>
          <w:tcPr>
            <w:tcW w:w="1137" w:type="pct"/>
            <w:vMerge/>
            <w:tcBorders>
              <w:right w:val="single" w:sz="12" w:space="0" w:color="333399"/>
            </w:tcBorders>
            <w:vAlign w:val="center"/>
          </w:tcPr>
          <w:p w14:paraId="6963B2D9" w14:textId="77777777" w:rsidR="00C14A02" w:rsidRPr="00261E2B" w:rsidRDefault="00C14A02" w:rsidP="00261E2B">
            <w:pPr>
              <w:tabs>
                <w:tab w:val="right" w:leader="dot" w:pos="4156"/>
              </w:tabs>
              <w:spacing w:before="0" w:after="0" w:line="240" w:lineRule="auto"/>
              <w:jc w:val="center"/>
              <w:rPr>
                <w:color w:val="333399"/>
                <w:sz w:val="15"/>
                <w:szCs w:val="15"/>
              </w:rPr>
            </w:pPr>
          </w:p>
        </w:tc>
        <w:tc>
          <w:tcPr>
            <w:tcW w:w="1411" w:type="pct"/>
            <w:tcBorders>
              <w:left w:val="single" w:sz="12" w:space="0" w:color="333399"/>
            </w:tcBorders>
            <w:vAlign w:val="center"/>
          </w:tcPr>
          <w:p w14:paraId="30D1157C" w14:textId="77777777" w:rsidR="00C14A02" w:rsidRPr="00261E2B" w:rsidRDefault="00C14A02" w:rsidP="00261E2B">
            <w:pPr>
              <w:tabs>
                <w:tab w:val="right" w:leader="dot" w:pos="4156"/>
              </w:tabs>
              <w:spacing w:before="0" w:after="0" w:line="240" w:lineRule="auto"/>
              <w:rPr>
                <w:b/>
                <w:color w:val="000000"/>
                <w:sz w:val="15"/>
                <w:szCs w:val="15"/>
              </w:rPr>
            </w:pPr>
            <w:r w:rsidRPr="00261E2B">
              <w:rPr>
                <w:b/>
                <w:color w:val="000000"/>
                <w:sz w:val="15"/>
                <w:szCs w:val="15"/>
              </w:rPr>
              <w:t xml:space="preserve">System zaopatrzenia emerytalno-rentowego sędziów </w:t>
            </w:r>
            <w:r w:rsidRPr="00261E2B">
              <w:rPr>
                <w:b/>
                <w:color w:val="000000"/>
                <w:sz w:val="15"/>
                <w:szCs w:val="15"/>
              </w:rPr>
              <w:br/>
              <w:t>i prokuratorów</w:t>
            </w:r>
          </w:p>
        </w:tc>
        <w:tc>
          <w:tcPr>
            <w:tcW w:w="781" w:type="pct"/>
            <w:vAlign w:val="center"/>
          </w:tcPr>
          <w:p w14:paraId="60320A0A"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34 313,2</w:t>
            </w:r>
          </w:p>
        </w:tc>
        <w:tc>
          <w:tcPr>
            <w:tcW w:w="780" w:type="pct"/>
            <w:vAlign w:val="center"/>
          </w:tcPr>
          <w:p w14:paraId="7AB81339"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1,9</w:t>
            </w:r>
          </w:p>
        </w:tc>
      </w:tr>
      <w:tr w:rsidR="00C14A02" w:rsidRPr="00261E2B" w14:paraId="7E7896FA" w14:textId="77777777" w:rsidTr="00261E2B">
        <w:trPr>
          <w:trHeight w:val="538"/>
        </w:trPr>
        <w:tc>
          <w:tcPr>
            <w:tcW w:w="891" w:type="pct"/>
            <w:vMerge w:val="restart"/>
            <w:tcBorders>
              <w:right w:val="single" w:sz="12" w:space="0" w:color="333399"/>
            </w:tcBorders>
            <w:vAlign w:val="center"/>
          </w:tcPr>
          <w:p w14:paraId="0E69734C" w14:textId="47C53728" w:rsidR="00C14A02" w:rsidRPr="00261E2B" w:rsidRDefault="00C14A02" w:rsidP="00261E2B">
            <w:pPr>
              <w:pStyle w:val="Nagwek9"/>
              <w:tabs>
                <w:tab w:val="right" w:leader="dot" w:pos="4156"/>
              </w:tabs>
              <w:spacing w:before="0" w:line="240" w:lineRule="auto"/>
              <w:jc w:val="center"/>
              <w:rPr>
                <w:rFonts w:ascii="Fira Sans" w:hAnsi="Fira Sans"/>
                <w:b/>
                <w:i w:val="0"/>
                <w:iCs w:val="0"/>
                <w:color w:val="333399"/>
                <w:sz w:val="15"/>
                <w:szCs w:val="15"/>
              </w:rPr>
            </w:pPr>
            <w:r w:rsidRPr="00261E2B">
              <w:rPr>
                <w:rFonts w:ascii="Fira Sans" w:hAnsi="Fira Sans"/>
                <w:b/>
                <w:i w:val="0"/>
                <w:color w:val="333399"/>
                <w:sz w:val="15"/>
                <w:szCs w:val="15"/>
              </w:rPr>
              <w:t>Systemy ub</w:t>
            </w:r>
            <w:r w:rsidR="00917AAF" w:rsidRPr="00261E2B">
              <w:rPr>
                <w:rFonts w:ascii="Fira Sans" w:hAnsi="Fira Sans"/>
                <w:b/>
                <w:i w:val="0"/>
                <w:color w:val="333399"/>
                <w:sz w:val="15"/>
                <w:szCs w:val="15"/>
              </w:rPr>
              <w:t xml:space="preserve">ezpieczeń społecznych związane </w:t>
            </w:r>
            <w:r w:rsidRPr="00261E2B">
              <w:rPr>
                <w:rFonts w:ascii="Fira Sans" w:hAnsi="Fira Sans"/>
                <w:b/>
                <w:i w:val="0"/>
                <w:color w:val="333399"/>
                <w:sz w:val="15"/>
                <w:szCs w:val="15"/>
              </w:rPr>
              <w:t>z zatrudnieniem, inne niż zabezpieczenie społeczne</w:t>
            </w:r>
          </w:p>
        </w:tc>
        <w:tc>
          <w:tcPr>
            <w:tcW w:w="1137" w:type="pct"/>
            <w:vMerge w:val="restart"/>
            <w:tcBorders>
              <w:right w:val="single" w:sz="12" w:space="0" w:color="333399"/>
            </w:tcBorders>
            <w:vAlign w:val="center"/>
          </w:tcPr>
          <w:p w14:paraId="7E78DD1C" w14:textId="77777777" w:rsidR="00C14A02" w:rsidRPr="00261E2B" w:rsidRDefault="00C14A02" w:rsidP="00261E2B">
            <w:pPr>
              <w:pStyle w:val="Nagwek9"/>
              <w:tabs>
                <w:tab w:val="right" w:leader="dot" w:pos="4156"/>
              </w:tabs>
              <w:spacing w:before="0" w:line="240" w:lineRule="auto"/>
              <w:jc w:val="center"/>
              <w:rPr>
                <w:rFonts w:ascii="Fira Sans" w:hAnsi="Fira Sans"/>
                <w:i w:val="0"/>
                <w:iCs w:val="0"/>
                <w:color w:val="333399"/>
                <w:sz w:val="15"/>
                <w:szCs w:val="15"/>
              </w:rPr>
            </w:pPr>
            <w:r w:rsidRPr="00261E2B">
              <w:rPr>
                <w:rFonts w:ascii="Fira Sans" w:hAnsi="Fira Sans"/>
                <w:b/>
                <w:i w:val="0"/>
                <w:color w:val="333399"/>
                <w:sz w:val="15"/>
                <w:szCs w:val="15"/>
              </w:rPr>
              <w:t>Systemy o zdefiniowanej składce</w:t>
            </w:r>
            <w:r w:rsidRPr="00261E2B">
              <w:rPr>
                <w:rFonts w:ascii="Fira Sans" w:hAnsi="Fira Sans"/>
                <w:i w:val="0"/>
                <w:color w:val="333399"/>
                <w:sz w:val="15"/>
                <w:szCs w:val="15"/>
              </w:rPr>
              <w:t xml:space="preserve"> </w:t>
            </w:r>
            <w:r w:rsidRPr="00261E2B">
              <w:rPr>
                <w:rFonts w:ascii="Fira Sans" w:hAnsi="Fira Sans"/>
                <w:i w:val="0"/>
                <w:color w:val="333399"/>
                <w:sz w:val="15"/>
                <w:szCs w:val="15"/>
              </w:rPr>
              <w:br/>
            </w:r>
            <w:r w:rsidRPr="00F609DA">
              <w:rPr>
                <w:rFonts w:ascii="Fira Sans" w:hAnsi="Fira Sans"/>
                <w:i w:val="0"/>
                <w:color w:val="333399"/>
                <w:sz w:val="14"/>
                <w:szCs w:val="14"/>
              </w:rPr>
              <w:t>(kolumna A w tablicy 29)</w:t>
            </w:r>
          </w:p>
        </w:tc>
        <w:tc>
          <w:tcPr>
            <w:tcW w:w="1411" w:type="pct"/>
            <w:tcBorders>
              <w:left w:val="single" w:sz="12" w:space="0" w:color="333399"/>
            </w:tcBorders>
            <w:vAlign w:val="center"/>
          </w:tcPr>
          <w:p w14:paraId="7DC77C58" w14:textId="2E1FA839" w:rsidR="00C14A02" w:rsidRPr="00261E2B" w:rsidRDefault="0027324A" w:rsidP="00261E2B">
            <w:pPr>
              <w:pStyle w:val="Nagwek9"/>
              <w:tabs>
                <w:tab w:val="right" w:leader="dot" w:pos="4156"/>
              </w:tabs>
              <w:spacing w:before="0" w:line="240" w:lineRule="auto"/>
              <w:rPr>
                <w:rFonts w:ascii="Fira Sans" w:hAnsi="Fira Sans"/>
                <w:b/>
                <w:i w:val="0"/>
                <w:iCs w:val="0"/>
                <w:color w:val="000000"/>
                <w:sz w:val="15"/>
                <w:szCs w:val="15"/>
              </w:rPr>
            </w:pPr>
            <w:r w:rsidRPr="00261E2B">
              <w:rPr>
                <w:rFonts w:ascii="Fira Sans" w:hAnsi="Fira Sans"/>
                <w:b/>
                <w:i w:val="0"/>
                <w:color w:val="000000"/>
                <w:sz w:val="15"/>
                <w:szCs w:val="15"/>
              </w:rPr>
              <w:t xml:space="preserve">Otwarte </w:t>
            </w:r>
            <w:r w:rsidR="00C14A02" w:rsidRPr="00261E2B">
              <w:rPr>
                <w:rFonts w:ascii="Fira Sans" w:hAnsi="Fira Sans"/>
                <w:b/>
                <w:i w:val="0"/>
                <w:color w:val="000000"/>
                <w:sz w:val="15"/>
                <w:szCs w:val="15"/>
              </w:rPr>
              <w:t>fundusze emerytalne (OFE)</w:t>
            </w:r>
          </w:p>
        </w:tc>
        <w:tc>
          <w:tcPr>
            <w:tcW w:w="781" w:type="pct"/>
            <w:vAlign w:val="center"/>
          </w:tcPr>
          <w:p w14:paraId="68FA41DD" w14:textId="2344496E" w:rsidR="00C14A02" w:rsidRPr="00261E2B" w:rsidRDefault="0027324A" w:rsidP="00261E2B">
            <w:pPr>
              <w:spacing w:before="0" w:after="0" w:line="240" w:lineRule="auto"/>
              <w:jc w:val="right"/>
              <w:rPr>
                <w:rFonts w:cs="Arial"/>
                <w:color w:val="000000"/>
                <w:sz w:val="15"/>
                <w:szCs w:val="15"/>
              </w:rPr>
            </w:pPr>
            <w:r w:rsidRPr="00261E2B">
              <w:rPr>
                <w:rFonts w:cs="Arial"/>
                <w:color w:val="000000"/>
                <w:sz w:val="15"/>
                <w:szCs w:val="15"/>
              </w:rPr>
              <w:t xml:space="preserve">140 </w:t>
            </w:r>
            <w:r w:rsidR="00C14A02" w:rsidRPr="00261E2B">
              <w:rPr>
                <w:rFonts w:cs="Arial"/>
                <w:color w:val="000000"/>
                <w:sz w:val="15"/>
                <w:szCs w:val="15"/>
              </w:rPr>
              <w:t>496,0</w:t>
            </w:r>
          </w:p>
        </w:tc>
        <w:tc>
          <w:tcPr>
            <w:tcW w:w="780" w:type="pct"/>
            <w:vAlign w:val="center"/>
          </w:tcPr>
          <w:p w14:paraId="63BDABE7"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7,8</w:t>
            </w:r>
          </w:p>
        </w:tc>
      </w:tr>
      <w:tr w:rsidR="00C14A02" w:rsidRPr="00261E2B" w14:paraId="660CC939" w14:textId="77777777" w:rsidTr="00261E2B">
        <w:trPr>
          <w:trHeight w:val="20"/>
        </w:trPr>
        <w:tc>
          <w:tcPr>
            <w:tcW w:w="891" w:type="pct"/>
            <w:vMerge/>
            <w:tcBorders>
              <w:right w:val="single" w:sz="12" w:space="0" w:color="333399"/>
            </w:tcBorders>
            <w:vAlign w:val="center"/>
          </w:tcPr>
          <w:p w14:paraId="734501C2" w14:textId="77777777" w:rsidR="00C14A02" w:rsidRPr="00261E2B" w:rsidRDefault="00C14A02" w:rsidP="00261E2B">
            <w:pPr>
              <w:tabs>
                <w:tab w:val="right" w:leader="dot" w:pos="4156"/>
              </w:tabs>
              <w:spacing w:before="0" w:after="0" w:line="240" w:lineRule="auto"/>
              <w:rPr>
                <w:color w:val="000000"/>
                <w:sz w:val="15"/>
                <w:szCs w:val="15"/>
              </w:rPr>
            </w:pPr>
          </w:p>
        </w:tc>
        <w:tc>
          <w:tcPr>
            <w:tcW w:w="1137" w:type="pct"/>
            <w:vMerge/>
            <w:tcBorders>
              <w:right w:val="single" w:sz="12" w:space="0" w:color="333399"/>
            </w:tcBorders>
            <w:vAlign w:val="center"/>
          </w:tcPr>
          <w:p w14:paraId="396162F1" w14:textId="77777777" w:rsidR="00C14A02" w:rsidRPr="00261E2B" w:rsidRDefault="00C14A02" w:rsidP="00261E2B">
            <w:pPr>
              <w:tabs>
                <w:tab w:val="right" w:leader="dot" w:pos="4156"/>
              </w:tabs>
              <w:spacing w:before="0" w:after="0" w:line="240" w:lineRule="auto"/>
              <w:rPr>
                <w:color w:val="000000"/>
                <w:sz w:val="15"/>
                <w:szCs w:val="15"/>
              </w:rPr>
            </w:pPr>
          </w:p>
        </w:tc>
        <w:tc>
          <w:tcPr>
            <w:tcW w:w="1411" w:type="pct"/>
            <w:tcBorders>
              <w:left w:val="single" w:sz="12" w:space="0" w:color="333399"/>
            </w:tcBorders>
            <w:vAlign w:val="center"/>
          </w:tcPr>
          <w:p w14:paraId="681D8DF1" w14:textId="77777777" w:rsidR="00C14A02" w:rsidRPr="00261E2B" w:rsidRDefault="00C14A02" w:rsidP="00261E2B">
            <w:pPr>
              <w:tabs>
                <w:tab w:val="right" w:leader="dot" w:pos="4156"/>
              </w:tabs>
              <w:spacing w:before="0" w:after="0" w:line="240" w:lineRule="auto"/>
              <w:rPr>
                <w:b/>
                <w:color w:val="000000"/>
                <w:sz w:val="15"/>
                <w:szCs w:val="15"/>
              </w:rPr>
            </w:pPr>
            <w:r w:rsidRPr="00261E2B">
              <w:rPr>
                <w:b/>
                <w:color w:val="000000"/>
                <w:sz w:val="15"/>
                <w:szCs w:val="15"/>
              </w:rPr>
              <w:t>Pracownicze programy emerytalne (PPE)</w:t>
            </w:r>
          </w:p>
        </w:tc>
        <w:tc>
          <w:tcPr>
            <w:tcW w:w="781" w:type="pct"/>
            <w:vAlign w:val="center"/>
          </w:tcPr>
          <w:p w14:paraId="50DB40F3"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10 623,0</w:t>
            </w:r>
          </w:p>
        </w:tc>
        <w:tc>
          <w:tcPr>
            <w:tcW w:w="780" w:type="pct"/>
            <w:vAlign w:val="center"/>
          </w:tcPr>
          <w:p w14:paraId="0657816C" w14:textId="77777777" w:rsidR="00C14A02" w:rsidRPr="00261E2B" w:rsidRDefault="00C14A02" w:rsidP="00261E2B">
            <w:pPr>
              <w:spacing w:before="0" w:after="0" w:line="240" w:lineRule="auto"/>
              <w:jc w:val="right"/>
              <w:rPr>
                <w:rFonts w:cs="Arial"/>
                <w:color w:val="000000"/>
                <w:sz w:val="15"/>
                <w:szCs w:val="15"/>
              </w:rPr>
            </w:pPr>
            <w:r w:rsidRPr="00261E2B">
              <w:rPr>
                <w:rFonts w:cs="Arial"/>
                <w:color w:val="000000"/>
                <w:sz w:val="15"/>
                <w:szCs w:val="15"/>
              </w:rPr>
              <w:t>0,6</w:t>
            </w:r>
          </w:p>
        </w:tc>
      </w:tr>
    </w:tbl>
    <w:p w14:paraId="13908A5E" w14:textId="341070AB" w:rsidR="00F06B8D" w:rsidRDefault="00F23865" w:rsidP="009940B4">
      <w:pPr>
        <w:spacing w:before="240" w:after="0"/>
        <w:jc w:val="both"/>
        <w:rPr>
          <w:szCs w:val="19"/>
          <w:lang w:eastAsia="pl-PL"/>
        </w:rPr>
      </w:pPr>
      <w:r>
        <w:rPr>
          <w:szCs w:val="19"/>
          <w:lang w:eastAsia="pl-PL"/>
        </w:rPr>
        <w:t>W</w:t>
      </w:r>
      <w:r w:rsidR="00C14A02" w:rsidRPr="00C734D4">
        <w:rPr>
          <w:szCs w:val="19"/>
          <w:lang w:eastAsia="pl-PL"/>
        </w:rPr>
        <w:t>ykresy</w:t>
      </w:r>
      <w:r>
        <w:rPr>
          <w:szCs w:val="19"/>
          <w:lang w:eastAsia="pl-PL"/>
        </w:rPr>
        <w:t xml:space="preserve"> 1-4</w:t>
      </w:r>
      <w:r w:rsidR="00C14A02" w:rsidRPr="00C734D4">
        <w:rPr>
          <w:szCs w:val="19"/>
          <w:lang w:eastAsia="pl-PL"/>
        </w:rPr>
        <w:t xml:space="preserve"> przedstawiają </w:t>
      </w:r>
      <w:r w:rsidR="00C14A02">
        <w:rPr>
          <w:szCs w:val="19"/>
          <w:lang w:eastAsia="pl-PL"/>
        </w:rPr>
        <w:t xml:space="preserve">wartość nabytych uprawnień emerytalno-rentowych w Polsce w relacji do PKB w poszczególnych systemach emerytalno-rentowych </w:t>
      </w:r>
      <w:r w:rsidR="00C14A02" w:rsidRPr="00C734D4">
        <w:rPr>
          <w:szCs w:val="19"/>
          <w:lang w:eastAsia="pl-PL"/>
        </w:rPr>
        <w:t>na koniec 2015 r.</w:t>
      </w:r>
      <w:r w:rsidR="0027324A">
        <w:rPr>
          <w:szCs w:val="19"/>
          <w:lang w:eastAsia="pl-PL"/>
        </w:rPr>
        <w:t>,</w:t>
      </w:r>
      <w:r w:rsidR="00C14A02" w:rsidRPr="00C734D4">
        <w:rPr>
          <w:szCs w:val="19"/>
          <w:lang w:eastAsia="pl-PL"/>
        </w:rPr>
        <w:t xml:space="preserve"> </w:t>
      </w:r>
      <w:r w:rsidR="00C14A02">
        <w:rPr>
          <w:szCs w:val="19"/>
          <w:lang w:eastAsia="pl-PL"/>
        </w:rPr>
        <w:t xml:space="preserve">ich udział w uprawnieniach ogółem oraz w </w:t>
      </w:r>
      <w:r w:rsidR="00C14A02" w:rsidRPr="00C734D4">
        <w:rPr>
          <w:szCs w:val="19"/>
          <w:lang w:eastAsia="pl-PL"/>
        </w:rPr>
        <w:t>podziale na sektor</w:t>
      </w:r>
      <w:r>
        <w:rPr>
          <w:szCs w:val="19"/>
          <w:lang w:eastAsia="pl-PL"/>
        </w:rPr>
        <w:t xml:space="preserve"> instytucji rządowych i samorządowych </w:t>
      </w:r>
      <w:r w:rsidR="00150F10">
        <w:rPr>
          <w:szCs w:val="19"/>
          <w:lang w:eastAsia="pl-PL"/>
        </w:rPr>
        <w:br/>
      </w:r>
      <w:r>
        <w:rPr>
          <w:szCs w:val="19"/>
          <w:lang w:eastAsia="pl-PL"/>
        </w:rPr>
        <w:t>i poza nim, a także</w:t>
      </w:r>
      <w:r w:rsidR="00C14A02" w:rsidRPr="00C734D4">
        <w:rPr>
          <w:szCs w:val="19"/>
          <w:lang w:eastAsia="pl-PL"/>
        </w:rPr>
        <w:t xml:space="preserve"> według rodzaju systemu emerytalnego</w:t>
      </w:r>
      <w:r w:rsidR="00C14A02">
        <w:rPr>
          <w:szCs w:val="19"/>
          <w:lang w:eastAsia="pl-PL"/>
        </w:rPr>
        <w:t>.</w:t>
      </w:r>
    </w:p>
    <w:tbl>
      <w:tblPr>
        <w:tblW w:w="8207" w:type="dxa"/>
        <w:tblLayout w:type="fixed"/>
        <w:tblLook w:val="01E0" w:firstRow="1" w:lastRow="1" w:firstColumn="1" w:lastColumn="1" w:noHBand="0" w:noVBand="0"/>
      </w:tblPr>
      <w:tblGrid>
        <w:gridCol w:w="4269"/>
        <w:gridCol w:w="3938"/>
      </w:tblGrid>
      <w:tr w:rsidR="00633E9B" w:rsidRPr="004E681E" w14:paraId="3D69E426" w14:textId="77777777" w:rsidTr="00A144EF">
        <w:tc>
          <w:tcPr>
            <w:tcW w:w="4269" w:type="dxa"/>
            <w:tcBorders>
              <w:top w:val="single" w:sz="12" w:space="0" w:color="FFFFFF"/>
              <w:left w:val="single" w:sz="12" w:space="0" w:color="FFFFFF"/>
              <w:bottom w:val="single" w:sz="12" w:space="0" w:color="FFFFFF"/>
              <w:right w:val="single" w:sz="12" w:space="0" w:color="FFFFFF"/>
            </w:tcBorders>
          </w:tcPr>
          <w:p w14:paraId="2B18F8E3" w14:textId="69A34BE6" w:rsidR="00633E9B" w:rsidRPr="004E681E" w:rsidRDefault="000A5BA0" w:rsidP="000A5BA0">
            <w:pPr>
              <w:spacing w:before="60" w:after="60" w:line="200" w:lineRule="exact"/>
              <w:rPr>
                <w:rFonts w:ascii="Fira Sans SemiBold" w:hAnsi="Fira Sans SemiBold"/>
                <w:bCs/>
                <w:color w:val="001D77"/>
                <w:sz w:val="18"/>
                <w:szCs w:val="18"/>
                <w:lang w:eastAsia="pl-PL"/>
              </w:rPr>
            </w:pPr>
            <w:r>
              <w:rPr>
                <w:b/>
                <w:noProof/>
                <w:sz w:val="18"/>
                <w:szCs w:val="18"/>
                <w:lang w:eastAsia="pl-PL"/>
              </w:rPr>
              <w:lastRenderedPageBreak/>
              <w:drawing>
                <wp:anchor distT="0" distB="0" distL="114300" distR="114300" simplePos="0" relativeHeight="251783168" behindDoc="0" locked="0" layoutInCell="1" allowOverlap="1" wp14:anchorId="699B721E" wp14:editId="19891459">
                  <wp:simplePos x="0" y="0"/>
                  <wp:positionH relativeFrom="margin">
                    <wp:posOffset>-2540</wp:posOffset>
                  </wp:positionH>
                  <wp:positionV relativeFrom="margin">
                    <wp:posOffset>727075</wp:posOffset>
                  </wp:positionV>
                  <wp:extent cx="2181860" cy="3115310"/>
                  <wp:effectExtent l="0" t="0" r="8890" b="8890"/>
                  <wp:wrapSquare wrapText="bothSides"/>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r="30188"/>
                          <a:stretch/>
                        </pic:blipFill>
                        <pic:spPr bwMode="auto">
                          <a:xfrm>
                            <a:off x="0" y="0"/>
                            <a:ext cx="2181860" cy="311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E9B">
              <w:rPr>
                <w:b/>
                <w:sz w:val="18"/>
                <w:szCs w:val="18"/>
              </w:rPr>
              <w:t>Wykres 1</w:t>
            </w:r>
            <w:r w:rsidR="00633E9B" w:rsidRPr="004E681E">
              <w:rPr>
                <w:b/>
                <w:sz w:val="18"/>
                <w:szCs w:val="18"/>
              </w:rPr>
              <w:t>. Wartość nabytych uprawnień emerytalno-rentowych w Polsce w relacji do PKB na koniec 2015 r. w poszczególnych systemach emerytalno-rentowych.</w:t>
            </w:r>
            <w:r>
              <w:rPr>
                <w:b/>
                <w:noProof/>
                <w:sz w:val="18"/>
                <w:szCs w:val="18"/>
                <w:lang w:eastAsia="pl-PL"/>
              </w:rPr>
              <w:t xml:space="preserve"> </w:t>
            </w:r>
          </w:p>
        </w:tc>
        <w:tc>
          <w:tcPr>
            <w:tcW w:w="3938" w:type="dxa"/>
            <w:tcBorders>
              <w:top w:val="single" w:sz="12" w:space="0" w:color="FFFFFF"/>
              <w:left w:val="single" w:sz="12" w:space="0" w:color="FFFFFF"/>
              <w:bottom w:val="single" w:sz="12" w:space="0" w:color="FFFFFF"/>
              <w:right w:val="single" w:sz="12" w:space="0" w:color="FFFFFF"/>
            </w:tcBorders>
          </w:tcPr>
          <w:p w14:paraId="7810F3E7" w14:textId="699CF2CB" w:rsidR="00633E9B" w:rsidRPr="004E681E" w:rsidRDefault="00A45942" w:rsidP="00726865">
            <w:pPr>
              <w:spacing w:before="60" w:after="60" w:line="200" w:lineRule="exact"/>
              <w:rPr>
                <w:b/>
                <w:sz w:val="18"/>
                <w:szCs w:val="18"/>
              </w:rPr>
            </w:pPr>
            <w:r>
              <w:rPr>
                <w:b/>
                <w:noProof/>
                <w:sz w:val="18"/>
                <w:szCs w:val="18"/>
                <w:lang w:eastAsia="pl-PL"/>
              </w:rPr>
              <w:drawing>
                <wp:anchor distT="0" distB="0" distL="114300" distR="114300" simplePos="0" relativeHeight="251782144" behindDoc="0" locked="0" layoutInCell="1" allowOverlap="1" wp14:anchorId="7DDA34D1" wp14:editId="4F969EF9">
                  <wp:simplePos x="0" y="0"/>
                  <wp:positionH relativeFrom="column">
                    <wp:posOffset>-19787</wp:posOffset>
                  </wp:positionH>
                  <wp:positionV relativeFrom="paragraph">
                    <wp:posOffset>727352</wp:posOffset>
                  </wp:positionV>
                  <wp:extent cx="2322195" cy="3135630"/>
                  <wp:effectExtent l="0" t="0" r="1905" b="7620"/>
                  <wp:wrapSquare wrapText="bothSides"/>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322195" cy="3135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865">
              <w:rPr>
                <w:b/>
                <w:sz w:val="18"/>
                <w:szCs w:val="18"/>
              </w:rPr>
              <w:t>Wy</w:t>
            </w:r>
            <w:r w:rsidR="00633E9B">
              <w:rPr>
                <w:b/>
                <w:sz w:val="18"/>
                <w:szCs w:val="18"/>
              </w:rPr>
              <w:t>kres 2</w:t>
            </w:r>
            <w:r w:rsidR="0027324A">
              <w:rPr>
                <w:b/>
                <w:sz w:val="18"/>
                <w:szCs w:val="18"/>
              </w:rPr>
              <w:t xml:space="preserve">. Udział </w:t>
            </w:r>
            <w:r w:rsidR="00633E9B" w:rsidRPr="004E681E">
              <w:rPr>
                <w:b/>
                <w:sz w:val="18"/>
                <w:szCs w:val="18"/>
              </w:rPr>
              <w:t>nabytych uprawnień emerytalno-rentowych w uprawnieniach ogółem na koniec 2015 r. wg systemów emerytalno-rentowych.</w:t>
            </w:r>
            <w:r w:rsidR="00726865">
              <w:rPr>
                <w:b/>
                <w:noProof/>
                <w:sz w:val="18"/>
                <w:szCs w:val="18"/>
                <w:lang w:eastAsia="pl-PL"/>
              </w:rPr>
              <w:t xml:space="preserve"> </w:t>
            </w:r>
          </w:p>
        </w:tc>
      </w:tr>
    </w:tbl>
    <w:tbl>
      <w:tblPr>
        <w:tblpPr w:leftFromText="141" w:rightFromText="141" w:vertAnchor="text" w:horzAnchor="margin" w:tblpY="145"/>
        <w:tblW w:w="8207" w:type="dxa"/>
        <w:tblLayout w:type="fixed"/>
        <w:tblLook w:val="01E0" w:firstRow="1" w:lastRow="1" w:firstColumn="1" w:lastColumn="1" w:noHBand="0" w:noVBand="0"/>
      </w:tblPr>
      <w:tblGrid>
        <w:gridCol w:w="4269"/>
        <w:gridCol w:w="3938"/>
      </w:tblGrid>
      <w:tr w:rsidR="00384C5B" w:rsidRPr="004E681E" w:rsidDel="00384C5B" w14:paraId="4E925DF1" w14:textId="77777777" w:rsidTr="006B157F">
        <w:tc>
          <w:tcPr>
            <w:tcW w:w="4269" w:type="dxa"/>
            <w:tcBorders>
              <w:top w:val="single" w:sz="12" w:space="0" w:color="FFFFFF"/>
              <w:left w:val="single" w:sz="12" w:space="0" w:color="FFFFFF"/>
              <w:bottom w:val="single" w:sz="12" w:space="0" w:color="FFFFFF"/>
              <w:right w:val="single" w:sz="12" w:space="0" w:color="FFFFFF"/>
            </w:tcBorders>
          </w:tcPr>
          <w:p w14:paraId="5B991781" w14:textId="1B23CC2E" w:rsidR="00384C5B" w:rsidRPr="007F3E86" w:rsidDel="00384C5B" w:rsidRDefault="006B157F" w:rsidP="006B157F">
            <w:pPr>
              <w:spacing w:before="0" w:after="0" w:line="200" w:lineRule="exact"/>
              <w:rPr>
                <w:b/>
                <w:sz w:val="18"/>
                <w:szCs w:val="18"/>
              </w:rPr>
            </w:pPr>
            <w:r>
              <w:rPr>
                <w:b/>
                <w:noProof/>
                <w:sz w:val="18"/>
                <w:szCs w:val="18"/>
                <w:lang w:eastAsia="pl-PL"/>
              </w:rPr>
              <w:drawing>
                <wp:anchor distT="0" distB="0" distL="114300" distR="114300" simplePos="0" relativeHeight="251784192" behindDoc="0" locked="0" layoutInCell="1" allowOverlap="1" wp14:anchorId="58DDEB04" wp14:editId="4AC423BF">
                  <wp:simplePos x="0" y="0"/>
                  <wp:positionH relativeFrom="margin">
                    <wp:posOffset>-58530</wp:posOffset>
                  </wp:positionH>
                  <wp:positionV relativeFrom="margin">
                    <wp:posOffset>970888</wp:posOffset>
                  </wp:positionV>
                  <wp:extent cx="2917825" cy="305308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2887" t="12724" r="5563" b="5837"/>
                          <a:stretch/>
                        </pic:blipFill>
                        <pic:spPr bwMode="auto">
                          <a:xfrm>
                            <a:off x="0" y="0"/>
                            <a:ext cx="2917825"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C5B" w:rsidRPr="004E681E" w:rsidDel="00384C5B">
              <w:rPr>
                <w:b/>
                <w:sz w:val="18"/>
                <w:szCs w:val="18"/>
              </w:rPr>
              <w:t xml:space="preserve">Wykres </w:t>
            </w:r>
            <w:r w:rsidR="00384C5B" w:rsidDel="00384C5B">
              <w:rPr>
                <w:b/>
                <w:sz w:val="18"/>
                <w:szCs w:val="18"/>
              </w:rPr>
              <w:t>3</w:t>
            </w:r>
            <w:r w:rsidR="00384C5B" w:rsidRPr="004E681E" w:rsidDel="00384C5B">
              <w:rPr>
                <w:b/>
                <w:sz w:val="18"/>
                <w:szCs w:val="18"/>
              </w:rPr>
              <w:t>. Wartość nabytych uprawnień emerytalno-rentowych w Polsce w relacji do PKB na koniec 2015 r. wg rodzaju systemu emerytalno-rentowego.</w:t>
            </w:r>
          </w:p>
        </w:tc>
        <w:tc>
          <w:tcPr>
            <w:tcW w:w="3938" w:type="dxa"/>
            <w:tcBorders>
              <w:top w:val="single" w:sz="12" w:space="0" w:color="FFFFFF"/>
              <w:left w:val="single" w:sz="12" w:space="0" w:color="FFFFFF"/>
              <w:bottom w:val="single" w:sz="12" w:space="0" w:color="FFFFFF"/>
              <w:right w:val="single" w:sz="12" w:space="0" w:color="FFFFFF"/>
            </w:tcBorders>
          </w:tcPr>
          <w:p w14:paraId="1B278A61" w14:textId="3DDE308A" w:rsidR="00384C5B" w:rsidDel="00384C5B" w:rsidRDefault="009A1B90" w:rsidP="00384C5B">
            <w:pPr>
              <w:spacing w:before="0" w:after="0" w:line="200" w:lineRule="exact"/>
              <w:rPr>
                <w:b/>
                <w:sz w:val="18"/>
                <w:szCs w:val="18"/>
              </w:rPr>
            </w:pPr>
            <w:r>
              <w:rPr>
                <w:rFonts w:ascii="Fira Sans SemiBold" w:hAnsi="Fira Sans SemiBold"/>
                <w:bCs/>
                <w:noProof/>
                <w:color w:val="001D77"/>
                <w:szCs w:val="24"/>
                <w:lang w:eastAsia="pl-PL"/>
              </w:rPr>
              <w:drawing>
                <wp:anchor distT="0" distB="0" distL="114300" distR="114300" simplePos="0" relativeHeight="251785216" behindDoc="0" locked="0" layoutInCell="1" allowOverlap="1" wp14:anchorId="7154AAC5" wp14:editId="044415BE">
                  <wp:simplePos x="0" y="0"/>
                  <wp:positionH relativeFrom="margin">
                    <wp:posOffset>-59055</wp:posOffset>
                  </wp:positionH>
                  <wp:positionV relativeFrom="margin">
                    <wp:posOffset>892175</wp:posOffset>
                  </wp:positionV>
                  <wp:extent cx="2710815" cy="287782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80" t="9055" r="18038" b="12914"/>
                          <a:stretch/>
                        </pic:blipFill>
                        <pic:spPr bwMode="auto">
                          <a:xfrm>
                            <a:off x="0" y="0"/>
                            <a:ext cx="2710815" cy="287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C5B" w:rsidDel="00384C5B">
              <w:rPr>
                <w:b/>
                <w:sz w:val="18"/>
                <w:szCs w:val="18"/>
              </w:rPr>
              <w:t>Wykres 4. Udział</w:t>
            </w:r>
            <w:r w:rsidR="00384C5B" w:rsidRPr="004E681E" w:rsidDel="00384C5B">
              <w:rPr>
                <w:b/>
                <w:sz w:val="18"/>
                <w:szCs w:val="18"/>
              </w:rPr>
              <w:t xml:space="preserve"> nabytych uprawnień emerytalno-rentowych w</w:t>
            </w:r>
            <w:r w:rsidR="00384C5B" w:rsidDel="00384C5B">
              <w:rPr>
                <w:b/>
                <w:sz w:val="18"/>
                <w:szCs w:val="18"/>
              </w:rPr>
              <w:t xml:space="preserve"> Polsce w uprawnieniach ogółem </w:t>
            </w:r>
            <w:r w:rsidR="00384C5B" w:rsidRPr="004E681E" w:rsidDel="00384C5B">
              <w:rPr>
                <w:b/>
                <w:sz w:val="18"/>
                <w:szCs w:val="18"/>
              </w:rPr>
              <w:t xml:space="preserve">na koniec 2015 r. wg systemów emerytalno-rentowych znajdujących się w sektorze instytucji rządowych i samorządowych </w:t>
            </w:r>
            <w:r w:rsidR="00CD45F7">
              <w:rPr>
                <w:b/>
                <w:sz w:val="18"/>
                <w:szCs w:val="18"/>
              </w:rPr>
              <w:br/>
            </w:r>
            <w:r w:rsidR="00384C5B" w:rsidRPr="004E681E" w:rsidDel="00384C5B">
              <w:rPr>
                <w:b/>
                <w:sz w:val="18"/>
                <w:szCs w:val="18"/>
              </w:rPr>
              <w:t>i poza nim.</w:t>
            </w:r>
          </w:p>
          <w:p w14:paraId="7A4F4837" w14:textId="6869CCAE" w:rsidR="00845240" w:rsidRPr="004E681E" w:rsidDel="00384C5B" w:rsidRDefault="00845240" w:rsidP="00845240">
            <w:pPr>
              <w:spacing w:before="0" w:after="0" w:line="200" w:lineRule="exact"/>
              <w:jc w:val="both"/>
              <w:rPr>
                <w:rFonts w:ascii="Fira Sans SemiBold" w:hAnsi="Fira Sans SemiBold"/>
                <w:bCs/>
                <w:color w:val="001D77"/>
                <w:szCs w:val="24"/>
                <w:lang w:eastAsia="pl-PL"/>
              </w:rPr>
            </w:pPr>
          </w:p>
        </w:tc>
      </w:tr>
    </w:tbl>
    <w:p w14:paraId="54FB3B65" w14:textId="77777777" w:rsidR="00FC2C67" w:rsidRDefault="00FC2C67" w:rsidP="00FC2C67">
      <w:pPr>
        <w:spacing w:before="240" w:line="240" w:lineRule="auto"/>
        <w:jc w:val="both"/>
        <w:rPr>
          <w:rFonts w:ascii="Fira Sans SemiBold" w:eastAsia="Times New Roman" w:hAnsi="Fira Sans SemiBold" w:cs="Times New Roman"/>
          <w:bCs/>
          <w:color w:val="001D77"/>
          <w:szCs w:val="24"/>
          <w:lang w:eastAsia="pl-PL"/>
        </w:rPr>
      </w:pPr>
    </w:p>
    <w:p w14:paraId="638A47A6" w14:textId="77777777" w:rsidR="00FC2C67" w:rsidRPr="00FC2C67" w:rsidRDefault="00B119FA" w:rsidP="00FC2C67">
      <w:pPr>
        <w:pStyle w:val="Akapitzlist"/>
        <w:numPr>
          <w:ilvl w:val="0"/>
          <w:numId w:val="9"/>
        </w:numPr>
        <w:spacing w:before="240" w:line="240" w:lineRule="auto"/>
        <w:jc w:val="both"/>
        <w:rPr>
          <w:rFonts w:ascii="Fira Sans SemiBold" w:eastAsia="Times New Roman" w:hAnsi="Fira Sans SemiBold" w:cs="Times New Roman"/>
          <w:bCs/>
          <w:color w:val="001D77"/>
          <w:szCs w:val="24"/>
          <w:lang w:eastAsia="pl-PL"/>
        </w:rPr>
      </w:pPr>
      <w:r w:rsidRPr="00384C5B">
        <w:rPr>
          <w:noProof/>
          <w:lang w:eastAsia="pl-PL"/>
        </w:rPr>
        <w:lastRenderedPageBreak/>
        <mc:AlternateContent>
          <mc:Choice Requires="wps">
            <w:drawing>
              <wp:anchor distT="45720" distB="45720" distL="114300" distR="114300" simplePos="0" relativeHeight="251737088" behindDoc="1" locked="0" layoutInCell="1" allowOverlap="1" wp14:anchorId="217280CC" wp14:editId="3500ED8D">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142BEAA7" w14:textId="77777777" w:rsidR="00B119FA" w:rsidRPr="00D616D2" w:rsidRDefault="00B119FA" w:rsidP="00B119FA">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280CC" id="Pole tekstowe 4" o:spid="_x0000_s1027" type="#_x0000_t202" style="position:absolute;left:0;text-align:left;margin-left:411pt;margin-top:13pt;width:135.85pt;height:65.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" filled="f" stroked="f">
                <v:textbox>
                  <w:txbxContent>
                    <w:p w14:paraId="142BEAA7" w14:textId="77777777" w:rsidR="00B119FA" w:rsidRPr="00D616D2" w:rsidRDefault="00B119FA" w:rsidP="00B119FA">
                      <w:pPr>
                        <w:spacing w:after="0"/>
                        <w:rPr>
                          <w:rFonts w:eastAsia="Times New Roman" w:cs="Times New Roman"/>
                          <w:bCs/>
                          <w:color w:val="001D77"/>
                          <w:sz w:val="18"/>
                          <w:szCs w:val="18"/>
                          <w:lang w:eastAsia="pl-PL"/>
                        </w:rPr>
                      </w:pPr>
                    </w:p>
                  </w:txbxContent>
                </v:textbox>
                <w10:wrap type="tight"/>
              </v:shape>
            </w:pict>
          </mc:Fallback>
        </mc:AlternateContent>
      </w:r>
      <w:r w:rsidR="00E330A1" w:rsidRPr="00FC2C67">
        <w:rPr>
          <w:rFonts w:ascii="Fira Sans SemiBold" w:eastAsia="Times New Roman" w:hAnsi="Fira Sans SemiBold" w:cs="Times New Roman"/>
          <w:bCs/>
          <w:color w:val="001D77"/>
          <w:szCs w:val="24"/>
          <w:lang w:eastAsia="pl-PL"/>
        </w:rPr>
        <w:t>Analiza wrażliwości</w:t>
      </w:r>
      <w:r w:rsidR="006D49AB" w:rsidRPr="00FC2C67">
        <w:rPr>
          <w:rFonts w:ascii="Fira Sans SemiBold" w:eastAsia="Times New Roman" w:hAnsi="Fira Sans SemiBold" w:cs="Times New Roman"/>
          <w:bCs/>
          <w:color w:val="001D77"/>
          <w:szCs w:val="24"/>
          <w:lang w:eastAsia="pl-PL"/>
        </w:rPr>
        <w:t xml:space="preserve"> </w:t>
      </w:r>
    </w:p>
    <w:p w14:paraId="292A7323" w14:textId="789D933F" w:rsidR="00E330A1" w:rsidRDefault="00A337E2" w:rsidP="004B72BE">
      <w:pPr>
        <w:spacing w:before="0" w:after="0"/>
        <w:jc w:val="both"/>
      </w:pPr>
      <w:r w:rsidRPr="00E330A1">
        <w:rPr>
          <w:noProof/>
          <w:shd w:val="clear" w:color="auto" w:fill="FFFFFF"/>
          <w:lang w:eastAsia="pl-PL"/>
        </w:rPr>
        <mc:AlternateContent>
          <mc:Choice Requires="wps">
            <w:drawing>
              <wp:anchor distT="45720" distB="45720" distL="114300" distR="114300" simplePos="0" relativeHeight="251761664" behindDoc="0" locked="0" layoutInCell="1" allowOverlap="1" wp14:anchorId="49EC64BA" wp14:editId="6CAF7A6F">
                <wp:simplePos x="0" y="0"/>
                <wp:positionH relativeFrom="page">
                  <wp:posOffset>5704840</wp:posOffset>
                </wp:positionH>
                <wp:positionV relativeFrom="paragraph">
                  <wp:posOffset>614045</wp:posOffset>
                </wp:positionV>
                <wp:extent cx="1776730" cy="624205"/>
                <wp:effectExtent l="0" t="0" r="0" b="4445"/>
                <wp:wrapSquare wrapText="bothSides"/>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624205"/>
                        </a:xfrm>
                        <a:prstGeom prst="rect">
                          <a:avLst/>
                        </a:prstGeom>
                        <a:noFill/>
                        <a:ln w="9525">
                          <a:noFill/>
                          <a:miter lim="800000"/>
                          <a:headEnd/>
                          <a:tailEnd/>
                        </a:ln>
                      </wps:spPr>
                      <wps:txbx>
                        <w:txbxContent>
                          <w:p w14:paraId="5F612767" w14:textId="77777777" w:rsidR="00C5122A" w:rsidRPr="00C5122A" w:rsidRDefault="00C5122A">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64BA" id="_x0000_s1028" type="#_x0000_t202" style="position:absolute;left:0;text-align:left;margin-left:449.2pt;margin-top:48.35pt;width:139.9pt;height:49.1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" filled="f" stroked="f">
                <v:textbox>
                  <w:txbxContent>
                    <w:p w14:paraId="5F612767" w14:textId="77777777" w:rsidR="00C5122A" w:rsidRPr="00C5122A" w:rsidRDefault="00C5122A">
                      <w:pPr>
                        <w:rPr>
                          <w:color w:val="001D77"/>
                          <w:sz w:val="18"/>
                          <w:szCs w:val="18"/>
                        </w:rPr>
                      </w:pPr>
                    </w:p>
                  </w:txbxContent>
                </v:textbox>
                <w10:wrap type="square" anchorx="page"/>
              </v:shape>
            </w:pict>
          </mc:Fallback>
        </mc:AlternateContent>
      </w:r>
      <w:r w:rsidR="00E330A1" w:rsidRPr="00E330A1">
        <w:rPr>
          <w:shd w:val="clear" w:color="auto" w:fill="FFFFFF"/>
        </w:rPr>
        <w:t xml:space="preserve">Zgodnie z wytycznymi Eurostatu uprawnienia emerytalno-rentowe nabyte w ramach systemów </w:t>
      </w:r>
      <w:r w:rsidR="00485881">
        <w:rPr>
          <w:shd w:val="clear" w:color="auto" w:fill="FFFFFF"/>
        </w:rPr>
        <w:t xml:space="preserve">zabezpieczeń </w:t>
      </w:r>
      <w:r w:rsidR="0093094E">
        <w:rPr>
          <w:shd w:val="clear" w:color="auto" w:fill="FFFFFF"/>
        </w:rPr>
        <w:t>społecznych oraz systemów</w:t>
      </w:r>
      <w:r w:rsidR="00E330A1" w:rsidRPr="00E330A1">
        <w:rPr>
          <w:shd w:val="clear" w:color="auto" w:fill="FFFFFF"/>
        </w:rPr>
        <w:t xml:space="preserve"> o zdefiniowanym świadczeniu zostały poddane analizie wrażliwości poprzez niewielką zmianę nominalnej stopy dyskontowej. Obniżenie stopy dyskontowej tylko o 1% powoduje wzrost naliczonych uprawnień o 958 318 mln zł, czyli około 53% PKB. Z kolei wzrost stopy dyskontowej o zaledwie 1% skutkuje zmniejszeniem naliczonych uprawnień o 705 164 mln zł, czyli 39% PKB. Systemy o zdefiniowanej składce</w:t>
      </w:r>
      <w:r w:rsidR="00AE1BEE">
        <w:rPr>
          <w:shd w:val="clear" w:color="auto" w:fill="FFFFFF"/>
        </w:rPr>
        <w:t xml:space="preserve"> (OFE i PPE)</w:t>
      </w:r>
      <w:r w:rsidR="00E330A1" w:rsidRPr="00E330A1">
        <w:rPr>
          <w:shd w:val="clear" w:color="auto" w:fill="FFFFFF"/>
        </w:rPr>
        <w:t xml:space="preserve"> nie </w:t>
      </w:r>
      <w:r w:rsidR="00AE1BEE">
        <w:rPr>
          <w:shd w:val="clear" w:color="auto" w:fill="FFFFFF"/>
        </w:rPr>
        <w:t>podlegają analizie wrażliwości</w:t>
      </w:r>
      <w:r w:rsidR="00E330A1" w:rsidRPr="00522589">
        <w:rPr>
          <w:shd w:val="clear" w:color="auto" w:fill="FFFFFF"/>
        </w:rPr>
        <w:t>,</w:t>
      </w:r>
      <w:r w:rsidR="00E330A1" w:rsidRPr="00E330A1">
        <w:rPr>
          <w:shd w:val="clear" w:color="auto" w:fill="FFFFFF"/>
        </w:rPr>
        <w:t xml:space="preserve"> </w:t>
      </w:r>
      <w:r w:rsidR="00E330A1" w:rsidRPr="00384C5B">
        <w:rPr>
          <w:shd w:val="clear" w:color="auto" w:fill="FFFFFF"/>
        </w:rPr>
        <w:t xml:space="preserve">ponieważ uprawnienia oszacowano zgodnie z podejściem </w:t>
      </w:r>
      <w:r w:rsidR="00485881" w:rsidRPr="00384C5B">
        <w:rPr>
          <w:shd w:val="clear" w:color="auto" w:fill="FFFFFF"/>
        </w:rPr>
        <w:t xml:space="preserve">nagromadzonych </w:t>
      </w:r>
      <w:r w:rsidR="00682133">
        <w:rPr>
          <w:shd w:val="clear" w:color="auto" w:fill="FFFFFF"/>
        </w:rPr>
        <w:t>uprawnień do świadczeń (</w:t>
      </w:r>
      <w:proofErr w:type="spellStart"/>
      <w:r w:rsidR="00E330A1" w:rsidRPr="00682133">
        <w:rPr>
          <w:i/>
          <w:shd w:val="clear" w:color="auto" w:fill="FFFFFF"/>
        </w:rPr>
        <w:t>accumulated</w:t>
      </w:r>
      <w:proofErr w:type="spellEnd"/>
      <w:r w:rsidR="00E330A1" w:rsidRPr="00682133">
        <w:rPr>
          <w:i/>
          <w:shd w:val="clear" w:color="auto" w:fill="FFFFFF"/>
        </w:rPr>
        <w:t xml:space="preserve"> benefit </w:t>
      </w:r>
      <w:proofErr w:type="spellStart"/>
      <w:r w:rsidR="00E330A1" w:rsidRPr="00682133">
        <w:rPr>
          <w:i/>
          <w:shd w:val="clear" w:color="auto" w:fill="FFFFFF"/>
        </w:rPr>
        <w:t>obligations</w:t>
      </w:r>
      <w:proofErr w:type="spellEnd"/>
      <w:r w:rsidR="00E330A1" w:rsidRPr="00682133">
        <w:rPr>
          <w:i/>
          <w:shd w:val="clear" w:color="auto" w:fill="FFFFFF"/>
        </w:rPr>
        <w:t xml:space="preserve"> </w:t>
      </w:r>
      <w:proofErr w:type="spellStart"/>
      <w:r w:rsidR="00E330A1" w:rsidRPr="00682133">
        <w:rPr>
          <w:i/>
          <w:shd w:val="clear" w:color="auto" w:fill="FFFFFF"/>
        </w:rPr>
        <w:t>approach</w:t>
      </w:r>
      <w:proofErr w:type="spellEnd"/>
      <w:r w:rsidR="00E330A1" w:rsidRPr="00682133">
        <w:rPr>
          <w:i/>
          <w:shd w:val="clear" w:color="auto" w:fill="FFFFFF"/>
        </w:rPr>
        <w:t xml:space="preserve"> – ABO</w:t>
      </w:r>
      <w:r w:rsidR="00E330A1" w:rsidRPr="00384C5B">
        <w:rPr>
          <w:shd w:val="clear" w:color="auto" w:fill="FFFFFF"/>
        </w:rPr>
        <w:t>), czyli na poziomie bieżącej wartości zgromadzonych aktywów.</w:t>
      </w:r>
      <w:r w:rsidR="00E330A1" w:rsidRPr="00E330A1">
        <w:rPr>
          <w:shd w:val="clear" w:color="auto" w:fill="FFFFFF"/>
        </w:rPr>
        <w:t xml:space="preserve"> Poniższy wykres przedstawia przyrost/spadek wartości nabytych uprawnień emerytalno-rentowych </w:t>
      </w:r>
      <w:r w:rsidR="00AE1BEE">
        <w:rPr>
          <w:shd w:val="clear" w:color="auto" w:fill="FFFFFF"/>
        </w:rPr>
        <w:t xml:space="preserve">(bez OFE i PPE) </w:t>
      </w:r>
      <w:r w:rsidR="00E330A1" w:rsidRPr="00E330A1">
        <w:rPr>
          <w:shd w:val="clear" w:color="auto" w:fill="FFFFFF"/>
        </w:rPr>
        <w:t>w zależności od zastosowanej stopy dyskontowej (+/- 1%)</w:t>
      </w:r>
      <w:r w:rsidR="00E330A1">
        <w:t>.</w:t>
      </w:r>
    </w:p>
    <w:p w14:paraId="4AD0B088" w14:textId="133454C7" w:rsidR="00384C5B" w:rsidRPr="00F437E1" w:rsidRDefault="003932E3" w:rsidP="00845240">
      <w:pPr>
        <w:ind w:left="851" w:hanging="851"/>
        <w:jc w:val="both"/>
        <w:rPr>
          <w:rFonts w:ascii="Fira Sans SemiBold" w:hAnsi="Fira Sans SemiBold"/>
          <w:b/>
          <w:bCs/>
          <w:sz w:val="18"/>
          <w:szCs w:val="18"/>
          <w:lang w:eastAsia="pl-PL"/>
        </w:rPr>
      </w:pPr>
      <w:r>
        <w:rPr>
          <w:rFonts w:ascii="Fira Sans SemiBold" w:hAnsi="Fira Sans SemiBold"/>
          <w:b/>
          <w:bCs/>
          <w:noProof/>
          <w:sz w:val="18"/>
          <w:szCs w:val="18"/>
          <w:lang w:eastAsia="pl-PL"/>
        </w:rPr>
        <w:drawing>
          <wp:anchor distT="0" distB="0" distL="114300" distR="114300" simplePos="0" relativeHeight="251788288" behindDoc="0" locked="0" layoutInCell="1" allowOverlap="1" wp14:anchorId="14C948E0" wp14:editId="02BECA5C">
            <wp:simplePos x="0" y="0"/>
            <wp:positionH relativeFrom="margin">
              <wp:posOffset>0</wp:posOffset>
            </wp:positionH>
            <wp:positionV relativeFrom="margin">
              <wp:posOffset>2397125</wp:posOffset>
            </wp:positionV>
            <wp:extent cx="5192395" cy="3686175"/>
            <wp:effectExtent l="0" t="0" r="8255" b="9525"/>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395" cy="3686175"/>
                    </a:xfrm>
                    <a:prstGeom prst="rect">
                      <a:avLst/>
                    </a:prstGeom>
                    <a:noFill/>
                  </pic:spPr>
                </pic:pic>
              </a:graphicData>
            </a:graphic>
            <wp14:sizeRelH relativeFrom="margin">
              <wp14:pctWidth>0</wp14:pctWidth>
            </wp14:sizeRelH>
            <wp14:sizeRelV relativeFrom="margin">
              <wp14:pctHeight>0</wp14:pctHeight>
            </wp14:sizeRelV>
          </wp:anchor>
        </w:drawing>
      </w:r>
      <w:r w:rsidR="00DD2C1C" w:rsidRPr="00D61ACA">
        <w:rPr>
          <w:rFonts w:ascii="Fira Sans SemiBold" w:hAnsi="Fira Sans SemiBold"/>
          <w:b/>
          <w:bCs/>
          <w:sz w:val="18"/>
          <w:szCs w:val="18"/>
          <w:lang w:eastAsia="pl-PL"/>
        </w:rPr>
        <w:t xml:space="preserve">Wykres </w:t>
      </w:r>
      <w:r w:rsidR="009940B4">
        <w:rPr>
          <w:rFonts w:ascii="Fira Sans SemiBold" w:hAnsi="Fira Sans SemiBold"/>
          <w:b/>
          <w:bCs/>
          <w:sz w:val="18"/>
          <w:szCs w:val="18"/>
          <w:lang w:eastAsia="pl-PL"/>
        </w:rPr>
        <w:t>5</w:t>
      </w:r>
      <w:r w:rsidR="00DD2C1C" w:rsidRPr="00D61ACA">
        <w:rPr>
          <w:rFonts w:ascii="Fira Sans SemiBold" w:hAnsi="Fira Sans SemiBold"/>
          <w:b/>
          <w:bCs/>
          <w:sz w:val="18"/>
          <w:szCs w:val="18"/>
          <w:lang w:eastAsia="pl-PL"/>
        </w:rPr>
        <w:t xml:space="preserve">. Przyrost/spadek wartości nabytych uprawnień emerytalno-rentowych w zależności </w:t>
      </w:r>
      <w:r w:rsidR="009940B4">
        <w:rPr>
          <w:rFonts w:ascii="Fira Sans SemiBold" w:hAnsi="Fira Sans SemiBold"/>
          <w:b/>
          <w:bCs/>
          <w:sz w:val="18"/>
          <w:szCs w:val="18"/>
          <w:lang w:eastAsia="pl-PL"/>
        </w:rPr>
        <w:br/>
      </w:r>
      <w:r w:rsidR="00DD2C1C" w:rsidRPr="00D61ACA">
        <w:rPr>
          <w:rFonts w:ascii="Fira Sans SemiBold" w:hAnsi="Fira Sans SemiBold"/>
          <w:b/>
          <w:bCs/>
          <w:sz w:val="18"/>
          <w:szCs w:val="18"/>
          <w:lang w:eastAsia="pl-PL"/>
        </w:rPr>
        <w:t>od zastosowanej stopy dyskontowej</w:t>
      </w:r>
      <w:r w:rsidR="00DD2C1C">
        <w:rPr>
          <w:rFonts w:ascii="Fira Sans SemiBold" w:hAnsi="Fira Sans SemiBold"/>
          <w:b/>
          <w:bCs/>
          <w:sz w:val="18"/>
          <w:szCs w:val="18"/>
          <w:lang w:eastAsia="pl-PL"/>
        </w:rPr>
        <w:t xml:space="preserve"> </w:t>
      </w:r>
      <w:r w:rsidR="00DD2C1C" w:rsidRPr="00620799">
        <w:rPr>
          <w:rFonts w:ascii="Fira Sans SemiBold" w:hAnsi="Fira Sans SemiBold"/>
          <w:b/>
          <w:bCs/>
          <w:sz w:val="18"/>
          <w:szCs w:val="18"/>
          <w:lang w:eastAsia="pl-PL"/>
        </w:rPr>
        <w:t>(+/- 1%)</w:t>
      </w:r>
    </w:p>
    <w:p w14:paraId="3C809477" w14:textId="5261F657" w:rsidR="007446BA" w:rsidRDefault="007446BA" w:rsidP="00315198">
      <w:pPr>
        <w:jc w:val="both"/>
        <w:rPr>
          <w:rFonts w:ascii="Fira Sans SemiBold" w:hAnsi="Fira Sans SemiBold"/>
          <w:bCs/>
          <w:color w:val="001D77"/>
          <w:szCs w:val="24"/>
          <w:lang w:eastAsia="pl-PL"/>
        </w:rPr>
      </w:pPr>
    </w:p>
    <w:p w14:paraId="15AB65D5" w14:textId="2322C991" w:rsidR="00437611" w:rsidRPr="00150F10" w:rsidRDefault="00437611" w:rsidP="00150F10">
      <w:pPr>
        <w:pStyle w:val="Akapitzlist"/>
        <w:numPr>
          <w:ilvl w:val="0"/>
          <w:numId w:val="9"/>
        </w:numPr>
        <w:spacing w:before="240" w:line="240" w:lineRule="auto"/>
        <w:jc w:val="both"/>
        <w:rPr>
          <w:rFonts w:ascii="Fira Sans SemiBold" w:eastAsia="Times New Roman" w:hAnsi="Fira Sans SemiBold" w:cs="Times New Roman"/>
          <w:bCs/>
          <w:color w:val="001D77"/>
          <w:szCs w:val="24"/>
          <w:lang w:eastAsia="pl-PL"/>
        </w:rPr>
      </w:pPr>
      <w:r w:rsidRPr="00315198">
        <w:rPr>
          <w:rFonts w:ascii="Fira Sans SemiBold" w:eastAsia="Times New Roman" w:hAnsi="Fira Sans SemiBold" w:cs="Times New Roman"/>
          <w:bCs/>
          <w:color w:val="001D77"/>
          <w:szCs w:val="24"/>
          <w:lang w:eastAsia="pl-PL"/>
        </w:rPr>
        <w:t>Metodologia wyceny</w:t>
      </w:r>
      <w:r w:rsidRPr="00150F10">
        <w:rPr>
          <w:rFonts w:ascii="Fira Sans SemiBold" w:eastAsia="Times New Roman" w:hAnsi="Fira Sans SemiBold" w:cs="Times New Roman"/>
          <w:bCs/>
          <w:color w:val="001D77"/>
          <w:szCs w:val="24"/>
          <w:lang w:eastAsia="pl-PL"/>
        </w:rPr>
        <w:t xml:space="preserve"> nabytych uprawnień emerytalno-rentowych </w:t>
      </w:r>
    </w:p>
    <w:p w14:paraId="6B6E4D74" w14:textId="1B892609" w:rsidR="00437611" w:rsidRPr="00437611" w:rsidRDefault="00437611" w:rsidP="00437611">
      <w:pPr>
        <w:spacing w:before="0" w:after="0"/>
        <w:jc w:val="both"/>
        <w:rPr>
          <w:rFonts w:cs="Arial"/>
          <w:szCs w:val="19"/>
        </w:rPr>
      </w:pPr>
      <w:r w:rsidRPr="00437611">
        <w:rPr>
          <w:rFonts w:cs="Arial"/>
          <w:szCs w:val="19"/>
        </w:rPr>
        <w:t>Metodologia przyjęta do wyceny uprawnień emerytalno-rento</w:t>
      </w:r>
      <w:r w:rsidR="00651FB5">
        <w:rPr>
          <w:rFonts w:cs="Arial"/>
          <w:szCs w:val="19"/>
        </w:rPr>
        <w:t>wych w ujęciu ADL jest zgod</w:t>
      </w:r>
      <w:r>
        <w:rPr>
          <w:rFonts w:cs="Arial"/>
          <w:szCs w:val="19"/>
        </w:rPr>
        <w:t xml:space="preserve">na </w:t>
      </w:r>
      <w:r w:rsidR="00CD45F7">
        <w:rPr>
          <w:rFonts w:cs="Arial"/>
          <w:szCs w:val="19"/>
        </w:rPr>
        <w:br/>
      </w:r>
      <w:r w:rsidRPr="00437611">
        <w:rPr>
          <w:rFonts w:cs="Arial"/>
          <w:szCs w:val="19"/>
        </w:rPr>
        <w:t xml:space="preserve">z wytycznymi metodologicznymi zawartymi w </w:t>
      </w:r>
      <w:r w:rsidR="00682133">
        <w:rPr>
          <w:rFonts w:cs="Arial"/>
          <w:szCs w:val="19"/>
        </w:rPr>
        <w:t>ESA 2010</w:t>
      </w:r>
      <w:r w:rsidRPr="00437611">
        <w:rPr>
          <w:rFonts w:cs="Arial"/>
          <w:szCs w:val="19"/>
        </w:rPr>
        <w:t xml:space="preserve"> oraz opracowanym pod aus</w:t>
      </w:r>
      <w:r w:rsidR="00651FB5">
        <w:rPr>
          <w:rFonts w:cs="Arial"/>
          <w:szCs w:val="19"/>
        </w:rPr>
        <w:t>picjami Eurostatu i Europejskie</w:t>
      </w:r>
      <w:r w:rsidRPr="00437611">
        <w:rPr>
          <w:rFonts w:cs="Arial"/>
          <w:szCs w:val="19"/>
        </w:rPr>
        <w:t xml:space="preserve">go Banku Centralnego podręcznikiem: </w:t>
      </w:r>
      <w:r w:rsidRPr="00682133">
        <w:rPr>
          <w:rFonts w:cs="Arial"/>
          <w:i/>
          <w:szCs w:val="19"/>
        </w:rPr>
        <w:t xml:space="preserve">Technical </w:t>
      </w:r>
      <w:proofErr w:type="spellStart"/>
      <w:r w:rsidRPr="00682133">
        <w:rPr>
          <w:rFonts w:cs="Arial"/>
          <w:i/>
          <w:szCs w:val="19"/>
        </w:rPr>
        <w:t>Compi</w:t>
      </w:r>
      <w:r w:rsidR="00651FB5" w:rsidRPr="00682133">
        <w:rPr>
          <w:rFonts w:cs="Arial"/>
          <w:i/>
          <w:szCs w:val="19"/>
        </w:rPr>
        <w:t>lation</w:t>
      </w:r>
      <w:proofErr w:type="spellEnd"/>
      <w:r w:rsidR="00651FB5" w:rsidRPr="00682133">
        <w:rPr>
          <w:rFonts w:cs="Arial"/>
          <w:i/>
          <w:szCs w:val="19"/>
        </w:rPr>
        <w:t xml:space="preserve"> Guide for </w:t>
      </w:r>
      <w:proofErr w:type="spellStart"/>
      <w:r w:rsidR="00651FB5" w:rsidRPr="00682133">
        <w:rPr>
          <w:rFonts w:cs="Arial"/>
          <w:i/>
          <w:szCs w:val="19"/>
        </w:rPr>
        <w:t>Pensions</w:t>
      </w:r>
      <w:proofErr w:type="spellEnd"/>
      <w:r w:rsidR="00651FB5" w:rsidRPr="00682133">
        <w:rPr>
          <w:rFonts w:cs="Arial"/>
          <w:i/>
          <w:szCs w:val="19"/>
        </w:rPr>
        <w:t xml:space="preserve"> </w:t>
      </w:r>
      <w:r w:rsidR="00682133" w:rsidRPr="00682133">
        <w:rPr>
          <w:rFonts w:cs="Arial"/>
          <w:i/>
          <w:szCs w:val="19"/>
        </w:rPr>
        <w:t>i</w:t>
      </w:r>
      <w:r w:rsidR="00651FB5" w:rsidRPr="00682133">
        <w:rPr>
          <w:rFonts w:cs="Arial"/>
          <w:i/>
          <w:szCs w:val="19"/>
        </w:rPr>
        <w:t xml:space="preserve">n </w:t>
      </w:r>
      <w:proofErr w:type="spellStart"/>
      <w:r w:rsidR="00651FB5" w:rsidRPr="00682133">
        <w:rPr>
          <w:rFonts w:cs="Arial"/>
          <w:i/>
          <w:szCs w:val="19"/>
        </w:rPr>
        <w:t>Na</w:t>
      </w:r>
      <w:r w:rsidRPr="00682133">
        <w:rPr>
          <w:rFonts w:cs="Arial"/>
          <w:i/>
          <w:szCs w:val="19"/>
        </w:rPr>
        <w:t>tional</w:t>
      </w:r>
      <w:proofErr w:type="spellEnd"/>
      <w:r w:rsidRPr="00682133">
        <w:rPr>
          <w:rFonts w:cs="Arial"/>
          <w:i/>
          <w:szCs w:val="19"/>
        </w:rPr>
        <w:t xml:space="preserve"> </w:t>
      </w:r>
      <w:proofErr w:type="spellStart"/>
      <w:r w:rsidRPr="00682133">
        <w:rPr>
          <w:rFonts w:cs="Arial"/>
          <w:i/>
          <w:szCs w:val="19"/>
        </w:rPr>
        <w:t>Accounts</w:t>
      </w:r>
      <w:proofErr w:type="spellEnd"/>
      <w:r w:rsidRPr="00437611">
        <w:rPr>
          <w:rFonts w:cs="Arial"/>
          <w:szCs w:val="19"/>
        </w:rPr>
        <w:t>.</w:t>
      </w:r>
    </w:p>
    <w:p w14:paraId="224D821C" w14:textId="75D5B01C" w:rsidR="00E60266" w:rsidRDefault="00437611" w:rsidP="00437611">
      <w:pPr>
        <w:tabs>
          <w:tab w:val="left" w:pos="284"/>
        </w:tabs>
        <w:jc w:val="both"/>
        <w:rPr>
          <w:rFonts w:cs="Arial"/>
          <w:szCs w:val="19"/>
        </w:rPr>
      </w:pPr>
      <w:r w:rsidRPr="00437611">
        <w:rPr>
          <w:rFonts w:cs="Arial"/>
          <w:szCs w:val="19"/>
        </w:rPr>
        <w:t>Uprawnienia emerytalno-rentowe w ujęciu ADL stanowią aktualną wartość świ</w:t>
      </w:r>
      <w:r w:rsidR="00651FB5">
        <w:rPr>
          <w:rFonts w:cs="Arial"/>
          <w:szCs w:val="19"/>
        </w:rPr>
        <w:t xml:space="preserve">adczeń </w:t>
      </w:r>
      <w:r w:rsidR="00A27D0E">
        <w:rPr>
          <w:rFonts w:cs="Arial"/>
          <w:szCs w:val="19"/>
        </w:rPr>
        <w:t>emerytalnych</w:t>
      </w:r>
      <w:r w:rsidRPr="00437611">
        <w:rPr>
          <w:rFonts w:cs="Arial"/>
          <w:szCs w:val="19"/>
        </w:rPr>
        <w:t>, które zostaną wypłacone w przyszłości na po</w:t>
      </w:r>
      <w:r w:rsidR="00651FB5">
        <w:rPr>
          <w:rFonts w:cs="Arial"/>
          <w:szCs w:val="19"/>
        </w:rPr>
        <w:t>dstawie nabytych uprawnień obec</w:t>
      </w:r>
      <w:r w:rsidR="00917AAF">
        <w:rPr>
          <w:rFonts w:cs="Arial"/>
          <w:szCs w:val="19"/>
        </w:rPr>
        <w:t>nych</w:t>
      </w:r>
      <w:r w:rsidRPr="00437611">
        <w:rPr>
          <w:rFonts w:cs="Arial"/>
          <w:szCs w:val="19"/>
        </w:rPr>
        <w:t xml:space="preserve"> pracowników</w:t>
      </w:r>
      <w:r w:rsidR="00A27D0E">
        <w:rPr>
          <w:rFonts w:cs="Arial"/>
          <w:szCs w:val="19"/>
        </w:rPr>
        <w:t xml:space="preserve"> plus pozostałe do wypłaty świadczenia obecnych emerytów i rencistów</w:t>
      </w:r>
      <w:r w:rsidRPr="00384C5B">
        <w:rPr>
          <w:rFonts w:cs="Arial"/>
          <w:szCs w:val="19"/>
        </w:rPr>
        <w:t>. Obliczenia zostały przep</w:t>
      </w:r>
      <w:r w:rsidR="00651FB5" w:rsidRPr="00384C5B">
        <w:rPr>
          <w:rFonts w:cs="Arial"/>
          <w:szCs w:val="19"/>
        </w:rPr>
        <w:t>rowadzone z zastosowaniem podej</w:t>
      </w:r>
      <w:r w:rsidRPr="00384C5B">
        <w:rPr>
          <w:rFonts w:cs="Arial"/>
          <w:szCs w:val="19"/>
        </w:rPr>
        <w:t>ścia przewidywanych świadczeń (</w:t>
      </w:r>
      <w:proofErr w:type="spellStart"/>
      <w:r w:rsidRPr="00682133">
        <w:rPr>
          <w:rFonts w:cs="Arial"/>
          <w:i/>
          <w:szCs w:val="19"/>
        </w:rPr>
        <w:t>projected</w:t>
      </w:r>
      <w:proofErr w:type="spellEnd"/>
      <w:r w:rsidRPr="00682133">
        <w:rPr>
          <w:rFonts w:cs="Arial"/>
          <w:i/>
          <w:szCs w:val="19"/>
        </w:rPr>
        <w:t xml:space="preserve"> benefit </w:t>
      </w:r>
      <w:proofErr w:type="spellStart"/>
      <w:r w:rsidRPr="00682133">
        <w:rPr>
          <w:rFonts w:cs="Arial"/>
          <w:i/>
          <w:szCs w:val="19"/>
        </w:rPr>
        <w:t>obligations</w:t>
      </w:r>
      <w:proofErr w:type="spellEnd"/>
      <w:r w:rsidRPr="00682133">
        <w:rPr>
          <w:rFonts w:cs="Arial"/>
          <w:i/>
          <w:szCs w:val="19"/>
        </w:rPr>
        <w:t xml:space="preserve"> </w:t>
      </w:r>
      <w:proofErr w:type="spellStart"/>
      <w:r w:rsidRPr="00682133">
        <w:rPr>
          <w:rFonts w:cs="Arial"/>
          <w:i/>
          <w:szCs w:val="19"/>
        </w:rPr>
        <w:t>approach</w:t>
      </w:r>
      <w:proofErr w:type="spellEnd"/>
      <w:r w:rsidRPr="00682133">
        <w:rPr>
          <w:rFonts w:cs="Arial"/>
          <w:i/>
          <w:szCs w:val="19"/>
        </w:rPr>
        <w:t xml:space="preserve"> – PBO</w:t>
      </w:r>
      <w:r w:rsidRPr="00384C5B">
        <w:rPr>
          <w:rFonts w:cs="Arial"/>
          <w:szCs w:val="19"/>
        </w:rPr>
        <w:t>), czyli z uwzględnieniem wzrostu wynagrodzeń w przyszłości</w:t>
      </w:r>
      <w:r w:rsidR="00E60266">
        <w:rPr>
          <w:rFonts w:cs="Arial"/>
          <w:szCs w:val="19"/>
        </w:rPr>
        <w:t xml:space="preserve">. </w:t>
      </w:r>
    </w:p>
    <w:p w14:paraId="211C421B" w14:textId="21D21F87" w:rsidR="00E60266" w:rsidRDefault="00775E22" w:rsidP="00437611">
      <w:pPr>
        <w:tabs>
          <w:tab w:val="left" w:pos="284"/>
        </w:tabs>
        <w:jc w:val="both"/>
        <w:rPr>
          <w:rFonts w:cs="Arial"/>
          <w:szCs w:val="19"/>
        </w:rPr>
      </w:pPr>
      <w:r w:rsidRPr="00384C5B">
        <w:rPr>
          <w:rFonts w:cs="Arial"/>
          <w:szCs w:val="19"/>
        </w:rPr>
        <w:t xml:space="preserve">W przypadku systemów kapitałowych (OFE i PPE) przyjęto podejście </w:t>
      </w:r>
      <w:r w:rsidR="00A27D0E" w:rsidRPr="00384C5B">
        <w:rPr>
          <w:rFonts w:cs="Arial"/>
          <w:szCs w:val="19"/>
        </w:rPr>
        <w:t xml:space="preserve">nagromadzonych </w:t>
      </w:r>
      <w:r w:rsidRPr="00384C5B">
        <w:rPr>
          <w:rFonts w:cs="Arial"/>
          <w:szCs w:val="19"/>
        </w:rPr>
        <w:t>uprawnień do świadczeń (</w:t>
      </w:r>
      <w:proofErr w:type="spellStart"/>
      <w:r w:rsidRPr="00682133">
        <w:rPr>
          <w:rFonts w:cs="Arial"/>
          <w:i/>
          <w:szCs w:val="19"/>
        </w:rPr>
        <w:t>accumulated</w:t>
      </w:r>
      <w:proofErr w:type="spellEnd"/>
      <w:r w:rsidRPr="00682133">
        <w:rPr>
          <w:rFonts w:cs="Arial"/>
          <w:i/>
          <w:szCs w:val="19"/>
        </w:rPr>
        <w:t xml:space="preserve"> benefit </w:t>
      </w:r>
      <w:proofErr w:type="spellStart"/>
      <w:r w:rsidRPr="00682133">
        <w:rPr>
          <w:rFonts w:cs="Arial"/>
          <w:i/>
          <w:szCs w:val="19"/>
        </w:rPr>
        <w:t>obligations</w:t>
      </w:r>
      <w:proofErr w:type="spellEnd"/>
      <w:r w:rsidRPr="00682133">
        <w:rPr>
          <w:rFonts w:cs="Arial"/>
          <w:i/>
          <w:szCs w:val="19"/>
        </w:rPr>
        <w:t xml:space="preserve"> </w:t>
      </w:r>
      <w:proofErr w:type="spellStart"/>
      <w:r w:rsidRPr="00682133">
        <w:rPr>
          <w:rFonts w:cs="Arial"/>
          <w:i/>
          <w:szCs w:val="19"/>
        </w:rPr>
        <w:t>approach</w:t>
      </w:r>
      <w:proofErr w:type="spellEnd"/>
      <w:r w:rsidRPr="00682133">
        <w:rPr>
          <w:rFonts w:cs="Arial"/>
          <w:i/>
          <w:szCs w:val="19"/>
        </w:rPr>
        <w:t xml:space="preserve"> – ABO</w:t>
      </w:r>
      <w:r w:rsidRPr="00384C5B">
        <w:rPr>
          <w:rFonts w:cs="Arial"/>
          <w:szCs w:val="19"/>
        </w:rPr>
        <w:t>), czyli na poziomie bieżącej wartości zgromadzonych aktywów, co oznacza, że stan uprawnień jest równy zgromadzonym aktywom na koniec danego okresu.</w:t>
      </w:r>
      <w:r w:rsidR="00A27D0E" w:rsidRPr="00384C5B">
        <w:rPr>
          <w:rFonts w:cs="Arial"/>
          <w:szCs w:val="19"/>
        </w:rPr>
        <w:t xml:space="preserve"> Szczególnie w przypadku pracowniczych systemów emerytalnych podejście to wydaje się najrozsądniejsze ze względu na dużą ilość niewiadomych, możliwość zamknięcia </w:t>
      </w:r>
      <w:r w:rsidR="009A298F" w:rsidRPr="00384C5B">
        <w:rPr>
          <w:rFonts w:cs="Arial"/>
          <w:szCs w:val="19"/>
        </w:rPr>
        <w:t xml:space="preserve">lub zamrożenia </w:t>
      </w:r>
      <w:r w:rsidR="00A27D0E" w:rsidRPr="00384C5B">
        <w:rPr>
          <w:rFonts w:cs="Arial"/>
          <w:szCs w:val="19"/>
        </w:rPr>
        <w:t>systemu przez pracodawcę, możliwość przejścia</w:t>
      </w:r>
      <w:r w:rsidR="00E60266">
        <w:rPr>
          <w:rFonts w:cs="Arial"/>
          <w:szCs w:val="19"/>
        </w:rPr>
        <w:t xml:space="preserve"> </w:t>
      </w:r>
      <w:r w:rsidR="00A27D0E" w:rsidRPr="00384C5B">
        <w:rPr>
          <w:rFonts w:cs="Arial"/>
          <w:szCs w:val="19"/>
        </w:rPr>
        <w:lastRenderedPageBreak/>
        <w:t>do innego systemu, itp.</w:t>
      </w:r>
      <w:r w:rsidR="00F006DC">
        <w:rPr>
          <w:rFonts w:cs="Arial"/>
          <w:szCs w:val="19"/>
        </w:rPr>
        <w:t>,</w:t>
      </w:r>
      <w:r w:rsidR="00A27D0E" w:rsidRPr="00384C5B">
        <w:rPr>
          <w:rFonts w:cs="Arial"/>
          <w:szCs w:val="19"/>
        </w:rPr>
        <w:t xml:space="preserve"> co stwarzałoby duże trudności przy opracowywaniu założeń do modelu.</w:t>
      </w:r>
      <w:r w:rsidR="009A298F" w:rsidRPr="00384C5B">
        <w:rPr>
          <w:rFonts w:cs="Arial"/>
          <w:szCs w:val="19"/>
        </w:rPr>
        <w:t xml:space="preserve"> W tego typu systemach podręcznik Eurostatu rekomenduje stosowanie metody ABO.</w:t>
      </w:r>
    </w:p>
    <w:p w14:paraId="32FDB279" w14:textId="4FCE57DF" w:rsidR="00437611" w:rsidRPr="00437611" w:rsidRDefault="00E60266" w:rsidP="00150F10">
      <w:pPr>
        <w:spacing w:before="0" w:after="160" w:line="259" w:lineRule="auto"/>
        <w:jc w:val="both"/>
        <w:rPr>
          <w:rFonts w:cs="Arial"/>
          <w:szCs w:val="19"/>
        </w:rPr>
      </w:pPr>
      <w:r w:rsidRPr="00D24BA1">
        <w:rPr>
          <w:rFonts w:cs="Arial"/>
          <w:noProof/>
          <w:szCs w:val="19"/>
          <w:lang w:eastAsia="pl-PL"/>
        </w:rPr>
        <mc:AlternateContent>
          <mc:Choice Requires="wps">
            <w:drawing>
              <wp:anchor distT="45720" distB="45720" distL="114300" distR="114300" simplePos="0" relativeHeight="251767808" behindDoc="0" locked="0" layoutInCell="1" allowOverlap="1" wp14:anchorId="4A9BE360" wp14:editId="4B4E16E4">
                <wp:simplePos x="0" y="0"/>
                <wp:positionH relativeFrom="page">
                  <wp:posOffset>5685790</wp:posOffset>
                </wp:positionH>
                <wp:positionV relativeFrom="paragraph">
                  <wp:posOffset>0</wp:posOffset>
                </wp:positionV>
                <wp:extent cx="1874520" cy="4066540"/>
                <wp:effectExtent l="0" t="0" r="0" b="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4066540"/>
                        </a:xfrm>
                        <a:prstGeom prst="rect">
                          <a:avLst/>
                        </a:prstGeom>
                        <a:noFill/>
                        <a:ln w="9525">
                          <a:noFill/>
                          <a:miter lim="800000"/>
                          <a:headEnd/>
                          <a:tailEnd/>
                        </a:ln>
                      </wps:spPr>
                      <wps:txbx>
                        <w:txbxContent>
                          <w:p w14:paraId="250E62A4" w14:textId="018537D2" w:rsidR="00325FEE" w:rsidRPr="00325FEE" w:rsidRDefault="00325FEE" w:rsidP="00325FEE">
                            <w:pPr>
                              <w:jc w:val="both"/>
                              <w:rPr>
                                <w:color w:val="001D77"/>
                                <w:sz w:val="16"/>
                                <w:szCs w:val="16"/>
                              </w:rPr>
                            </w:pPr>
                            <w:r w:rsidRPr="00325FEE">
                              <w:rPr>
                                <w:color w:val="001D77"/>
                                <w:sz w:val="16"/>
                                <w:szCs w:val="16"/>
                              </w:rPr>
                              <w:t xml:space="preserve">Zgodnie z ESA 2010 zobowiązania emerytalno-rentowe kapitałowych </w:t>
                            </w:r>
                            <w:r w:rsidR="009940B4">
                              <w:rPr>
                                <w:color w:val="001D77"/>
                                <w:sz w:val="16"/>
                                <w:szCs w:val="16"/>
                              </w:rPr>
                              <w:br/>
                            </w:r>
                            <w:r w:rsidRPr="00325FEE">
                              <w:rPr>
                                <w:color w:val="001D77"/>
                                <w:sz w:val="16"/>
                                <w:szCs w:val="16"/>
                              </w:rPr>
                              <w:t xml:space="preserve">i prywatnych </w:t>
                            </w:r>
                            <w:proofErr w:type="spellStart"/>
                            <w:r w:rsidRPr="00325FEE">
                              <w:rPr>
                                <w:color w:val="001D77"/>
                                <w:sz w:val="16"/>
                                <w:szCs w:val="16"/>
                              </w:rPr>
                              <w:t>niekapitałowych</w:t>
                            </w:r>
                            <w:proofErr w:type="spellEnd"/>
                            <w:r w:rsidRPr="00325FEE">
                              <w:rPr>
                                <w:color w:val="001D77"/>
                                <w:sz w:val="16"/>
                                <w:szCs w:val="16"/>
                              </w:rPr>
                              <w:t xml:space="preserve"> systemów związanych z zatrudnieniem są już rejestrowane w zasadniczych rachunkach narodowych (w Polsce </w:t>
                            </w:r>
                            <w:r w:rsidR="009940B4">
                              <w:rPr>
                                <w:color w:val="001D77"/>
                                <w:sz w:val="16"/>
                                <w:szCs w:val="16"/>
                              </w:rPr>
                              <w:br/>
                            </w:r>
                            <w:r w:rsidRPr="00325FEE">
                              <w:rPr>
                                <w:color w:val="001D77"/>
                                <w:sz w:val="16"/>
                                <w:szCs w:val="16"/>
                              </w:rPr>
                              <w:t xml:space="preserve">w zasadniczych rachunkach narodowych rejestrowane są zobowiązania emerytalno-rentowe otwartych funduszy emerytalnych – OFE i pracowniczych programów emerytalnych – PPE). Ich zobowiązania traktowane są jako aktywa finansowe gospodarstw domowych. Odróżnia je to od danych dotyczących zobowiązań systemów typu PAYG, które traktowane są jako warunkowe, i nie są rejestrowane w zasadniczych rachunkach narodowych. Te dodatkowe dane zostały po raz pierwszy oszacowane </w:t>
                            </w:r>
                            <w:r w:rsidR="009940B4">
                              <w:rPr>
                                <w:color w:val="001D77"/>
                                <w:sz w:val="16"/>
                                <w:szCs w:val="16"/>
                              </w:rPr>
                              <w:br/>
                            </w:r>
                            <w:r w:rsidRPr="00325FEE">
                              <w:rPr>
                                <w:color w:val="001D77"/>
                                <w:sz w:val="16"/>
                                <w:szCs w:val="16"/>
                              </w:rPr>
                              <w:t>i zaprezentowane w nowej tablicy dotyczącej nabytych uprawnień emerytalno-rentowych w ramach ubezpieczeń społecznych, nazwanej tablicą uzupełniającą (Tablica 29).</w:t>
                            </w:r>
                          </w:p>
                          <w:p w14:paraId="7D5906B4" w14:textId="77777777" w:rsidR="00D24BA1" w:rsidRPr="00325FEE" w:rsidRDefault="00D24BA1" w:rsidP="00D24BA1">
                            <w:pPr>
                              <w:spacing w:before="0" w:after="0"/>
                              <w:rPr>
                                <w:color w:val="001D77"/>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BE360" id="_x0000_s1029" type="#_x0000_t202" style="position:absolute;left:0;text-align:left;margin-left:447.7pt;margin-top:0;width:147.6pt;height:320.2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" filled="f" stroked="f">
                <v:textbox>
                  <w:txbxContent>
                    <w:p w14:paraId="250E62A4" w14:textId="018537D2" w:rsidR="00325FEE" w:rsidRPr="00325FEE" w:rsidRDefault="00325FEE" w:rsidP="00325FEE">
                      <w:pPr>
                        <w:jc w:val="both"/>
                        <w:rPr>
                          <w:color w:val="001D77"/>
                          <w:sz w:val="16"/>
                          <w:szCs w:val="16"/>
                        </w:rPr>
                      </w:pPr>
                      <w:r w:rsidRPr="00325FEE">
                        <w:rPr>
                          <w:color w:val="001D77"/>
                          <w:sz w:val="16"/>
                          <w:szCs w:val="16"/>
                        </w:rPr>
                        <w:t xml:space="preserve">Zgodnie z ESA 2010 zobowiązania emerytalno-rentowe kapitałowych </w:t>
                      </w:r>
                      <w:r w:rsidR="009940B4">
                        <w:rPr>
                          <w:color w:val="001D77"/>
                          <w:sz w:val="16"/>
                          <w:szCs w:val="16"/>
                        </w:rPr>
                        <w:br/>
                      </w:r>
                      <w:r w:rsidRPr="00325FEE">
                        <w:rPr>
                          <w:color w:val="001D77"/>
                          <w:sz w:val="16"/>
                          <w:szCs w:val="16"/>
                        </w:rPr>
                        <w:t xml:space="preserve">i prywatnych </w:t>
                      </w:r>
                      <w:proofErr w:type="spellStart"/>
                      <w:r w:rsidRPr="00325FEE">
                        <w:rPr>
                          <w:color w:val="001D77"/>
                          <w:sz w:val="16"/>
                          <w:szCs w:val="16"/>
                        </w:rPr>
                        <w:t>niekapitałowych</w:t>
                      </w:r>
                      <w:proofErr w:type="spellEnd"/>
                      <w:r w:rsidRPr="00325FEE">
                        <w:rPr>
                          <w:color w:val="001D77"/>
                          <w:sz w:val="16"/>
                          <w:szCs w:val="16"/>
                        </w:rPr>
                        <w:t xml:space="preserve"> systemów związanych z zatrudnieniem są już rejestrowane w zasadniczych rachunkach narodowych (w Polsce </w:t>
                      </w:r>
                      <w:r w:rsidR="009940B4">
                        <w:rPr>
                          <w:color w:val="001D77"/>
                          <w:sz w:val="16"/>
                          <w:szCs w:val="16"/>
                        </w:rPr>
                        <w:br/>
                      </w:r>
                      <w:r w:rsidRPr="00325FEE">
                        <w:rPr>
                          <w:color w:val="001D77"/>
                          <w:sz w:val="16"/>
                          <w:szCs w:val="16"/>
                        </w:rPr>
                        <w:t xml:space="preserve">w zasadniczych rachunkach narodowych rejestrowane są zobowiązania emerytalno-rentowe otwartych funduszy emerytalnych – OFE i pracowniczych programów emerytalnych – PPE). Ich zobowiązania traktowane są jako aktywa finansowe gospodarstw domowych. Odróżnia je to od danych dotyczących zobowiązań systemów typu PAYG, które traktowane są jako warunkowe, i nie są rejestrowane w zasadniczych rachunkach narodowych. Te dodatkowe dane zostały po raz pierwszy oszacowane </w:t>
                      </w:r>
                      <w:r w:rsidR="009940B4">
                        <w:rPr>
                          <w:color w:val="001D77"/>
                          <w:sz w:val="16"/>
                          <w:szCs w:val="16"/>
                        </w:rPr>
                        <w:br/>
                      </w:r>
                      <w:r w:rsidRPr="00325FEE">
                        <w:rPr>
                          <w:color w:val="001D77"/>
                          <w:sz w:val="16"/>
                          <w:szCs w:val="16"/>
                        </w:rPr>
                        <w:t>i zaprezentowane w nowej tablicy dotyczącej nabytych uprawnień emerytalno-rentowych w ramach ubezpieczeń społecznych, nazwanej tablicą uzupełniającą (Tablica 29).</w:t>
                      </w:r>
                    </w:p>
                    <w:p w14:paraId="7D5906B4" w14:textId="77777777" w:rsidR="00D24BA1" w:rsidRPr="00325FEE" w:rsidRDefault="00D24BA1" w:rsidP="00D24BA1">
                      <w:pPr>
                        <w:spacing w:before="0" w:after="0"/>
                        <w:rPr>
                          <w:color w:val="001D77"/>
                          <w:sz w:val="16"/>
                          <w:szCs w:val="16"/>
                        </w:rPr>
                      </w:pPr>
                    </w:p>
                  </w:txbxContent>
                </v:textbox>
                <w10:wrap type="square" anchorx="page"/>
              </v:shape>
            </w:pict>
          </mc:Fallback>
        </mc:AlternateContent>
      </w:r>
      <w:r w:rsidR="00437611" w:rsidRPr="00437611">
        <w:rPr>
          <w:rFonts w:cs="Arial"/>
          <w:szCs w:val="19"/>
        </w:rPr>
        <w:t>W celu ustalenia wartości nabytych uprawnień emeryta</w:t>
      </w:r>
      <w:r w:rsidR="00651FB5">
        <w:rPr>
          <w:rFonts w:cs="Arial"/>
          <w:szCs w:val="19"/>
        </w:rPr>
        <w:t>lno-rentowych w Polsce wykorzy</w:t>
      </w:r>
      <w:r w:rsidR="00437611" w:rsidRPr="00437611">
        <w:rPr>
          <w:rFonts w:cs="Arial"/>
          <w:szCs w:val="19"/>
        </w:rPr>
        <w:t>stano model PROST (</w:t>
      </w:r>
      <w:proofErr w:type="spellStart"/>
      <w:r w:rsidR="00437611" w:rsidRPr="00682133">
        <w:rPr>
          <w:rFonts w:cs="Arial"/>
          <w:i/>
          <w:szCs w:val="19"/>
        </w:rPr>
        <w:t>Pension</w:t>
      </w:r>
      <w:proofErr w:type="spellEnd"/>
      <w:r w:rsidR="00437611" w:rsidRPr="00682133">
        <w:rPr>
          <w:rFonts w:cs="Arial"/>
          <w:i/>
          <w:szCs w:val="19"/>
        </w:rPr>
        <w:t xml:space="preserve"> Reform </w:t>
      </w:r>
      <w:proofErr w:type="spellStart"/>
      <w:r w:rsidR="00437611" w:rsidRPr="00682133">
        <w:rPr>
          <w:rFonts w:cs="Arial"/>
          <w:i/>
          <w:szCs w:val="19"/>
        </w:rPr>
        <w:t>Options</w:t>
      </w:r>
      <w:proofErr w:type="spellEnd"/>
      <w:r w:rsidR="00437611" w:rsidRPr="00682133">
        <w:rPr>
          <w:rFonts w:cs="Arial"/>
          <w:i/>
          <w:szCs w:val="19"/>
        </w:rPr>
        <w:t xml:space="preserve"> </w:t>
      </w:r>
      <w:proofErr w:type="spellStart"/>
      <w:r w:rsidR="00437611" w:rsidRPr="00682133">
        <w:rPr>
          <w:rFonts w:cs="Arial"/>
          <w:i/>
          <w:szCs w:val="19"/>
        </w:rPr>
        <w:t>Simulation</w:t>
      </w:r>
      <w:proofErr w:type="spellEnd"/>
      <w:r w:rsidR="00437611" w:rsidRPr="00682133">
        <w:rPr>
          <w:rFonts w:cs="Arial"/>
          <w:i/>
          <w:szCs w:val="19"/>
        </w:rPr>
        <w:t xml:space="preserve"> </w:t>
      </w:r>
      <w:r w:rsidR="00651FB5" w:rsidRPr="00682133">
        <w:rPr>
          <w:rFonts w:cs="Arial"/>
          <w:i/>
          <w:szCs w:val="19"/>
        </w:rPr>
        <w:t>Toolkit</w:t>
      </w:r>
      <w:r w:rsidR="00651FB5">
        <w:rPr>
          <w:rFonts w:cs="Arial"/>
          <w:szCs w:val="19"/>
        </w:rPr>
        <w:t>), który został opracowa</w:t>
      </w:r>
      <w:r w:rsidR="00437611" w:rsidRPr="00437611">
        <w:rPr>
          <w:rFonts w:cs="Arial"/>
          <w:szCs w:val="19"/>
        </w:rPr>
        <w:t>ny przez Bank Światowy (BŚ). Model został dostosowany do istniejących w Polsce systemów i wytycznych metodologicznych Komisji Europejskiej (Eur</w:t>
      </w:r>
      <w:r w:rsidR="00651FB5">
        <w:rPr>
          <w:rFonts w:cs="Arial"/>
          <w:szCs w:val="19"/>
        </w:rPr>
        <w:t>ostatu). Model PROST jest deter</w:t>
      </w:r>
      <w:r w:rsidR="00437611" w:rsidRPr="00437611">
        <w:rPr>
          <w:rFonts w:cs="Arial"/>
          <w:szCs w:val="19"/>
        </w:rPr>
        <w:t xml:space="preserve">ministycznym, opartym na kohortach modelem, który śledzi poszczególne generacje w czasie. Modeluje składki emerytalne, uprawnienia, przepływy finansowe i zobowiązania emerytalne i uwzględnia wszystkie główne wymiary polityki emerytalnej. </w:t>
      </w:r>
    </w:p>
    <w:p w14:paraId="49B49C22" w14:textId="250DE5D6" w:rsidR="00437611" w:rsidRPr="00437611" w:rsidRDefault="00437611" w:rsidP="00437611">
      <w:pPr>
        <w:tabs>
          <w:tab w:val="left" w:pos="284"/>
        </w:tabs>
        <w:jc w:val="both"/>
        <w:rPr>
          <w:rFonts w:cs="Arial"/>
          <w:szCs w:val="19"/>
        </w:rPr>
      </w:pPr>
      <w:r w:rsidRPr="00437611">
        <w:rPr>
          <w:rFonts w:cs="Arial"/>
          <w:szCs w:val="19"/>
        </w:rPr>
        <w:t xml:space="preserve">W tablicy </w:t>
      </w:r>
      <w:r w:rsidR="00DF6B99">
        <w:rPr>
          <w:rFonts w:cs="Arial"/>
          <w:szCs w:val="19"/>
        </w:rPr>
        <w:t xml:space="preserve">29 </w:t>
      </w:r>
      <w:r w:rsidRPr="00437611">
        <w:rPr>
          <w:rFonts w:cs="Arial"/>
          <w:szCs w:val="19"/>
        </w:rPr>
        <w:t xml:space="preserve">dotyczącej nabytych uprawnień emerytalno-rentowych w ramach ubezpieczeń społecznych rejestrowane są stany i przepływy zobowiązań emerytalno-rentowych w </w:t>
      </w:r>
      <w:r w:rsidR="00EA6C40">
        <w:rPr>
          <w:rFonts w:cs="Arial"/>
          <w:szCs w:val="19"/>
        </w:rPr>
        <w:t xml:space="preserve">ramach poszczególnych </w:t>
      </w:r>
      <w:r w:rsidRPr="00437611">
        <w:rPr>
          <w:rFonts w:cs="Arial"/>
          <w:szCs w:val="19"/>
        </w:rPr>
        <w:t xml:space="preserve">systemów ubezpieczeń społecznych z perspektywy dłużnika (zarządzającego </w:t>
      </w:r>
      <w:r w:rsidR="002A10C7">
        <w:rPr>
          <w:rFonts w:cs="Arial"/>
          <w:szCs w:val="19"/>
        </w:rPr>
        <w:t xml:space="preserve">systemem emerytalno-rentowym), </w:t>
      </w:r>
      <w:r w:rsidRPr="00437611">
        <w:rPr>
          <w:rFonts w:cs="Arial"/>
          <w:szCs w:val="19"/>
        </w:rPr>
        <w:t xml:space="preserve">jak i uprawnienia emerytalno-rentowe odpowiadające tym zobowiązaniom z perspektywy wierzyciela (gospodarstwa domowego). Tablica </w:t>
      </w:r>
      <w:r w:rsidR="00DF6B99">
        <w:rPr>
          <w:rFonts w:cs="Arial"/>
          <w:szCs w:val="19"/>
        </w:rPr>
        <w:t xml:space="preserve">29 </w:t>
      </w:r>
      <w:r w:rsidRPr="00437611">
        <w:rPr>
          <w:rFonts w:cs="Arial"/>
          <w:szCs w:val="19"/>
        </w:rPr>
        <w:t>dostarcza nie tylko informacji o wartości nabytych uprawnień emerytalno-rentowych (stany na począt</w:t>
      </w:r>
      <w:r w:rsidR="00EA6C40">
        <w:rPr>
          <w:rFonts w:cs="Arial"/>
          <w:szCs w:val="19"/>
        </w:rPr>
        <w:t>ek</w:t>
      </w:r>
      <w:r w:rsidRPr="00437611">
        <w:rPr>
          <w:rFonts w:cs="Arial"/>
          <w:szCs w:val="19"/>
        </w:rPr>
        <w:t xml:space="preserve"> i </w:t>
      </w:r>
      <w:r w:rsidR="008A4FDE">
        <w:rPr>
          <w:rFonts w:cs="Arial"/>
          <w:szCs w:val="19"/>
        </w:rPr>
        <w:t>na koniec okresu spra</w:t>
      </w:r>
      <w:r w:rsidRPr="00437611">
        <w:rPr>
          <w:rFonts w:cs="Arial"/>
          <w:szCs w:val="19"/>
        </w:rPr>
        <w:t>wozdawczego), ale także o transakcjach i pozostałych przepływach zaobserwowanych w danym okresie, mających wpływ na zmianę ich wartości. Dane są prezentowane osobno dla systemów emerytalno-rentowych zarządzanych przez sek</w:t>
      </w:r>
      <w:r w:rsidR="00DF6B99">
        <w:rPr>
          <w:rFonts w:cs="Arial"/>
          <w:szCs w:val="19"/>
        </w:rPr>
        <w:t>tor instytucji rządowych i samo</w:t>
      </w:r>
      <w:r w:rsidRPr="00437611">
        <w:rPr>
          <w:rFonts w:cs="Arial"/>
          <w:szCs w:val="19"/>
        </w:rPr>
        <w:t>rządowych oraz przez pozostałe sektory instytucjonalne</w:t>
      </w:r>
      <w:r w:rsidR="00DF6B99">
        <w:rPr>
          <w:rFonts w:cs="Arial"/>
          <w:szCs w:val="19"/>
        </w:rPr>
        <w:t>,</w:t>
      </w:r>
      <w:r w:rsidRPr="00437611">
        <w:rPr>
          <w:rFonts w:cs="Arial"/>
          <w:szCs w:val="19"/>
        </w:rPr>
        <w:t xml:space="preserve"> w podziale na: </w:t>
      </w:r>
    </w:p>
    <w:p w14:paraId="30D690F8" w14:textId="79811E80" w:rsidR="00213C80" w:rsidRPr="00B200BF" w:rsidRDefault="00437611" w:rsidP="00682133">
      <w:pPr>
        <w:pStyle w:val="Akapitzlist"/>
        <w:numPr>
          <w:ilvl w:val="0"/>
          <w:numId w:val="6"/>
        </w:numPr>
        <w:tabs>
          <w:tab w:val="left" w:pos="284"/>
        </w:tabs>
        <w:ind w:left="714" w:hanging="357"/>
        <w:contextualSpacing w:val="0"/>
        <w:jc w:val="both"/>
        <w:rPr>
          <w:rFonts w:cs="Arial"/>
          <w:szCs w:val="19"/>
        </w:rPr>
      </w:pPr>
      <w:r w:rsidRPr="00150F10">
        <w:rPr>
          <w:rFonts w:cs="Arial"/>
          <w:szCs w:val="19"/>
        </w:rPr>
        <w:t>rodzaj systemu emerytalnego</w:t>
      </w:r>
      <w:r w:rsidRPr="00B200BF">
        <w:rPr>
          <w:rFonts w:cs="Arial"/>
          <w:szCs w:val="19"/>
        </w:rPr>
        <w:t xml:space="preserve"> (systemy o zdefinio</w:t>
      </w:r>
      <w:r w:rsidR="008A4FDE" w:rsidRPr="00B200BF">
        <w:rPr>
          <w:rFonts w:cs="Arial"/>
          <w:szCs w:val="19"/>
        </w:rPr>
        <w:t>wanej składce (</w:t>
      </w:r>
      <w:proofErr w:type="spellStart"/>
      <w:r w:rsidR="008A4FDE" w:rsidRPr="00682133">
        <w:rPr>
          <w:rFonts w:cs="Arial"/>
          <w:i/>
          <w:szCs w:val="19"/>
        </w:rPr>
        <w:t>defined</w:t>
      </w:r>
      <w:proofErr w:type="spellEnd"/>
      <w:r w:rsidR="008A4FDE" w:rsidRPr="00682133">
        <w:rPr>
          <w:rFonts w:cs="Arial"/>
          <w:i/>
          <w:szCs w:val="19"/>
        </w:rPr>
        <w:t xml:space="preserve"> </w:t>
      </w:r>
      <w:proofErr w:type="spellStart"/>
      <w:r w:rsidR="008A4FDE" w:rsidRPr="00682133">
        <w:rPr>
          <w:rFonts w:cs="Arial"/>
          <w:i/>
          <w:szCs w:val="19"/>
        </w:rPr>
        <w:t>contribu</w:t>
      </w:r>
      <w:r w:rsidRPr="00682133">
        <w:rPr>
          <w:rFonts w:cs="Arial"/>
          <w:i/>
          <w:szCs w:val="19"/>
        </w:rPr>
        <w:t>tion</w:t>
      </w:r>
      <w:proofErr w:type="spellEnd"/>
      <w:r w:rsidRPr="00682133">
        <w:rPr>
          <w:rFonts w:cs="Arial"/>
          <w:i/>
          <w:szCs w:val="19"/>
        </w:rPr>
        <w:t>, DC</w:t>
      </w:r>
      <w:r w:rsidRPr="00B200BF">
        <w:rPr>
          <w:rFonts w:cs="Arial"/>
          <w:szCs w:val="19"/>
        </w:rPr>
        <w:t>) lub systemy o zdefiniowanym świadczeniu (</w:t>
      </w:r>
      <w:proofErr w:type="spellStart"/>
      <w:r w:rsidRPr="00682133">
        <w:rPr>
          <w:rFonts w:cs="Arial"/>
          <w:i/>
          <w:szCs w:val="19"/>
        </w:rPr>
        <w:t>defined</w:t>
      </w:r>
      <w:proofErr w:type="spellEnd"/>
      <w:r w:rsidRPr="00682133">
        <w:rPr>
          <w:rFonts w:cs="Arial"/>
          <w:i/>
          <w:szCs w:val="19"/>
        </w:rPr>
        <w:t xml:space="preserve"> benefit, DB</w:t>
      </w:r>
      <w:r w:rsidRPr="00B200BF">
        <w:rPr>
          <w:rFonts w:cs="Arial"/>
          <w:szCs w:val="19"/>
        </w:rPr>
        <w:t>)</w:t>
      </w:r>
      <w:r w:rsidR="00150F10">
        <w:rPr>
          <w:rFonts w:cs="Arial"/>
          <w:szCs w:val="19"/>
        </w:rPr>
        <w:t>)</w:t>
      </w:r>
      <w:r w:rsidRPr="00B200BF">
        <w:rPr>
          <w:rFonts w:cs="Arial"/>
          <w:szCs w:val="19"/>
        </w:rPr>
        <w:t>;</w:t>
      </w:r>
    </w:p>
    <w:p w14:paraId="32843656" w14:textId="156E0B56" w:rsidR="00BD4289" w:rsidRPr="00B200BF" w:rsidRDefault="00437611" w:rsidP="00682133">
      <w:pPr>
        <w:pStyle w:val="Akapitzlist"/>
        <w:numPr>
          <w:ilvl w:val="0"/>
          <w:numId w:val="6"/>
        </w:numPr>
        <w:tabs>
          <w:tab w:val="left" w:pos="284"/>
        </w:tabs>
        <w:ind w:left="714" w:hanging="357"/>
        <w:contextualSpacing w:val="0"/>
        <w:jc w:val="both"/>
        <w:rPr>
          <w:rFonts w:cs="Arial"/>
          <w:szCs w:val="19"/>
        </w:rPr>
      </w:pPr>
      <w:r w:rsidRPr="00B200BF">
        <w:rPr>
          <w:rFonts w:cs="Arial"/>
          <w:szCs w:val="19"/>
        </w:rPr>
        <w:t>systemy emerytalne, których zobowiązania są</w:t>
      </w:r>
      <w:r w:rsidR="008A4FDE" w:rsidRPr="00B200BF">
        <w:rPr>
          <w:rFonts w:cs="Arial"/>
          <w:szCs w:val="19"/>
        </w:rPr>
        <w:t xml:space="preserve"> rejestrowane w rachunkach naro</w:t>
      </w:r>
      <w:r w:rsidRPr="00B200BF">
        <w:rPr>
          <w:rFonts w:cs="Arial"/>
          <w:szCs w:val="19"/>
        </w:rPr>
        <w:t xml:space="preserve">dowych (tj. wszystkie kapitałowe i prywatne </w:t>
      </w:r>
      <w:proofErr w:type="spellStart"/>
      <w:r w:rsidRPr="00B200BF">
        <w:rPr>
          <w:rFonts w:cs="Arial"/>
          <w:szCs w:val="19"/>
        </w:rPr>
        <w:t>niek</w:t>
      </w:r>
      <w:r w:rsidR="00DF6B99">
        <w:rPr>
          <w:rFonts w:cs="Arial"/>
          <w:szCs w:val="19"/>
        </w:rPr>
        <w:t>apitałowe</w:t>
      </w:r>
      <w:proofErr w:type="spellEnd"/>
      <w:r w:rsidR="00DF6B99">
        <w:rPr>
          <w:rFonts w:cs="Arial"/>
          <w:szCs w:val="19"/>
        </w:rPr>
        <w:t xml:space="preserve"> systemy związane z za</w:t>
      </w:r>
      <w:r w:rsidRPr="00B200BF">
        <w:rPr>
          <w:rFonts w:cs="Arial"/>
          <w:szCs w:val="19"/>
        </w:rPr>
        <w:t xml:space="preserve">trudnieniem) </w:t>
      </w:r>
      <w:r w:rsidR="00150F10">
        <w:rPr>
          <w:rFonts w:cs="Arial"/>
          <w:szCs w:val="19"/>
        </w:rPr>
        <w:br/>
      </w:r>
      <w:r w:rsidRPr="00B200BF">
        <w:rPr>
          <w:rFonts w:cs="Arial"/>
          <w:szCs w:val="19"/>
        </w:rPr>
        <w:t>oraz systemy typu "</w:t>
      </w:r>
      <w:proofErr w:type="spellStart"/>
      <w:r w:rsidRPr="00B200BF">
        <w:rPr>
          <w:rFonts w:cs="Arial"/>
          <w:szCs w:val="19"/>
        </w:rPr>
        <w:t>pay</w:t>
      </w:r>
      <w:proofErr w:type="spellEnd"/>
      <w:r w:rsidRPr="00B200BF">
        <w:rPr>
          <w:rFonts w:cs="Arial"/>
          <w:szCs w:val="19"/>
        </w:rPr>
        <w:t>-as-</w:t>
      </w:r>
      <w:proofErr w:type="spellStart"/>
      <w:r w:rsidRPr="00B200BF">
        <w:rPr>
          <w:rFonts w:cs="Arial"/>
          <w:szCs w:val="19"/>
        </w:rPr>
        <w:t>you</w:t>
      </w:r>
      <w:proofErr w:type="spellEnd"/>
      <w:r w:rsidRPr="00B200BF">
        <w:rPr>
          <w:rFonts w:cs="Arial"/>
          <w:szCs w:val="19"/>
        </w:rPr>
        <w:t xml:space="preserve">-go" </w:t>
      </w:r>
      <w:r w:rsidR="008A4FDE" w:rsidRPr="00B200BF">
        <w:rPr>
          <w:rFonts w:cs="Arial"/>
          <w:szCs w:val="19"/>
        </w:rPr>
        <w:t>(PAYG) sektora instytucji rządo</w:t>
      </w:r>
      <w:r w:rsidRPr="00B200BF">
        <w:rPr>
          <w:rFonts w:cs="Arial"/>
          <w:szCs w:val="19"/>
        </w:rPr>
        <w:t>wych i samorządowych (tj. systemy zabezpieczeni</w:t>
      </w:r>
      <w:r w:rsidR="008A4FDE" w:rsidRPr="00B200BF">
        <w:rPr>
          <w:rFonts w:cs="Arial"/>
          <w:szCs w:val="19"/>
        </w:rPr>
        <w:t xml:space="preserve">a społecznego i systemy </w:t>
      </w:r>
      <w:proofErr w:type="spellStart"/>
      <w:r w:rsidR="008A4FDE" w:rsidRPr="00B200BF">
        <w:rPr>
          <w:rFonts w:cs="Arial"/>
          <w:szCs w:val="19"/>
        </w:rPr>
        <w:t>niekapi</w:t>
      </w:r>
      <w:r w:rsidRPr="00B200BF">
        <w:rPr>
          <w:rFonts w:cs="Arial"/>
          <w:szCs w:val="19"/>
        </w:rPr>
        <w:t>tałowe</w:t>
      </w:r>
      <w:proofErr w:type="spellEnd"/>
      <w:r w:rsidRPr="00B200BF">
        <w:rPr>
          <w:rFonts w:cs="Arial"/>
          <w:szCs w:val="19"/>
        </w:rPr>
        <w:t xml:space="preserve"> dla pracownikó</w:t>
      </w:r>
      <w:r w:rsidR="00217CB4" w:rsidRPr="00B200BF">
        <w:rPr>
          <w:rFonts w:cs="Arial"/>
          <w:szCs w:val="19"/>
        </w:rPr>
        <w:t xml:space="preserve">w sektora instytucji rządowych </w:t>
      </w:r>
      <w:r w:rsidRPr="00B200BF">
        <w:rPr>
          <w:rFonts w:cs="Arial"/>
          <w:szCs w:val="19"/>
        </w:rPr>
        <w:t xml:space="preserve">i samorządowych), </w:t>
      </w:r>
      <w:r w:rsidR="00150F10" w:rsidRPr="00B200BF">
        <w:rPr>
          <w:rFonts w:cs="Arial"/>
          <w:szCs w:val="19"/>
        </w:rPr>
        <w:t xml:space="preserve">których </w:t>
      </w:r>
      <w:r w:rsidR="00DF6B99">
        <w:rPr>
          <w:rFonts w:cs="Arial"/>
          <w:szCs w:val="19"/>
        </w:rPr>
        <w:t>zobowiązania</w:t>
      </w:r>
      <w:r w:rsidR="00E60266" w:rsidRPr="00B200BF">
        <w:rPr>
          <w:rFonts w:cs="Arial"/>
          <w:szCs w:val="19"/>
        </w:rPr>
        <w:t xml:space="preserve"> </w:t>
      </w:r>
      <w:r w:rsidRPr="00B200BF">
        <w:rPr>
          <w:rFonts w:cs="Arial"/>
          <w:szCs w:val="19"/>
        </w:rPr>
        <w:t xml:space="preserve">nie </w:t>
      </w:r>
      <w:r w:rsidR="008A4FDE" w:rsidRPr="00B200BF">
        <w:rPr>
          <w:rFonts w:cs="Arial"/>
          <w:szCs w:val="19"/>
        </w:rPr>
        <w:t>są ujmowane w rachunkach narodo</w:t>
      </w:r>
      <w:r w:rsidRPr="00B200BF">
        <w:rPr>
          <w:rFonts w:cs="Arial"/>
          <w:szCs w:val="19"/>
        </w:rPr>
        <w:t>wych.</w:t>
      </w:r>
    </w:p>
    <w:p w14:paraId="7F92D72C" w14:textId="1BCD5B4F" w:rsidR="00A144EF" w:rsidRDefault="00325FEE" w:rsidP="00325FEE">
      <w:pPr>
        <w:spacing w:before="240"/>
        <w:jc w:val="both"/>
      </w:pPr>
      <w:r w:rsidRPr="00D24BA1">
        <w:rPr>
          <w:rFonts w:cs="Arial"/>
          <w:noProof/>
          <w:szCs w:val="19"/>
          <w:lang w:eastAsia="pl-PL"/>
        </w:rPr>
        <mc:AlternateContent>
          <mc:Choice Requires="wps">
            <w:drawing>
              <wp:anchor distT="45720" distB="45720" distL="114300" distR="114300" simplePos="0" relativeHeight="251787264" behindDoc="0" locked="0" layoutInCell="1" allowOverlap="1" wp14:anchorId="2176DC06" wp14:editId="6A18EA4B">
                <wp:simplePos x="0" y="0"/>
                <wp:positionH relativeFrom="page">
                  <wp:posOffset>5685155</wp:posOffset>
                </wp:positionH>
                <wp:positionV relativeFrom="paragraph">
                  <wp:posOffset>133461</wp:posOffset>
                </wp:positionV>
                <wp:extent cx="1874520" cy="3140710"/>
                <wp:effectExtent l="0" t="0" r="0" b="2540"/>
                <wp:wrapSquare wrapText="bothSides"/>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140710"/>
                        </a:xfrm>
                        <a:prstGeom prst="rect">
                          <a:avLst/>
                        </a:prstGeom>
                        <a:noFill/>
                        <a:ln w="9525">
                          <a:noFill/>
                          <a:miter lim="800000"/>
                          <a:headEnd/>
                          <a:tailEnd/>
                        </a:ln>
                      </wps:spPr>
                      <wps:txbx>
                        <w:txbxContent>
                          <w:p w14:paraId="56B22F5C" w14:textId="77777777" w:rsidR="00782806" w:rsidRDefault="00782806" w:rsidP="00325FEE">
                            <w:pPr>
                              <w:spacing w:before="0" w:after="0"/>
                              <w:rPr>
                                <w:color w:val="001D77"/>
                                <w:sz w:val="16"/>
                                <w:szCs w:val="15"/>
                              </w:rPr>
                            </w:pPr>
                          </w:p>
                          <w:p w14:paraId="3434267C" w14:textId="4348ADBD" w:rsidR="00325FEE" w:rsidRPr="00325FEE" w:rsidRDefault="00325FEE" w:rsidP="009940B4">
                            <w:pPr>
                              <w:spacing w:before="0" w:after="0"/>
                              <w:jc w:val="both"/>
                              <w:rPr>
                                <w:color w:val="001D77"/>
                                <w:sz w:val="16"/>
                                <w:szCs w:val="15"/>
                              </w:rPr>
                            </w:pPr>
                            <w:r w:rsidRPr="00325FEE">
                              <w:rPr>
                                <w:color w:val="001D77"/>
                                <w:sz w:val="16"/>
                                <w:szCs w:val="15"/>
                              </w:rPr>
                              <w:t>Szacunki nabytych uprawnień emerytalno-rentowych w Polsce nie obejmują emerytur pomostowych.</w:t>
                            </w:r>
                          </w:p>
                          <w:p w14:paraId="64DB0089" w14:textId="61D4C09C" w:rsidR="00325FEE" w:rsidRDefault="00325FEE" w:rsidP="00325FEE">
                            <w:pPr>
                              <w:spacing w:before="0" w:after="0" w:line="100" w:lineRule="exact"/>
                              <w:rPr>
                                <w:color w:val="001D77"/>
                                <w:sz w:val="10"/>
                                <w:szCs w:val="15"/>
                              </w:rPr>
                            </w:pPr>
                          </w:p>
                          <w:p w14:paraId="60501AC1" w14:textId="77777777" w:rsidR="00325FEE" w:rsidRPr="00325FEE" w:rsidRDefault="00325FEE" w:rsidP="00325FEE">
                            <w:pPr>
                              <w:spacing w:before="0" w:after="0" w:line="100" w:lineRule="exact"/>
                              <w:rPr>
                                <w:color w:val="001D77"/>
                                <w:sz w:val="10"/>
                                <w:szCs w:val="15"/>
                              </w:rPr>
                            </w:pPr>
                          </w:p>
                          <w:p w14:paraId="2B9FD3F1" w14:textId="48FE60CF" w:rsidR="00325FEE" w:rsidRPr="00325FEE" w:rsidRDefault="00325FEE" w:rsidP="00325FEE">
                            <w:pPr>
                              <w:spacing w:before="0" w:after="0" w:line="100" w:lineRule="exact"/>
                              <w:rPr>
                                <w:color w:val="001D77"/>
                                <w:sz w:val="10"/>
                                <w:szCs w:val="15"/>
                              </w:rPr>
                            </w:pPr>
                          </w:p>
                          <w:p w14:paraId="40B076BD" w14:textId="4CC80AE0" w:rsidR="00325FEE" w:rsidRDefault="00325FEE" w:rsidP="009940B4">
                            <w:pPr>
                              <w:spacing w:before="0" w:after="0"/>
                              <w:jc w:val="both"/>
                              <w:rPr>
                                <w:color w:val="001D77"/>
                                <w:sz w:val="16"/>
                                <w:szCs w:val="15"/>
                              </w:rPr>
                            </w:pPr>
                            <w:r w:rsidRPr="00325FEE">
                              <w:rPr>
                                <w:color w:val="001D77"/>
                                <w:sz w:val="16"/>
                                <w:szCs w:val="15"/>
                              </w:rPr>
                              <w:t>Uprawnienia emerytalno-rentowe górników i nauczycieli zostały oszacowane w ramach powszechnego systemu ubezpieczeń społecznych (ZUS).</w:t>
                            </w:r>
                          </w:p>
                          <w:p w14:paraId="58E13568" w14:textId="77777777" w:rsidR="00325FEE" w:rsidRDefault="00325FEE" w:rsidP="00325FEE">
                            <w:pPr>
                              <w:spacing w:before="0" w:after="0"/>
                              <w:jc w:val="both"/>
                              <w:rPr>
                                <w:color w:val="001D77"/>
                                <w:sz w:val="16"/>
                                <w:szCs w:val="15"/>
                              </w:rPr>
                            </w:pPr>
                          </w:p>
                          <w:p w14:paraId="6560D2B1" w14:textId="6EBB3513" w:rsidR="00325FEE" w:rsidRPr="00325FEE" w:rsidRDefault="00325FEE" w:rsidP="00325FEE">
                            <w:pPr>
                              <w:spacing w:after="0"/>
                              <w:jc w:val="both"/>
                              <w:rPr>
                                <w:color w:val="001D77"/>
                                <w:sz w:val="16"/>
                                <w:szCs w:val="15"/>
                              </w:rPr>
                            </w:pPr>
                            <w:r w:rsidRPr="00325FEE">
                              <w:rPr>
                                <w:color w:val="001D77"/>
                                <w:sz w:val="16"/>
                                <w:szCs w:val="15"/>
                              </w:rPr>
                              <w:t xml:space="preserve">Świadczenie emerytalne to przede wszystkim emerytura. Jednakże renty rodzinne składające się ze świadczeń emerytalnych dla wdów </w:t>
                            </w:r>
                            <w:r w:rsidR="009940B4">
                              <w:rPr>
                                <w:color w:val="001D77"/>
                                <w:sz w:val="16"/>
                                <w:szCs w:val="15"/>
                              </w:rPr>
                              <w:br/>
                            </w:r>
                            <w:r w:rsidRPr="00325FEE">
                              <w:rPr>
                                <w:color w:val="001D77"/>
                                <w:sz w:val="16"/>
                                <w:szCs w:val="15"/>
                              </w:rPr>
                              <w:t>i sierot oraz renty inwalidzkie i wcześniejsze emerytury również objęte są zakresem pojęcia „świadczenie emerytalne”.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6DC06" id="_x0000_s1030" type="#_x0000_t202" style="position:absolute;left:0;text-align:left;margin-left:447.65pt;margin-top:10.5pt;width:147.6pt;height:247.3pt;z-index:251787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" filled="f" stroked="f">
                <v:textbox>
                  <w:txbxContent>
                    <w:p w14:paraId="56B22F5C" w14:textId="77777777" w:rsidR="00782806" w:rsidRDefault="00782806" w:rsidP="00325FEE">
                      <w:pPr>
                        <w:spacing w:before="0" w:after="0"/>
                        <w:rPr>
                          <w:color w:val="001D77"/>
                          <w:sz w:val="16"/>
                          <w:szCs w:val="15"/>
                        </w:rPr>
                      </w:pPr>
                    </w:p>
                    <w:p w14:paraId="3434267C" w14:textId="4348ADBD" w:rsidR="00325FEE" w:rsidRPr="00325FEE" w:rsidRDefault="00325FEE" w:rsidP="009940B4">
                      <w:pPr>
                        <w:spacing w:before="0" w:after="0"/>
                        <w:jc w:val="both"/>
                        <w:rPr>
                          <w:color w:val="001D77"/>
                          <w:sz w:val="16"/>
                          <w:szCs w:val="15"/>
                        </w:rPr>
                      </w:pPr>
                      <w:r w:rsidRPr="00325FEE">
                        <w:rPr>
                          <w:color w:val="001D77"/>
                          <w:sz w:val="16"/>
                          <w:szCs w:val="15"/>
                        </w:rPr>
                        <w:t>Szacunki nabytych uprawnień emerytalno-rentowych w Polsce nie obejmują emerytur pomostowych.</w:t>
                      </w:r>
                    </w:p>
                    <w:p w14:paraId="64DB0089" w14:textId="61D4C09C" w:rsidR="00325FEE" w:rsidRDefault="00325FEE" w:rsidP="00325FEE">
                      <w:pPr>
                        <w:spacing w:before="0" w:after="0" w:line="100" w:lineRule="exact"/>
                        <w:rPr>
                          <w:color w:val="001D77"/>
                          <w:sz w:val="10"/>
                          <w:szCs w:val="15"/>
                        </w:rPr>
                      </w:pPr>
                    </w:p>
                    <w:p w14:paraId="60501AC1" w14:textId="77777777" w:rsidR="00325FEE" w:rsidRPr="00325FEE" w:rsidRDefault="00325FEE" w:rsidP="00325FEE">
                      <w:pPr>
                        <w:spacing w:before="0" w:after="0" w:line="100" w:lineRule="exact"/>
                        <w:rPr>
                          <w:color w:val="001D77"/>
                          <w:sz w:val="10"/>
                          <w:szCs w:val="15"/>
                        </w:rPr>
                      </w:pPr>
                    </w:p>
                    <w:p w14:paraId="2B9FD3F1" w14:textId="48FE60CF" w:rsidR="00325FEE" w:rsidRPr="00325FEE" w:rsidRDefault="00325FEE" w:rsidP="00325FEE">
                      <w:pPr>
                        <w:spacing w:before="0" w:after="0" w:line="100" w:lineRule="exact"/>
                        <w:rPr>
                          <w:color w:val="001D77"/>
                          <w:sz w:val="10"/>
                          <w:szCs w:val="15"/>
                        </w:rPr>
                      </w:pPr>
                    </w:p>
                    <w:p w14:paraId="40B076BD" w14:textId="4CC80AE0" w:rsidR="00325FEE" w:rsidRDefault="00325FEE" w:rsidP="009940B4">
                      <w:pPr>
                        <w:spacing w:before="0" w:after="0"/>
                        <w:jc w:val="both"/>
                        <w:rPr>
                          <w:color w:val="001D77"/>
                          <w:sz w:val="16"/>
                          <w:szCs w:val="15"/>
                        </w:rPr>
                      </w:pPr>
                      <w:r w:rsidRPr="00325FEE">
                        <w:rPr>
                          <w:color w:val="001D77"/>
                          <w:sz w:val="16"/>
                          <w:szCs w:val="15"/>
                        </w:rPr>
                        <w:t>Uprawnienia emerytalno-rentowe górników i nauczycieli zostały oszacowane w ramach powszechnego systemu ubezpieczeń społecznych (ZUS).</w:t>
                      </w:r>
                    </w:p>
                    <w:p w14:paraId="58E13568" w14:textId="77777777" w:rsidR="00325FEE" w:rsidRDefault="00325FEE" w:rsidP="00325FEE">
                      <w:pPr>
                        <w:spacing w:before="0" w:after="0"/>
                        <w:jc w:val="both"/>
                        <w:rPr>
                          <w:color w:val="001D77"/>
                          <w:sz w:val="16"/>
                          <w:szCs w:val="15"/>
                        </w:rPr>
                      </w:pPr>
                    </w:p>
                    <w:p w14:paraId="6560D2B1" w14:textId="6EBB3513" w:rsidR="00325FEE" w:rsidRPr="00325FEE" w:rsidRDefault="00325FEE" w:rsidP="00325FEE">
                      <w:pPr>
                        <w:spacing w:after="0"/>
                        <w:jc w:val="both"/>
                        <w:rPr>
                          <w:color w:val="001D77"/>
                          <w:sz w:val="16"/>
                          <w:szCs w:val="15"/>
                        </w:rPr>
                      </w:pPr>
                      <w:r w:rsidRPr="00325FEE">
                        <w:rPr>
                          <w:color w:val="001D77"/>
                          <w:sz w:val="16"/>
                          <w:szCs w:val="15"/>
                        </w:rPr>
                        <w:t xml:space="preserve">Świadczenie emerytalne to przede wszystkim emerytura. Jednakże renty rodzinne składające się ze świadczeń emerytalnych dla wdów </w:t>
                      </w:r>
                      <w:r w:rsidR="009940B4">
                        <w:rPr>
                          <w:color w:val="001D77"/>
                          <w:sz w:val="16"/>
                          <w:szCs w:val="15"/>
                        </w:rPr>
                        <w:br/>
                      </w:r>
                      <w:r w:rsidRPr="00325FEE">
                        <w:rPr>
                          <w:color w:val="001D77"/>
                          <w:sz w:val="16"/>
                          <w:szCs w:val="15"/>
                        </w:rPr>
                        <w:t>i sierot oraz renty inwalidzkie i wcześniejsze emerytury również objęte są zakresem pojęcia „świadczenie emerytalne”.</w:t>
                      </w:r>
                    </w:p>
                  </w:txbxContent>
                </v:textbox>
                <w10:wrap type="square" anchorx="page"/>
              </v:shape>
            </w:pict>
          </mc:Fallback>
        </mc:AlternateContent>
      </w:r>
      <w:r w:rsidR="00A144EF" w:rsidRPr="0046758F">
        <w:t>W przypadku Polski, w tablicy uzupełniającej prezentowane są dane o sys</w:t>
      </w:r>
      <w:r w:rsidR="0027324A">
        <w:t xml:space="preserve">temach ubezpieczeń społecznych </w:t>
      </w:r>
      <w:r w:rsidR="00A144EF" w:rsidRPr="0046758F">
        <w:t xml:space="preserve">(tj. powszechnym systemie </w:t>
      </w:r>
      <w:r w:rsidR="00D40CCB">
        <w:t xml:space="preserve">zabezpieczeń </w:t>
      </w:r>
      <w:r w:rsidR="00A144EF">
        <w:t>społecznych,</w:t>
      </w:r>
      <w:r w:rsidR="00A144EF" w:rsidRPr="0046758F">
        <w:t xml:space="preserve"> zarządzanym przez Zakład Ubezpieczeń Społecz</w:t>
      </w:r>
      <w:r w:rsidR="00A144EF">
        <w:t xml:space="preserve">nych – </w:t>
      </w:r>
      <w:r w:rsidR="00A144EF" w:rsidRPr="0046758F">
        <w:t>Z</w:t>
      </w:r>
      <w:r w:rsidR="00A144EF">
        <w:t>US</w:t>
      </w:r>
      <w:r w:rsidR="00A144EF" w:rsidRPr="0046758F">
        <w:t xml:space="preserve"> oraz systemie </w:t>
      </w:r>
      <w:r w:rsidR="00D40CCB">
        <w:t xml:space="preserve">zabezpieczenia społecznego </w:t>
      </w:r>
      <w:r w:rsidR="00A144EF" w:rsidRPr="0046758F">
        <w:t>rolników, zarządzanym przez Kasę Rolniczego Ubezpieczenia Spo</w:t>
      </w:r>
      <w:r w:rsidR="00A144EF">
        <w:t xml:space="preserve">łecznego – </w:t>
      </w:r>
      <w:r w:rsidR="00A144EF" w:rsidRPr="0046758F">
        <w:t>K</w:t>
      </w:r>
      <w:r w:rsidR="00A144EF">
        <w:t>RUS</w:t>
      </w:r>
      <w:r w:rsidR="00A144EF" w:rsidRPr="0046758F">
        <w:t>), o systemach za</w:t>
      </w:r>
      <w:r w:rsidR="00A144EF">
        <w:t>opatrzenia</w:t>
      </w:r>
      <w:r w:rsidR="00A144EF" w:rsidRPr="0046758F">
        <w:t xml:space="preserve"> emerytalno-rentowego dla wybranych grup zawodowych (tj. sędziów i prokuratorów oraz służb mundurowych i żołnierzy</w:t>
      </w:r>
      <w:r w:rsidR="00A144EF">
        <w:t xml:space="preserve"> zawodowych</w:t>
      </w:r>
      <w:r w:rsidR="00A144EF" w:rsidRPr="0046758F">
        <w:t>) oraz o prywatnych systemach kapitałowych (otwartych funduszach emerytalnych i pracowniczych programach emerytalnych). Tablica nie obejmuje IKE, IKZE, gdyż opierają się one na prywatnych oszczędnościach na dodatkową emeryturę (indywidualne polisy ubezpieczeniowe), a uczestnictwo w nich nie jest powiązane z zatrudnieniem a zatem nie spełniają definicji ubezpieczeń społecznych zawartej w ESA</w:t>
      </w:r>
      <w:r w:rsidR="004A36DB">
        <w:t xml:space="preserve"> </w:t>
      </w:r>
      <w:r w:rsidR="00A144EF" w:rsidRPr="0046758F">
        <w:t xml:space="preserve">2010. Tablica uzupełniająca dotycząca nabytych uprawnień emerytalno-rentowych w ubezpieczeniach społecznych według stanu na koniec 2015 r. </w:t>
      </w:r>
      <w:r w:rsidR="00DF6B99">
        <w:t xml:space="preserve">stanowi załącznik do niniejszej informacji </w:t>
      </w:r>
      <w:r w:rsidR="0093094E">
        <w:t>sygnalnej</w:t>
      </w:r>
      <w:r w:rsidR="00A144EF" w:rsidRPr="00726865">
        <w:t>.</w:t>
      </w:r>
      <w:r w:rsidR="00A144EF">
        <w:t xml:space="preserve"> </w:t>
      </w:r>
    </w:p>
    <w:p w14:paraId="4517ED93" w14:textId="1CC3EAB6" w:rsidR="009E1350" w:rsidRDefault="009E1350" w:rsidP="009E1350">
      <w:pPr>
        <w:pStyle w:val="CM19"/>
        <w:spacing w:before="120" w:after="120" w:line="240" w:lineRule="exact"/>
        <w:jc w:val="both"/>
      </w:pPr>
      <w:r w:rsidRPr="00D52091">
        <w:rPr>
          <w:rFonts w:ascii="Fira Sans" w:hAnsi="Fira Sans"/>
          <w:sz w:val="19"/>
          <w:szCs w:val="22"/>
          <w:lang w:eastAsia="en-US"/>
        </w:rPr>
        <w:t>Należy zaznaczyć, że prezentowane przez GUS dane dotyczą zarówno uprawnień emerytalnych, jak i rentowych.</w:t>
      </w:r>
      <w:r>
        <w:rPr>
          <w:rStyle w:val="Odwoanieprzypisudolnego"/>
          <w:rFonts w:ascii="Fira Sans" w:hAnsi="Fira Sans"/>
          <w:sz w:val="19"/>
          <w:szCs w:val="22"/>
          <w:lang w:eastAsia="en-US"/>
        </w:rPr>
        <w:footnoteReference w:id="5"/>
      </w:r>
      <w:r w:rsidRPr="00D52091">
        <w:rPr>
          <w:rFonts w:ascii="Fira Sans" w:hAnsi="Fira Sans"/>
          <w:sz w:val="19"/>
          <w:szCs w:val="22"/>
          <w:lang w:eastAsia="en-US"/>
        </w:rPr>
        <w:t xml:space="preserve"> Takie podejście wynika z definicji „świadczenia emerytalnego”</w:t>
      </w:r>
      <w:r>
        <w:rPr>
          <w:rFonts w:ascii="Fira Sans" w:hAnsi="Fira Sans"/>
          <w:sz w:val="19"/>
          <w:szCs w:val="22"/>
          <w:lang w:eastAsia="en-US"/>
        </w:rPr>
        <w:t xml:space="preserve"> zawartej</w:t>
      </w:r>
      <w:r w:rsidRPr="00D52091">
        <w:rPr>
          <w:rFonts w:ascii="Fira Sans" w:hAnsi="Fira Sans"/>
          <w:sz w:val="19"/>
          <w:szCs w:val="22"/>
          <w:lang w:eastAsia="en-US"/>
        </w:rPr>
        <w:t xml:space="preserve"> w europejskim systemie rachunków narodowych i regionalnych. Zgodnie z metodologią ESA 2010, świadczenia z ubezpieczenia społecznego i odpowiadające im składki dzieli się na powiązane z emeryturami i rentami oraz powiązane z pozostałymi formami świadczeń.</w:t>
      </w:r>
      <w:r w:rsidRPr="00D52091">
        <w:t xml:space="preserve"> </w:t>
      </w:r>
    </w:p>
    <w:p w14:paraId="5F5692F2" w14:textId="77777777" w:rsidR="000D4706" w:rsidRDefault="00573986" w:rsidP="000D4706">
      <w:pPr>
        <w:jc w:val="both"/>
      </w:pPr>
      <w:r w:rsidRPr="00D52091">
        <w:t>Pozostałe formy świadczeń (np. świadczenia z ubezpieczenia zdrowotnego, ubezpieczenia na wypadek bezrobocia oraz ubezpieczenia od opieki długoterminowej</w:t>
      </w:r>
      <w:r>
        <w:t>, pomoc społeczna</w:t>
      </w:r>
      <w:r w:rsidRPr="00D52091">
        <w:t>) są zaliczane do świadczeń innych niż emerytalno-rentowe i nie są rejestrowane w tablicy</w:t>
      </w:r>
      <w:r>
        <w:t xml:space="preserve"> 29</w:t>
      </w:r>
      <w:r w:rsidRPr="00D52091">
        <w:t>.</w:t>
      </w:r>
    </w:p>
    <w:p w14:paraId="63433F70" w14:textId="175045F4" w:rsidR="00D2357A" w:rsidRPr="000D4706" w:rsidRDefault="00E60266" w:rsidP="000D4706">
      <w:pPr>
        <w:jc w:val="center"/>
      </w:pPr>
      <w:r>
        <w:rPr>
          <w:noProof/>
          <w:lang w:eastAsia="pl-PL"/>
        </w:rPr>
        <w:lastRenderedPageBreak/>
        <w:drawing>
          <wp:anchor distT="0" distB="0" distL="114300" distR="114300" simplePos="0" relativeHeight="251774976" behindDoc="0" locked="0" layoutInCell="1" allowOverlap="0" wp14:anchorId="615A19C0" wp14:editId="31838575">
            <wp:simplePos x="0" y="0"/>
            <wp:positionH relativeFrom="column">
              <wp:posOffset>86360</wp:posOffset>
            </wp:positionH>
            <wp:positionV relativeFrom="paragraph">
              <wp:posOffset>482600</wp:posOffset>
            </wp:positionV>
            <wp:extent cx="4986655" cy="3646170"/>
            <wp:effectExtent l="0" t="0" r="4445"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3646170"/>
                    </a:xfrm>
                    <a:prstGeom prst="rect">
                      <a:avLst/>
                    </a:prstGeom>
                    <a:noFill/>
                  </pic:spPr>
                </pic:pic>
              </a:graphicData>
            </a:graphic>
            <wp14:sizeRelH relativeFrom="page">
              <wp14:pctWidth>0</wp14:pctWidth>
            </wp14:sizeRelH>
            <wp14:sizeRelV relativeFrom="page">
              <wp14:pctHeight>0</wp14:pctHeight>
            </wp14:sizeRelV>
          </wp:anchor>
        </w:drawing>
      </w:r>
      <w:r w:rsidR="00452F61" w:rsidRPr="00213C80">
        <w:rPr>
          <w:rFonts w:cs="Arial"/>
          <w:noProof/>
          <w:szCs w:val="19"/>
          <w:lang w:eastAsia="pl-PL"/>
        </w:rPr>
        <mc:AlternateContent>
          <mc:Choice Requires="wps">
            <w:drawing>
              <wp:anchor distT="45720" distB="45720" distL="114300" distR="114300" simplePos="0" relativeHeight="251777024" behindDoc="0" locked="0" layoutInCell="1" allowOverlap="1" wp14:anchorId="0A04E1B8" wp14:editId="507BCDAB">
                <wp:simplePos x="0" y="0"/>
                <wp:positionH relativeFrom="page">
                  <wp:posOffset>5714365</wp:posOffset>
                </wp:positionH>
                <wp:positionV relativeFrom="paragraph">
                  <wp:posOffset>1063625</wp:posOffset>
                </wp:positionV>
                <wp:extent cx="1845945" cy="1314450"/>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314450"/>
                        </a:xfrm>
                        <a:prstGeom prst="rect">
                          <a:avLst/>
                        </a:prstGeom>
                        <a:noFill/>
                        <a:ln w="9525">
                          <a:noFill/>
                          <a:miter lim="800000"/>
                          <a:headEnd/>
                          <a:tailEnd/>
                        </a:ln>
                      </wps:spPr>
                      <wps:txbx>
                        <w:txbxContent>
                          <w:p w14:paraId="02D967AA" w14:textId="77777777" w:rsidR="00213C80" w:rsidRPr="00BE2DE5" w:rsidRDefault="00213C80" w:rsidP="00213C80">
                            <w:pPr>
                              <w:spacing w:before="0" w:after="0"/>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E1B8" id="_x0000_s1031" type="#_x0000_t202" style="position:absolute;left:0;text-align:left;margin-left:449.95pt;margin-top:83.75pt;width:145.35pt;height:103.5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" filled="f" stroked="f">
                <v:textbox>
                  <w:txbxContent>
                    <w:p w14:paraId="02D967AA" w14:textId="77777777" w:rsidR="00213C80" w:rsidRPr="00BE2DE5" w:rsidRDefault="00213C80" w:rsidP="00213C80">
                      <w:pPr>
                        <w:spacing w:before="0" w:after="0"/>
                        <w:rPr>
                          <w:color w:val="001D77"/>
                          <w:sz w:val="18"/>
                          <w:szCs w:val="18"/>
                        </w:rPr>
                      </w:pPr>
                    </w:p>
                  </w:txbxContent>
                </v:textbox>
                <w10:wrap type="square" anchorx="page"/>
              </v:shape>
            </w:pict>
          </mc:Fallback>
        </mc:AlternateContent>
      </w:r>
      <w:r w:rsidR="00452F61" w:rsidRPr="00213C80">
        <w:rPr>
          <w:rFonts w:cs="Arial"/>
          <w:noProof/>
          <w:szCs w:val="19"/>
          <w:lang w:eastAsia="pl-PL"/>
        </w:rPr>
        <mc:AlternateContent>
          <mc:Choice Requires="wps">
            <w:drawing>
              <wp:anchor distT="45720" distB="45720" distL="114300" distR="114300" simplePos="0" relativeHeight="251779072" behindDoc="0" locked="0" layoutInCell="1" allowOverlap="1" wp14:anchorId="4D408DBB" wp14:editId="408A2B5B">
                <wp:simplePos x="0" y="0"/>
                <wp:positionH relativeFrom="page">
                  <wp:posOffset>5714365</wp:posOffset>
                </wp:positionH>
                <wp:positionV relativeFrom="paragraph">
                  <wp:posOffset>1263650</wp:posOffset>
                </wp:positionV>
                <wp:extent cx="1845945" cy="1114425"/>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114425"/>
                        </a:xfrm>
                        <a:prstGeom prst="rect">
                          <a:avLst/>
                        </a:prstGeom>
                        <a:noFill/>
                        <a:ln w="9525">
                          <a:noFill/>
                          <a:miter lim="800000"/>
                          <a:headEnd/>
                          <a:tailEnd/>
                        </a:ln>
                      </wps:spPr>
                      <wps:txbx>
                        <w:txbxContent>
                          <w:p w14:paraId="3853B380" w14:textId="77777777" w:rsidR="00213C80" w:rsidRPr="00BE2DE5" w:rsidRDefault="00213C80" w:rsidP="00213C80">
                            <w:pPr>
                              <w:spacing w:before="0" w:after="0"/>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08DBB" id="_x0000_s1032" type="#_x0000_t202" style="position:absolute;left:0;text-align:left;margin-left:449.95pt;margin-top:99.5pt;width:145.35pt;height:87.7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" filled="f" stroked="f">
                <v:textbox>
                  <w:txbxContent>
                    <w:p w14:paraId="3853B380" w14:textId="77777777" w:rsidR="00213C80" w:rsidRPr="00BE2DE5" w:rsidRDefault="00213C80" w:rsidP="00213C80">
                      <w:pPr>
                        <w:spacing w:before="0" w:after="0"/>
                        <w:rPr>
                          <w:color w:val="001D77"/>
                          <w:sz w:val="18"/>
                          <w:szCs w:val="18"/>
                        </w:rPr>
                      </w:pPr>
                    </w:p>
                  </w:txbxContent>
                </v:textbox>
                <w10:wrap type="square" anchorx="page"/>
              </v:shape>
            </w:pict>
          </mc:Fallback>
        </mc:AlternateContent>
      </w:r>
      <w:r w:rsidR="00D2357A" w:rsidRPr="00EE53A1">
        <w:rPr>
          <w:b/>
          <w:sz w:val="18"/>
          <w:szCs w:val="18"/>
        </w:rPr>
        <w:t xml:space="preserve">Wykres </w:t>
      </w:r>
      <w:r w:rsidR="009940B4">
        <w:rPr>
          <w:b/>
          <w:sz w:val="18"/>
          <w:szCs w:val="18"/>
        </w:rPr>
        <w:t>6</w:t>
      </w:r>
      <w:r w:rsidR="00D2357A" w:rsidRPr="00EE53A1">
        <w:rPr>
          <w:b/>
          <w:sz w:val="18"/>
          <w:szCs w:val="18"/>
        </w:rPr>
        <w:t xml:space="preserve">. </w:t>
      </w:r>
      <w:r w:rsidR="00D2357A">
        <w:rPr>
          <w:b/>
          <w:sz w:val="18"/>
          <w:szCs w:val="18"/>
        </w:rPr>
        <w:t>Systemy</w:t>
      </w:r>
      <w:r w:rsidR="00D2357A" w:rsidRPr="00EE53A1">
        <w:rPr>
          <w:b/>
          <w:sz w:val="18"/>
          <w:szCs w:val="18"/>
        </w:rPr>
        <w:t xml:space="preserve"> uwzględniane w tablicy </w:t>
      </w:r>
      <w:r w:rsidR="00D2357A" w:rsidRPr="00320B82">
        <w:rPr>
          <w:b/>
          <w:sz w:val="18"/>
          <w:szCs w:val="18"/>
        </w:rPr>
        <w:t>dotycząc</w:t>
      </w:r>
      <w:r w:rsidR="00D2357A">
        <w:rPr>
          <w:b/>
          <w:sz w:val="18"/>
          <w:szCs w:val="18"/>
        </w:rPr>
        <w:t>ej</w:t>
      </w:r>
      <w:r w:rsidR="00D2357A" w:rsidRPr="00320B82">
        <w:rPr>
          <w:b/>
          <w:sz w:val="18"/>
          <w:szCs w:val="18"/>
        </w:rPr>
        <w:t xml:space="preserve"> nabytych uprawnień emerytalno-rentowych </w:t>
      </w:r>
      <w:r w:rsidR="00D2357A">
        <w:rPr>
          <w:b/>
          <w:sz w:val="18"/>
          <w:szCs w:val="18"/>
        </w:rPr>
        <w:br/>
      </w:r>
      <w:r w:rsidR="00D2357A" w:rsidRPr="00320B82">
        <w:rPr>
          <w:b/>
          <w:sz w:val="18"/>
          <w:szCs w:val="18"/>
        </w:rPr>
        <w:t>w ramach ubezpieczeń społecznych</w:t>
      </w:r>
      <w:r w:rsidR="0027324A">
        <w:rPr>
          <w:b/>
          <w:sz w:val="18"/>
          <w:szCs w:val="18"/>
        </w:rPr>
        <w:t xml:space="preserve"> </w:t>
      </w:r>
      <w:r w:rsidR="00D2357A" w:rsidRPr="00EE53A1">
        <w:rPr>
          <w:b/>
          <w:sz w:val="18"/>
          <w:szCs w:val="18"/>
        </w:rPr>
        <w:t xml:space="preserve">i </w:t>
      </w:r>
      <w:r w:rsidR="00D2357A">
        <w:rPr>
          <w:b/>
          <w:sz w:val="18"/>
          <w:szCs w:val="18"/>
        </w:rPr>
        <w:t>znajdujące się poza nią.</w:t>
      </w:r>
    </w:p>
    <w:p w14:paraId="25E58993" w14:textId="41460D7F" w:rsidR="00573986" w:rsidRPr="00573986" w:rsidRDefault="005A08BA" w:rsidP="00573986">
      <w:pPr>
        <w:rPr>
          <w:lang w:eastAsia="pl-PL"/>
        </w:rPr>
      </w:pPr>
      <w:r w:rsidRPr="00213C80">
        <w:rPr>
          <w:rFonts w:cs="Arial"/>
          <w:noProof/>
          <w:szCs w:val="19"/>
          <w:lang w:eastAsia="pl-PL"/>
        </w:rPr>
        <mc:AlternateContent>
          <mc:Choice Requires="wps">
            <w:drawing>
              <wp:anchor distT="45720" distB="45720" distL="114300" distR="114300" simplePos="0" relativeHeight="251781120" behindDoc="0" locked="0" layoutInCell="1" allowOverlap="1" wp14:anchorId="0FAE1588" wp14:editId="60C2EB96">
                <wp:simplePos x="0" y="0"/>
                <wp:positionH relativeFrom="page">
                  <wp:posOffset>5685790</wp:posOffset>
                </wp:positionH>
                <wp:positionV relativeFrom="paragraph">
                  <wp:posOffset>0</wp:posOffset>
                </wp:positionV>
                <wp:extent cx="1845945" cy="1114425"/>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114425"/>
                        </a:xfrm>
                        <a:prstGeom prst="rect">
                          <a:avLst/>
                        </a:prstGeom>
                        <a:noFill/>
                        <a:ln w="9525">
                          <a:noFill/>
                          <a:miter lim="800000"/>
                          <a:headEnd/>
                          <a:tailEnd/>
                        </a:ln>
                      </wps:spPr>
                      <wps:txbx>
                        <w:txbxContent>
                          <w:p w14:paraId="465E6A36" w14:textId="77777777" w:rsidR="00213C80" w:rsidRPr="00BE2DE5" w:rsidRDefault="00213C80" w:rsidP="00213C80">
                            <w:pPr>
                              <w:spacing w:before="0" w:after="0"/>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E1588" id="_x0000_s1033" type="#_x0000_t202" style="position:absolute;margin-left:447.7pt;margin-top:0;width:145.35pt;height:87.75pt;z-index:251781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" filled="f" stroked="f">
                <v:textbox>
                  <w:txbxContent>
                    <w:p w14:paraId="465E6A36" w14:textId="77777777" w:rsidR="00213C80" w:rsidRPr="00BE2DE5" w:rsidRDefault="00213C80" w:rsidP="00213C80">
                      <w:pPr>
                        <w:spacing w:before="0" w:after="0"/>
                        <w:rPr>
                          <w:color w:val="001D77"/>
                          <w:sz w:val="18"/>
                          <w:szCs w:val="18"/>
                        </w:rPr>
                      </w:pPr>
                    </w:p>
                  </w:txbxContent>
                </v:textbox>
                <w10:wrap type="square" anchorx="page"/>
              </v:shape>
            </w:pict>
          </mc:Fallback>
        </mc:AlternateContent>
      </w:r>
    </w:p>
    <w:p w14:paraId="71DB96BA" w14:textId="3911F5DF" w:rsidR="002F002E" w:rsidRPr="00CD7155" w:rsidRDefault="002F002E" w:rsidP="00CD7155">
      <w:pPr>
        <w:pStyle w:val="Akapitzlist"/>
        <w:numPr>
          <w:ilvl w:val="0"/>
          <w:numId w:val="9"/>
        </w:numPr>
        <w:spacing w:before="240"/>
        <w:jc w:val="both"/>
        <w:rPr>
          <w:rFonts w:ascii="Fira Sans SemiBold" w:hAnsi="Fira Sans SemiBold"/>
          <w:bCs/>
          <w:color w:val="001D77"/>
          <w:szCs w:val="24"/>
          <w:lang w:eastAsia="pl-PL"/>
        </w:rPr>
      </w:pPr>
      <w:r w:rsidRPr="00CD7155">
        <w:rPr>
          <w:rFonts w:ascii="Fira Sans SemiBold" w:hAnsi="Fira Sans SemiBold"/>
          <w:bCs/>
          <w:color w:val="001D77"/>
          <w:szCs w:val="24"/>
          <w:lang w:eastAsia="pl-PL"/>
        </w:rPr>
        <w:t>Założenia przyjęte do modelu</w:t>
      </w:r>
    </w:p>
    <w:p w14:paraId="103264F8" w14:textId="153F6BE8" w:rsidR="002F002E" w:rsidRPr="00D52091" w:rsidRDefault="002F002E" w:rsidP="002F002E">
      <w:pPr>
        <w:autoSpaceDE w:val="0"/>
        <w:autoSpaceDN w:val="0"/>
        <w:adjustRightInd w:val="0"/>
        <w:spacing w:before="0" w:line="240" w:lineRule="auto"/>
        <w:jc w:val="both"/>
      </w:pPr>
      <w:r w:rsidRPr="00D52091">
        <w:t>Założenia</w:t>
      </w:r>
      <w:r>
        <w:t>, które należało</w:t>
      </w:r>
      <w:r w:rsidRPr="00D52091">
        <w:t xml:space="preserve"> przyj</w:t>
      </w:r>
      <w:r>
        <w:t>ąć</w:t>
      </w:r>
      <w:r w:rsidRPr="00D52091">
        <w:t xml:space="preserve"> do wyceny zobowiązań emerytalno-rentowych zostały określone w wydanym wspólnie przez Eurostat i Europejski Bank Centralny (EBC) w 2011 r. podręczniku </w:t>
      </w:r>
      <w:r w:rsidRPr="00D52091">
        <w:rPr>
          <w:i/>
        </w:rPr>
        <w:t xml:space="preserve">Technical </w:t>
      </w:r>
      <w:proofErr w:type="spellStart"/>
      <w:r w:rsidRPr="00D52091">
        <w:rPr>
          <w:i/>
        </w:rPr>
        <w:t>Compilation</w:t>
      </w:r>
      <w:proofErr w:type="spellEnd"/>
      <w:r w:rsidRPr="00D52091">
        <w:rPr>
          <w:i/>
        </w:rPr>
        <w:t xml:space="preserve"> Guide for </w:t>
      </w:r>
      <w:proofErr w:type="spellStart"/>
      <w:r w:rsidRPr="00D52091">
        <w:rPr>
          <w:i/>
        </w:rPr>
        <w:t>Pension</w:t>
      </w:r>
      <w:proofErr w:type="spellEnd"/>
      <w:r w:rsidRPr="00D52091">
        <w:rPr>
          <w:i/>
        </w:rPr>
        <w:t xml:space="preserve"> Data in </w:t>
      </w:r>
      <w:proofErr w:type="spellStart"/>
      <w:r w:rsidRPr="00D52091">
        <w:rPr>
          <w:i/>
        </w:rPr>
        <w:t>National</w:t>
      </w:r>
      <w:proofErr w:type="spellEnd"/>
      <w:r w:rsidRPr="00D52091">
        <w:rPr>
          <w:i/>
        </w:rPr>
        <w:t xml:space="preserve"> </w:t>
      </w:r>
      <w:proofErr w:type="spellStart"/>
      <w:r w:rsidRPr="00D52091">
        <w:rPr>
          <w:i/>
        </w:rPr>
        <w:t>Accounts</w:t>
      </w:r>
      <w:proofErr w:type="spellEnd"/>
      <w:r w:rsidRPr="00D52091">
        <w:t xml:space="preserve">. Zostały one </w:t>
      </w:r>
      <w:r w:rsidR="00D40CCB">
        <w:t>ustalone</w:t>
      </w:r>
      <w:r w:rsidRPr="00D52091">
        <w:t xml:space="preserve"> w celu zapewnienia porównywalności obliczeń pomiędzy krajami UE. Ustalono, że dane do tablicy należy opracować w ujęciu ADL z zastosowaniem podejścia PBO</w:t>
      </w:r>
      <w:r w:rsidR="00D40CCB">
        <w:t xml:space="preserve"> dla systemów zabezpieczenia społecznego</w:t>
      </w:r>
      <w:r w:rsidRPr="00D52091">
        <w:t>. W przypadku systemów kapitałowych (OFE i PPE) przyjęto podejście ABO, co oznacza, że stan uprawnień jest równy zgromadzonym a</w:t>
      </w:r>
      <w:r w:rsidR="0027324A">
        <w:t>ktywom na koniec danego okresu.</w:t>
      </w:r>
      <w:r w:rsidRPr="00D52091">
        <w:t xml:space="preserve"> Inne najważniejsze przyjęte założenia można podsumować w następująco:</w:t>
      </w:r>
    </w:p>
    <w:p w14:paraId="78583A42" w14:textId="77777777" w:rsidR="009E1350" w:rsidRDefault="002F002E" w:rsidP="00A144EF">
      <w:pPr>
        <w:jc w:val="both"/>
      </w:pPr>
      <w:r w:rsidRPr="00D52091">
        <w:rPr>
          <w:b/>
          <w:sz w:val="18"/>
          <w:szCs w:val="18"/>
        </w:rPr>
        <w:t>Tab</w:t>
      </w:r>
      <w:r>
        <w:rPr>
          <w:b/>
          <w:sz w:val="18"/>
          <w:szCs w:val="18"/>
        </w:rPr>
        <w:t>lica</w:t>
      </w:r>
      <w:r w:rsidRPr="00D52091">
        <w:rPr>
          <w:b/>
          <w:sz w:val="18"/>
          <w:szCs w:val="18"/>
        </w:rPr>
        <w:t xml:space="preserve"> 2. Założenia przyjęte do wyceny zobowiązań emerytalno-rentowych na dzień 31 grudnia</w:t>
      </w:r>
    </w:p>
    <w:tbl>
      <w:tblPr>
        <w:tblW w:w="0" w:type="auto"/>
        <w:tblBorders>
          <w:top w:val="single" w:sz="12" w:space="0" w:color="212492"/>
          <w:bottom w:val="single" w:sz="6" w:space="0" w:color="333399"/>
          <w:insideH w:val="single" w:sz="4" w:space="0" w:color="212492"/>
          <w:insideV w:val="single" w:sz="12" w:space="0" w:color="0000FF"/>
        </w:tblBorders>
        <w:tblCellMar>
          <w:top w:w="57" w:type="dxa"/>
          <w:bottom w:w="57" w:type="dxa"/>
        </w:tblCellMar>
        <w:tblLook w:val="0000" w:firstRow="0" w:lastRow="0" w:firstColumn="0" w:lastColumn="0" w:noHBand="0" w:noVBand="0"/>
      </w:tblPr>
      <w:tblGrid>
        <w:gridCol w:w="2159"/>
        <w:gridCol w:w="3722"/>
        <w:gridCol w:w="2186"/>
      </w:tblGrid>
      <w:tr w:rsidR="002F002E" w:rsidRPr="00726865" w14:paraId="64F7CF59" w14:textId="77777777" w:rsidTr="00FC4846">
        <w:trPr>
          <w:trHeight w:val="57"/>
        </w:trPr>
        <w:tc>
          <w:tcPr>
            <w:tcW w:w="2217" w:type="dxa"/>
            <w:tcBorders>
              <w:top w:val="nil"/>
              <w:bottom w:val="single" w:sz="8" w:space="0" w:color="000080"/>
              <w:right w:val="single" w:sz="12" w:space="0" w:color="000080"/>
            </w:tcBorders>
            <w:vAlign w:val="center"/>
          </w:tcPr>
          <w:p w14:paraId="6BBFF0B5" w14:textId="60800B6B" w:rsidR="002F002E" w:rsidRPr="00726865" w:rsidRDefault="0027324A" w:rsidP="003D4ACF">
            <w:pPr>
              <w:pStyle w:val="Nagwek5"/>
              <w:tabs>
                <w:tab w:val="right" w:leader="dot" w:pos="4156"/>
              </w:tabs>
              <w:spacing w:before="0" w:line="240" w:lineRule="auto"/>
              <w:contextualSpacing/>
              <w:rPr>
                <w:rFonts w:ascii="Fira Sans" w:hAnsi="Fira Sans"/>
                <w:b/>
                <w:color w:val="000000"/>
                <w:sz w:val="15"/>
                <w:szCs w:val="15"/>
              </w:rPr>
            </w:pPr>
            <w:r w:rsidRPr="00726865">
              <w:rPr>
                <w:rFonts w:ascii="Fira Sans" w:hAnsi="Fira Sans"/>
                <w:b/>
                <w:color w:val="000000"/>
                <w:sz w:val="15"/>
                <w:szCs w:val="15"/>
              </w:rPr>
              <w:t>Nominalna</w:t>
            </w:r>
            <w:r w:rsidR="002F002E" w:rsidRPr="00726865">
              <w:rPr>
                <w:rFonts w:ascii="Fira Sans" w:hAnsi="Fira Sans"/>
                <w:b/>
                <w:color w:val="000000"/>
                <w:sz w:val="15"/>
                <w:szCs w:val="15"/>
              </w:rPr>
              <w:t xml:space="preserve"> stopa dyskontowa</w:t>
            </w:r>
          </w:p>
        </w:tc>
        <w:tc>
          <w:tcPr>
            <w:tcW w:w="3819" w:type="dxa"/>
            <w:tcBorders>
              <w:top w:val="nil"/>
              <w:left w:val="single" w:sz="12" w:space="0" w:color="000080"/>
              <w:bottom w:val="single" w:sz="8" w:space="0" w:color="000080"/>
              <w:right w:val="single" w:sz="12" w:space="0" w:color="000080"/>
            </w:tcBorders>
            <w:vAlign w:val="center"/>
          </w:tcPr>
          <w:p w14:paraId="3D823DF9" w14:textId="77777777" w:rsidR="002F002E" w:rsidRPr="00726865" w:rsidRDefault="002F002E" w:rsidP="00FC4846">
            <w:pPr>
              <w:spacing w:before="0" w:after="0" w:line="240" w:lineRule="auto"/>
              <w:jc w:val="right"/>
              <w:rPr>
                <w:color w:val="000000"/>
                <w:sz w:val="15"/>
                <w:szCs w:val="15"/>
              </w:rPr>
            </w:pPr>
            <w:r w:rsidRPr="00726865">
              <w:rPr>
                <w:color w:val="000000"/>
                <w:sz w:val="15"/>
                <w:szCs w:val="15"/>
              </w:rPr>
              <w:t>5 %</w:t>
            </w:r>
          </w:p>
        </w:tc>
        <w:tc>
          <w:tcPr>
            <w:tcW w:w="2247" w:type="dxa"/>
            <w:tcBorders>
              <w:top w:val="nil"/>
              <w:left w:val="single" w:sz="12" w:space="0" w:color="000080"/>
              <w:bottom w:val="single" w:sz="8" w:space="0" w:color="000080"/>
            </w:tcBorders>
            <w:vAlign w:val="center"/>
          </w:tcPr>
          <w:p w14:paraId="48905ACA" w14:textId="77777777"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Eurostat</w:t>
            </w:r>
          </w:p>
        </w:tc>
      </w:tr>
      <w:tr w:rsidR="002F002E" w:rsidRPr="00726865" w14:paraId="39BF0502" w14:textId="77777777" w:rsidTr="00FC4846">
        <w:trPr>
          <w:trHeight w:val="57"/>
        </w:trPr>
        <w:tc>
          <w:tcPr>
            <w:tcW w:w="2217" w:type="dxa"/>
            <w:tcBorders>
              <w:top w:val="single" w:sz="8" w:space="0" w:color="000080"/>
              <w:bottom w:val="single" w:sz="8" w:space="0" w:color="000080"/>
              <w:right w:val="single" w:sz="12" w:space="0" w:color="000080"/>
            </w:tcBorders>
            <w:vAlign w:val="center"/>
          </w:tcPr>
          <w:p w14:paraId="11DA6C9D" w14:textId="77777777" w:rsidR="002F002E" w:rsidRPr="00726865" w:rsidRDefault="002F002E" w:rsidP="003D4ACF">
            <w:pPr>
              <w:pStyle w:val="Nagwek5"/>
              <w:tabs>
                <w:tab w:val="right" w:leader="dot" w:pos="4156"/>
              </w:tabs>
              <w:spacing w:before="0" w:line="240" w:lineRule="auto"/>
              <w:contextualSpacing/>
              <w:rPr>
                <w:rFonts w:ascii="Fira Sans" w:hAnsi="Fira Sans"/>
                <w:b/>
                <w:color w:val="000000"/>
                <w:sz w:val="15"/>
                <w:szCs w:val="15"/>
              </w:rPr>
            </w:pPr>
            <w:r w:rsidRPr="00726865">
              <w:rPr>
                <w:rFonts w:ascii="Fira Sans" w:hAnsi="Fira Sans"/>
                <w:b/>
                <w:color w:val="000000"/>
                <w:sz w:val="15"/>
                <w:szCs w:val="15"/>
              </w:rPr>
              <w:t>PKB</w:t>
            </w:r>
          </w:p>
        </w:tc>
        <w:tc>
          <w:tcPr>
            <w:tcW w:w="3819" w:type="dxa"/>
            <w:tcBorders>
              <w:top w:val="single" w:sz="8" w:space="0" w:color="000080"/>
              <w:left w:val="single" w:sz="12" w:space="0" w:color="000080"/>
              <w:bottom w:val="single" w:sz="8" w:space="0" w:color="000080"/>
              <w:right w:val="single" w:sz="12" w:space="0" w:color="000080"/>
            </w:tcBorders>
            <w:vAlign w:val="center"/>
          </w:tcPr>
          <w:p w14:paraId="0385905D" w14:textId="77777777" w:rsidR="002F002E" w:rsidRPr="00726865" w:rsidRDefault="002F002E" w:rsidP="00FC4846">
            <w:pPr>
              <w:spacing w:before="0" w:after="0" w:line="240" w:lineRule="auto"/>
              <w:jc w:val="right"/>
              <w:rPr>
                <w:color w:val="000000"/>
                <w:sz w:val="15"/>
                <w:szCs w:val="15"/>
              </w:rPr>
            </w:pPr>
            <w:r w:rsidRPr="00726865">
              <w:rPr>
                <w:color w:val="000000"/>
                <w:sz w:val="15"/>
                <w:szCs w:val="15"/>
              </w:rPr>
              <w:t>1 799 392 mln zł</w:t>
            </w:r>
          </w:p>
        </w:tc>
        <w:tc>
          <w:tcPr>
            <w:tcW w:w="2247" w:type="dxa"/>
            <w:tcBorders>
              <w:top w:val="single" w:sz="8" w:space="0" w:color="000080"/>
              <w:left w:val="single" w:sz="12" w:space="0" w:color="000080"/>
              <w:bottom w:val="single" w:sz="8" w:space="0" w:color="000080"/>
            </w:tcBorders>
            <w:vAlign w:val="center"/>
          </w:tcPr>
          <w:p w14:paraId="360004A5" w14:textId="77777777"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Eurostat</w:t>
            </w:r>
          </w:p>
        </w:tc>
      </w:tr>
      <w:tr w:rsidR="002F002E" w:rsidRPr="00726865" w14:paraId="492C0067" w14:textId="77777777" w:rsidTr="00FC4846">
        <w:trPr>
          <w:trHeight w:val="57"/>
        </w:trPr>
        <w:tc>
          <w:tcPr>
            <w:tcW w:w="2217" w:type="dxa"/>
            <w:tcBorders>
              <w:top w:val="single" w:sz="8" w:space="0" w:color="000080"/>
              <w:bottom w:val="single" w:sz="8" w:space="0" w:color="000080"/>
              <w:right w:val="single" w:sz="12" w:space="0" w:color="000080"/>
            </w:tcBorders>
            <w:vAlign w:val="center"/>
          </w:tcPr>
          <w:p w14:paraId="702FFA1C" w14:textId="77777777" w:rsidR="002F002E" w:rsidRPr="00726865" w:rsidRDefault="002F002E" w:rsidP="003D4ACF">
            <w:pPr>
              <w:pStyle w:val="Nagwek8"/>
              <w:tabs>
                <w:tab w:val="right" w:leader="dot" w:pos="4156"/>
              </w:tabs>
              <w:spacing w:before="0" w:line="240" w:lineRule="auto"/>
              <w:contextualSpacing/>
              <w:rPr>
                <w:rFonts w:ascii="Fira Sans" w:hAnsi="Fira Sans"/>
                <w:b/>
                <w:color w:val="000000"/>
                <w:sz w:val="15"/>
                <w:szCs w:val="15"/>
              </w:rPr>
            </w:pPr>
            <w:r w:rsidRPr="00726865">
              <w:rPr>
                <w:rFonts w:ascii="Fira Sans" w:hAnsi="Fira Sans"/>
                <w:b/>
                <w:color w:val="000000"/>
                <w:sz w:val="15"/>
                <w:szCs w:val="15"/>
              </w:rPr>
              <w:t>Inflacja</w:t>
            </w:r>
          </w:p>
        </w:tc>
        <w:tc>
          <w:tcPr>
            <w:tcW w:w="3819" w:type="dxa"/>
            <w:tcBorders>
              <w:top w:val="single" w:sz="8" w:space="0" w:color="000080"/>
              <w:left w:val="single" w:sz="12" w:space="0" w:color="000080"/>
              <w:bottom w:val="single" w:sz="8" w:space="0" w:color="000080"/>
              <w:right w:val="single" w:sz="12" w:space="0" w:color="000080"/>
            </w:tcBorders>
            <w:vAlign w:val="center"/>
          </w:tcPr>
          <w:p w14:paraId="7B9B02F2" w14:textId="77777777" w:rsidR="002F002E" w:rsidRPr="00726865" w:rsidRDefault="002F002E" w:rsidP="00FC4846">
            <w:pPr>
              <w:spacing w:before="0" w:after="0" w:line="240" w:lineRule="auto"/>
              <w:jc w:val="right"/>
              <w:rPr>
                <w:rFonts w:cs="Arial"/>
                <w:color w:val="000000"/>
                <w:sz w:val="15"/>
                <w:szCs w:val="15"/>
              </w:rPr>
            </w:pPr>
            <w:r w:rsidRPr="00726865">
              <w:rPr>
                <w:rFonts w:cs="Arial"/>
                <w:color w:val="000000"/>
                <w:sz w:val="15"/>
                <w:szCs w:val="15"/>
              </w:rPr>
              <w:t>2 %</w:t>
            </w:r>
          </w:p>
        </w:tc>
        <w:tc>
          <w:tcPr>
            <w:tcW w:w="2247" w:type="dxa"/>
            <w:tcBorders>
              <w:top w:val="single" w:sz="8" w:space="0" w:color="000080"/>
              <w:left w:val="single" w:sz="12" w:space="0" w:color="000080"/>
              <w:bottom w:val="single" w:sz="8" w:space="0" w:color="000080"/>
            </w:tcBorders>
            <w:vAlign w:val="center"/>
          </w:tcPr>
          <w:p w14:paraId="04CD0B02" w14:textId="77777777"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Eurostat</w:t>
            </w:r>
          </w:p>
        </w:tc>
      </w:tr>
      <w:tr w:rsidR="002F002E" w:rsidRPr="00726865" w14:paraId="1A3D96A7" w14:textId="77777777" w:rsidTr="00FC4846">
        <w:trPr>
          <w:trHeight w:val="57"/>
        </w:trPr>
        <w:tc>
          <w:tcPr>
            <w:tcW w:w="2217" w:type="dxa"/>
            <w:tcBorders>
              <w:top w:val="single" w:sz="8" w:space="0" w:color="000080"/>
              <w:right w:val="single" w:sz="12" w:space="0" w:color="000080"/>
            </w:tcBorders>
            <w:vAlign w:val="center"/>
          </w:tcPr>
          <w:p w14:paraId="38183D7E" w14:textId="77777777" w:rsidR="002F002E" w:rsidRPr="00726865" w:rsidRDefault="002F002E" w:rsidP="003D4ACF">
            <w:pPr>
              <w:pStyle w:val="Nagwek8"/>
              <w:tabs>
                <w:tab w:val="right" w:leader="dot" w:pos="4156"/>
              </w:tabs>
              <w:spacing w:before="0" w:line="240" w:lineRule="auto"/>
              <w:contextualSpacing/>
              <w:rPr>
                <w:rFonts w:ascii="Fira Sans" w:hAnsi="Fira Sans"/>
                <w:b/>
                <w:color w:val="000000"/>
                <w:sz w:val="15"/>
                <w:szCs w:val="15"/>
              </w:rPr>
            </w:pPr>
            <w:r w:rsidRPr="00726865">
              <w:rPr>
                <w:rFonts w:ascii="Fira Sans" w:hAnsi="Fira Sans"/>
                <w:b/>
                <w:color w:val="000000"/>
                <w:sz w:val="15"/>
                <w:szCs w:val="15"/>
              </w:rPr>
              <w:t>Indeksacja świadczeń:</w:t>
            </w:r>
          </w:p>
        </w:tc>
        <w:tc>
          <w:tcPr>
            <w:tcW w:w="3819" w:type="dxa"/>
            <w:tcBorders>
              <w:top w:val="single" w:sz="8" w:space="0" w:color="000080"/>
              <w:left w:val="single" w:sz="12" w:space="0" w:color="000080"/>
              <w:right w:val="single" w:sz="12" w:space="0" w:color="000080"/>
            </w:tcBorders>
            <w:vAlign w:val="center"/>
          </w:tcPr>
          <w:p w14:paraId="14FBEEF5" w14:textId="29BBC4EA" w:rsidR="002F002E" w:rsidRPr="00726865" w:rsidRDefault="002F002E" w:rsidP="003D4ACF">
            <w:pPr>
              <w:numPr>
                <w:ilvl w:val="0"/>
                <w:numId w:val="3"/>
              </w:numPr>
              <w:spacing w:before="0" w:after="0" w:line="240" w:lineRule="auto"/>
              <w:jc w:val="both"/>
              <w:rPr>
                <w:rFonts w:cs="Arial"/>
                <w:color w:val="000000"/>
                <w:sz w:val="15"/>
                <w:szCs w:val="15"/>
              </w:rPr>
            </w:pPr>
            <w:r w:rsidRPr="00726865">
              <w:rPr>
                <w:color w:val="000000"/>
                <w:sz w:val="15"/>
                <w:szCs w:val="15"/>
              </w:rPr>
              <w:t xml:space="preserve">indeksacja emerytur jest ustalona na poziomie 80% inflacji i 20% nominalnego wynagrodzenia (powszechny system </w:t>
            </w:r>
            <w:r w:rsidR="00D40CCB" w:rsidRPr="00726865">
              <w:rPr>
                <w:color w:val="000000"/>
                <w:sz w:val="15"/>
                <w:szCs w:val="15"/>
              </w:rPr>
              <w:t xml:space="preserve">zabezpieczeń </w:t>
            </w:r>
            <w:r w:rsidRPr="00726865">
              <w:rPr>
                <w:color w:val="000000"/>
                <w:sz w:val="15"/>
                <w:szCs w:val="15"/>
              </w:rPr>
              <w:t xml:space="preserve">społecznych (ZUS), system </w:t>
            </w:r>
            <w:r w:rsidR="00D40CCB" w:rsidRPr="00726865">
              <w:rPr>
                <w:color w:val="000000"/>
                <w:sz w:val="15"/>
                <w:szCs w:val="15"/>
              </w:rPr>
              <w:t xml:space="preserve">zabezpieczenia </w:t>
            </w:r>
            <w:r w:rsidR="00503915" w:rsidRPr="00726865">
              <w:rPr>
                <w:color w:val="000000"/>
                <w:sz w:val="15"/>
                <w:szCs w:val="15"/>
              </w:rPr>
              <w:t>społecznego</w:t>
            </w:r>
            <w:r w:rsidRPr="00726865">
              <w:rPr>
                <w:color w:val="000000"/>
                <w:sz w:val="15"/>
                <w:szCs w:val="15"/>
              </w:rPr>
              <w:t xml:space="preserve"> rolników (KRUS), system zaopatrzenia emerytalno-rentowego służb mundurowych </w:t>
            </w:r>
            <w:r w:rsidR="003D4ACF">
              <w:rPr>
                <w:color w:val="000000"/>
                <w:sz w:val="15"/>
                <w:szCs w:val="15"/>
              </w:rPr>
              <w:br/>
            </w:r>
            <w:r w:rsidRPr="00726865">
              <w:rPr>
                <w:color w:val="000000"/>
                <w:sz w:val="15"/>
                <w:szCs w:val="15"/>
              </w:rPr>
              <w:t>i żołnierzy zawodowych)</w:t>
            </w:r>
          </w:p>
          <w:p w14:paraId="200ADADD" w14:textId="2E8DFFDE" w:rsidR="002F002E" w:rsidRPr="00726865" w:rsidRDefault="002F002E" w:rsidP="003D4ACF">
            <w:pPr>
              <w:numPr>
                <w:ilvl w:val="0"/>
                <w:numId w:val="3"/>
              </w:numPr>
              <w:spacing w:before="0" w:after="0" w:line="240" w:lineRule="auto"/>
              <w:jc w:val="both"/>
              <w:rPr>
                <w:rFonts w:cs="Arial"/>
                <w:color w:val="000000"/>
                <w:sz w:val="15"/>
                <w:szCs w:val="15"/>
              </w:rPr>
            </w:pPr>
            <w:r w:rsidRPr="00726865">
              <w:rPr>
                <w:color w:val="000000"/>
                <w:sz w:val="15"/>
                <w:szCs w:val="15"/>
              </w:rPr>
              <w:t xml:space="preserve">waloryzowane proporcjonalnie </w:t>
            </w:r>
            <w:r w:rsidR="005B25B7" w:rsidRPr="00726865">
              <w:rPr>
                <w:color w:val="000000"/>
                <w:sz w:val="15"/>
                <w:szCs w:val="15"/>
              </w:rPr>
              <w:t xml:space="preserve">do </w:t>
            </w:r>
            <w:r w:rsidRPr="00726865">
              <w:rPr>
                <w:color w:val="000000"/>
                <w:sz w:val="15"/>
                <w:szCs w:val="15"/>
              </w:rPr>
              <w:t>wzrost</w:t>
            </w:r>
            <w:r w:rsidR="005B25B7" w:rsidRPr="00726865">
              <w:rPr>
                <w:color w:val="000000"/>
                <w:sz w:val="15"/>
                <w:szCs w:val="15"/>
              </w:rPr>
              <w:t>u</w:t>
            </w:r>
            <w:r w:rsidRPr="00726865">
              <w:rPr>
                <w:color w:val="000000"/>
                <w:sz w:val="15"/>
                <w:szCs w:val="15"/>
              </w:rPr>
              <w:t xml:space="preserve"> wynagrodzeń sędziów i prokuratorów na tym samym stanowisku (system zabezpieczenia emerytalnego sędziów i prokuratorów)</w:t>
            </w:r>
          </w:p>
        </w:tc>
        <w:tc>
          <w:tcPr>
            <w:tcW w:w="2247" w:type="dxa"/>
            <w:tcBorders>
              <w:top w:val="single" w:sz="8" w:space="0" w:color="000080"/>
              <w:left w:val="single" w:sz="12" w:space="0" w:color="000080"/>
            </w:tcBorders>
            <w:vAlign w:val="center"/>
          </w:tcPr>
          <w:p w14:paraId="5B7B0A0E" w14:textId="77777777"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 xml:space="preserve">Zgodnie z obowiązującymi </w:t>
            </w:r>
            <w:r w:rsidRPr="00726865">
              <w:rPr>
                <w:rFonts w:cs="Arial"/>
                <w:color w:val="000000"/>
                <w:sz w:val="15"/>
                <w:szCs w:val="15"/>
              </w:rPr>
              <w:br/>
              <w:t>w 2015 r. przepisami</w:t>
            </w:r>
          </w:p>
        </w:tc>
      </w:tr>
      <w:tr w:rsidR="002F002E" w:rsidRPr="00726865" w14:paraId="381998AC" w14:textId="77777777" w:rsidTr="00FC4846">
        <w:trPr>
          <w:trHeight w:val="57"/>
        </w:trPr>
        <w:tc>
          <w:tcPr>
            <w:tcW w:w="2217" w:type="dxa"/>
            <w:tcBorders>
              <w:right w:val="single" w:sz="12" w:space="0" w:color="000080"/>
            </w:tcBorders>
            <w:vAlign w:val="center"/>
          </w:tcPr>
          <w:p w14:paraId="47C936CB" w14:textId="77777777" w:rsidR="002F002E" w:rsidRPr="00726865" w:rsidRDefault="002F002E" w:rsidP="003D4ACF">
            <w:pPr>
              <w:tabs>
                <w:tab w:val="right" w:leader="dot" w:pos="4156"/>
              </w:tabs>
              <w:spacing w:before="0" w:after="0" w:line="240" w:lineRule="auto"/>
              <w:contextualSpacing/>
              <w:rPr>
                <w:b/>
                <w:color w:val="000000"/>
                <w:sz w:val="15"/>
                <w:szCs w:val="15"/>
              </w:rPr>
            </w:pPr>
            <w:r w:rsidRPr="00726865">
              <w:rPr>
                <w:b/>
                <w:color w:val="000000"/>
                <w:sz w:val="15"/>
                <w:szCs w:val="15"/>
              </w:rPr>
              <w:t>Wiek przejścia na emeryturę</w:t>
            </w:r>
          </w:p>
        </w:tc>
        <w:tc>
          <w:tcPr>
            <w:tcW w:w="3819" w:type="dxa"/>
            <w:tcBorders>
              <w:left w:val="single" w:sz="12" w:space="0" w:color="000080"/>
              <w:right w:val="single" w:sz="12" w:space="0" w:color="000080"/>
            </w:tcBorders>
            <w:vAlign w:val="center"/>
          </w:tcPr>
          <w:p w14:paraId="0D47F772" w14:textId="189DC41D" w:rsidR="002F002E" w:rsidRPr="00726865" w:rsidRDefault="002F002E" w:rsidP="003D4ACF">
            <w:pPr>
              <w:spacing w:before="0" w:after="0" w:line="240" w:lineRule="auto"/>
              <w:jc w:val="both"/>
              <w:rPr>
                <w:rFonts w:cs="Arial"/>
                <w:color w:val="000000"/>
                <w:sz w:val="15"/>
                <w:szCs w:val="15"/>
              </w:rPr>
            </w:pPr>
            <w:r w:rsidRPr="00726865">
              <w:rPr>
                <w:color w:val="000000"/>
                <w:sz w:val="15"/>
                <w:szCs w:val="15"/>
              </w:rPr>
              <w:t xml:space="preserve">Wiek emerytalny </w:t>
            </w:r>
            <w:r w:rsidR="005B25B7" w:rsidRPr="00726865">
              <w:rPr>
                <w:color w:val="000000"/>
                <w:sz w:val="15"/>
                <w:szCs w:val="15"/>
              </w:rPr>
              <w:t xml:space="preserve">był </w:t>
            </w:r>
            <w:r w:rsidRPr="00726865">
              <w:rPr>
                <w:color w:val="000000"/>
                <w:sz w:val="15"/>
                <w:szCs w:val="15"/>
              </w:rPr>
              <w:t>modelowany zgodnie z polskim prawem, stopniowo podnosząc</w:t>
            </w:r>
            <w:r w:rsidR="005B25B7" w:rsidRPr="00726865">
              <w:rPr>
                <w:color w:val="000000"/>
                <w:sz w:val="15"/>
                <w:szCs w:val="15"/>
              </w:rPr>
              <w:t>ym</w:t>
            </w:r>
            <w:r w:rsidR="00503915" w:rsidRPr="00726865">
              <w:rPr>
                <w:color w:val="000000"/>
                <w:sz w:val="15"/>
                <w:szCs w:val="15"/>
              </w:rPr>
              <w:t xml:space="preserve"> </w:t>
            </w:r>
            <w:r w:rsidRPr="00726865">
              <w:rPr>
                <w:color w:val="000000"/>
                <w:sz w:val="15"/>
                <w:szCs w:val="15"/>
              </w:rPr>
              <w:t>wiek emerytalny od 60 lat dla kobiet i 65 lat dla mężczyzn</w:t>
            </w:r>
            <w:r w:rsidR="005B25B7" w:rsidRPr="00726865">
              <w:rPr>
                <w:color w:val="000000"/>
                <w:sz w:val="15"/>
                <w:szCs w:val="15"/>
              </w:rPr>
              <w:t xml:space="preserve"> do</w:t>
            </w:r>
            <w:r w:rsidRPr="00726865">
              <w:rPr>
                <w:color w:val="000000"/>
                <w:sz w:val="15"/>
                <w:szCs w:val="15"/>
              </w:rPr>
              <w:t xml:space="preserve"> 67 lat dla mężczyzn i kobiet</w:t>
            </w:r>
            <w:r w:rsidRPr="00726865">
              <w:rPr>
                <w:sz w:val="15"/>
                <w:szCs w:val="15"/>
              </w:rPr>
              <w:t>.</w:t>
            </w:r>
          </w:p>
        </w:tc>
        <w:tc>
          <w:tcPr>
            <w:tcW w:w="2247" w:type="dxa"/>
            <w:tcBorders>
              <w:left w:val="single" w:sz="12" w:space="0" w:color="000080"/>
            </w:tcBorders>
            <w:vAlign w:val="center"/>
          </w:tcPr>
          <w:p w14:paraId="1CEC80E5" w14:textId="237E0692"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 xml:space="preserve">Zgodnie z obowiązującymi </w:t>
            </w:r>
            <w:r w:rsidR="003D4ACF">
              <w:rPr>
                <w:rFonts w:cs="Arial"/>
                <w:color w:val="000000"/>
                <w:sz w:val="15"/>
                <w:szCs w:val="15"/>
              </w:rPr>
              <w:br/>
            </w:r>
            <w:r w:rsidRPr="00726865">
              <w:rPr>
                <w:rFonts w:cs="Arial"/>
                <w:color w:val="000000"/>
                <w:sz w:val="15"/>
                <w:szCs w:val="15"/>
              </w:rPr>
              <w:t>w 2015 r. przepisami</w:t>
            </w:r>
          </w:p>
        </w:tc>
      </w:tr>
      <w:tr w:rsidR="002F002E" w:rsidRPr="00726865" w14:paraId="0E2B0AD4" w14:textId="77777777" w:rsidTr="00FC4846">
        <w:trPr>
          <w:trHeight w:val="57"/>
        </w:trPr>
        <w:tc>
          <w:tcPr>
            <w:tcW w:w="2217" w:type="dxa"/>
            <w:tcBorders>
              <w:right w:val="single" w:sz="12" w:space="0" w:color="000080"/>
            </w:tcBorders>
            <w:vAlign w:val="center"/>
          </w:tcPr>
          <w:p w14:paraId="4902E343" w14:textId="77777777" w:rsidR="002F002E" w:rsidRPr="00726865" w:rsidRDefault="002F002E" w:rsidP="003D4ACF">
            <w:pPr>
              <w:tabs>
                <w:tab w:val="right" w:leader="dot" w:pos="4156"/>
              </w:tabs>
              <w:spacing w:before="0" w:after="0" w:line="240" w:lineRule="auto"/>
              <w:contextualSpacing/>
              <w:rPr>
                <w:b/>
                <w:color w:val="000000"/>
                <w:sz w:val="15"/>
                <w:szCs w:val="15"/>
              </w:rPr>
            </w:pPr>
            <w:r w:rsidRPr="00726865">
              <w:rPr>
                <w:b/>
                <w:color w:val="000000"/>
                <w:sz w:val="15"/>
                <w:szCs w:val="15"/>
              </w:rPr>
              <w:t>Realny wzrost wynagrodzeń</w:t>
            </w:r>
          </w:p>
        </w:tc>
        <w:tc>
          <w:tcPr>
            <w:tcW w:w="3819" w:type="dxa"/>
            <w:tcBorders>
              <w:left w:val="single" w:sz="12" w:space="0" w:color="000080"/>
              <w:right w:val="single" w:sz="12" w:space="0" w:color="000080"/>
            </w:tcBorders>
            <w:vAlign w:val="center"/>
          </w:tcPr>
          <w:p w14:paraId="0ED566F2" w14:textId="623340BB" w:rsidR="002F002E" w:rsidRPr="00726865" w:rsidRDefault="005B25B7" w:rsidP="003D4ACF">
            <w:pPr>
              <w:spacing w:before="0" w:after="0" w:line="240" w:lineRule="auto"/>
              <w:jc w:val="both"/>
              <w:rPr>
                <w:rFonts w:cs="Arial"/>
                <w:color w:val="000000"/>
                <w:sz w:val="15"/>
                <w:szCs w:val="15"/>
              </w:rPr>
            </w:pPr>
            <w:r w:rsidRPr="00726865">
              <w:rPr>
                <w:rFonts w:cs="Arial"/>
                <w:color w:val="000000"/>
                <w:sz w:val="15"/>
                <w:szCs w:val="15"/>
              </w:rPr>
              <w:t xml:space="preserve">Odzwierciedlający wzrost produktywności na mieszkańca </w:t>
            </w:r>
          </w:p>
        </w:tc>
        <w:tc>
          <w:tcPr>
            <w:tcW w:w="2247" w:type="dxa"/>
            <w:tcBorders>
              <w:left w:val="single" w:sz="12" w:space="0" w:color="000080"/>
            </w:tcBorders>
            <w:vAlign w:val="center"/>
          </w:tcPr>
          <w:p w14:paraId="2BDB1115" w14:textId="77777777"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AWG</w:t>
            </w:r>
          </w:p>
        </w:tc>
      </w:tr>
      <w:tr w:rsidR="002F002E" w:rsidRPr="00726865" w14:paraId="7B5E280F" w14:textId="77777777" w:rsidTr="00FC4846">
        <w:tblPrEx>
          <w:tblBorders>
            <w:top w:val="none" w:sz="0" w:space="0" w:color="auto"/>
            <w:bottom w:val="none" w:sz="0" w:space="0" w:color="auto"/>
            <w:insideH w:val="none" w:sz="0" w:space="0" w:color="auto"/>
            <w:insideV w:val="none" w:sz="0" w:space="0" w:color="auto"/>
          </w:tblBorders>
          <w:tblCellMar>
            <w:top w:w="0" w:type="dxa"/>
            <w:bottom w:w="0" w:type="dxa"/>
          </w:tblCellMar>
        </w:tblPrEx>
        <w:trPr>
          <w:trHeight w:val="57"/>
        </w:trPr>
        <w:tc>
          <w:tcPr>
            <w:tcW w:w="2217" w:type="dxa"/>
            <w:tcBorders>
              <w:right w:val="single" w:sz="12" w:space="0" w:color="000080"/>
            </w:tcBorders>
          </w:tcPr>
          <w:p w14:paraId="244B2356" w14:textId="77777777" w:rsidR="002F002E" w:rsidRPr="00726865" w:rsidRDefault="002F002E" w:rsidP="003D4ACF">
            <w:pPr>
              <w:tabs>
                <w:tab w:val="right" w:leader="dot" w:pos="4156"/>
              </w:tabs>
              <w:spacing w:before="0" w:after="0" w:line="240" w:lineRule="auto"/>
              <w:contextualSpacing/>
              <w:rPr>
                <w:b/>
                <w:color w:val="000000"/>
                <w:sz w:val="15"/>
                <w:szCs w:val="15"/>
              </w:rPr>
            </w:pPr>
            <w:r w:rsidRPr="00726865">
              <w:rPr>
                <w:b/>
                <w:color w:val="000000"/>
                <w:sz w:val="15"/>
                <w:szCs w:val="15"/>
              </w:rPr>
              <w:t>Założenia demograficzne (ludność, urodzenia, zgony, migracje)</w:t>
            </w:r>
          </w:p>
        </w:tc>
        <w:tc>
          <w:tcPr>
            <w:tcW w:w="3819" w:type="dxa"/>
            <w:tcBorders>
              <w:left w:val="single" w:sz="12" w:space="0" w:color="000080"/>
              <w:right w:val="single" w:sz="12" w:space="0" w:color="000080"/>
            </w:tcBorders>
          </w:tcPr>
          <w:p w14:paraId="7197562F" w14:textId="77777777" w:rsidR="002F002E" w:rsidRPr="00726865" w:rsidRDefault="002F002E" w:rsidP="003D4ACF">
            <w:pPr>
              <w:spacing w:before="0" w:after="0" w:line="240" w:lineRule="auto"/>
              <w:jc w:val="both"/>
              <w:rPr>
                <w:rFonts w:cs="Arial"/>
                <w:color w:val="000000"/>
                <w:sz w:val="15"/>
                <w:szCs w:val="15"/>
              </w:rPr>
            </w:pPr>
            <w:r w:rsidRPr="00726865">
              <w:rPr>
                <w:rFonts w:cs="Arial"/>
                <w:color w:val="000000"/>
                <w:sz w:val="15"/>
                <w:szCs w:val="15"/>
              </w:rPr>
              <w:t xml:space="preserve">Prognozy </w:t>
            </w:r>
            <w:proofErr w:type="spellStart"/>
            <w:r w:rsidRPr="00726865">
              <w:rPr>
                <w:rFonts w:cs="Arial"/>
                <w:color w:val="000000"/>
                <w:sz w:val="15"/>
                <w:szCs w:val="15"/>
              </w:rPr>
              <w:t>Europop</w:t>
            </w:r>
            <w:proofErr w:type="spellEnd"/>
          </w:p>
        </w:tc>
        <w:tc>
          <w:tcPr>
            <w:tcW w:w="2247" w:type="dxa"/>
            <w:tcBorders>
              <w:left w:val="single" w:sz="12" w:space="0" w:color="000080"/>
            </w:tcBorders>
          </w:tcPr>
          <w:p w14:paraId="55D22EE7" w14:textId="77777777" w:rsidR="002F002E" w:rsidRPr="00726865" w:rsidRDefault="002F002E" w:rsidP="00FC4846">
            <w:pPr>
              <w:spacing w:before="0" w:after="0" w:line="240" w:lineRule="auto"/>
              <w:rPr>
                <w:rFonts w:cs="Arial"/>
                <w:color w:val="000000"/>
                <w:sz w:val="15"/>
                <w:szCs w:val="15"/>
              </w:rPr>
            </w:pPr>
            <w:r w:rsidRPr="00726865">
              <w:rPr>
                <w:rFonts w:cs="Arial"/>
                <w:color w:val="000000"/>
                <w:sz w:val="15"/>
                <w:szCs w:val="15"/>
              </w:rPr>
              <w:t>Eurostat</w:t>
            </w:r>
          </w:p>
        </w:tc>
      </w:tr>
    </w:tbl>
    <w:p w14:paraId="6AAD9BF7" w14:textId="1BAC1A46" w:rsidR="002F002E" w:rsidRPr="00CD7155" w:rsidRDefault="002F002E" w:rsidP="00CD7155">
      <w:pPr>
        <w:pStyle w:val="Akapitzlist"/>
        <w:numPr>
          <w:ilvl w:val="0"/>
          <w:numId w:val="9"/>
        </w:numPr>
        <w:jc w:val="both"/>
        <w:rPr>
          <w:rFonts w:ascii="Fira Sans SemiBold" w:hAnsi="Fira Sans SemiBold"/>
          <w:bCs/>
          <w:color w:val="001D77"/>
          <w:szCs w:val="24"/>
          <w:lang w:eastAsia="pl-PL"/>
        </w:rPr>
      </w:pPr>
      <w:r w:rsidRPr="00CD7155">
        <w:rPr>
          <w:rFonts w:ascii="Fira Sans SemiBold" w:hAnsi="Fira Sans SemiBold"/>
          <w:bCs/>
          <w:color w:val="001D77"/>
          <w:szCs w:val="24"/>
          <w:lang w:eastAsia="pl-PL"/>
        </w:rPr>
        <w:lastRenderedPageBreak/>
        <w:t>Źródła danych</w:t>
      </w:r>
    </w:p>
    <w:p w14:paraId="21454CDE" w14:textId="77777777" w:rsidR="002F002E" w:rsidRPr="00D52091" w:rsidRDefault="002F002E" w:rsidP="002F002E">
      <w:pPr>
        <w:jc w:val="both"/>
        <w:rPr>
          <w:shd w:val="clear" w:color="auto" w:fill="FFFFFF"/>
        </w:rPr>
      </w:pPr>
      <w:r w:rsidRPr="00D52091">
        <w:rPr>
          <w:shd w:val="clear" w:color="auto" w:fill="FFFFFF"/>
        </w:rPr>
        <w:t xml:space="preserve">Do oszacowania nabytych uprawnień emerytalno-rentowych </w:t>
      </w:r>
      <w:r>
        <w:rPr>
          <w:shd w:val="clear" w:color="auto" w:fill="FFFFFF"/>
        </w:rPr>
        <w:t>zebrano</w:t>
      </w:r>
      <w:r w:rsidRPr="00D52091">
        <w:rPr>
          <w:shd w:val="clear" w:color="auto" w:fill="FFFFFF"/>
        </w:rPr>
        <w:t xml:space="preserve"> następujące rodzaje d</w:t>
      </w:r>
      <w:r>
        <w:rPr>
          <w:shd w:val="clear" w:color="auto" w:fill="FFFFFF"/>
        </w:rPr>
        <w:t>a</w:t>
      </w:r>
      <w:r w:rsidRPr="00D52091">
        <w:rPr>
          <w:shd w:val="clear" w:color="auto" w:fill="FFFFFF"/>
        </w:rPr>
        <w:t>nych:</w:t>
      </w:r>
    </w:p>
    <w:p w14:paraId="7AA296F8" w14:textId="3EA78529" w:rsidR="002F002E" w:rsidRPr="00926079" w:rsidRDefault="002F002E" w:rsidP="00926079">
      <w:pPr>
        <w:pStyle w:val="Akapitzlist"/>
        <w:numPr>
          <w:ilvl w:val="0"/>
          <w:numId w:val="11"/>
        </w:numPr>
        <w:spacing w:before="0" w:after="0"/>
        <w:jc w:val="both"/>
        <w:rPr>
          <w:shd w:val="clear" w:color="auto" w:fill="FFFFFF"/>
        </w:rPr>
      </w:pPr>
      <w:r w:rsidRPr="00926079">
        <w:rPr>
          <w:shd w:val="clear" w:color="auto" w:fill="FFFFFF"/>
        </w:rPr>
        <w:t xml:space="preserve">dane jednostkowe nieidentyfikowalne </w:t>
      </w:r>
      <w:r w:rsidR="005B25B7" w:rsidRPr="00926079">
        <w:rPr>
          <w:shd w:val="clear" w:color="auto" w:fill="FFFFFF"/>
        </w:rPr>
        <w:t xml:space="preserve">oraz zagregowane </w:t>
      </w:r>
      <w:r w:rsidRPr="00926079">
        <w:rPr>
          <w:shd w:val="clear" w:color="auto" w:fill="FFFFFF"/>
        </w:rPr>
        <w:t>pozyskane z instytucji zarządzających poszczególnymi systemami emerytalnymi (dane administracyjne),</w:t>
      </w:r>
    </w:p>
    <w:p w14:paraId="4A869C62" w14:textId="77777777" w:rsidR="002F002E" w:rsidRPr="00926079" w:rsidRDefault="002F002E" w:rsidP="00926079">
      <w:pPr>
        <w:pStyle w:val="Akapitzlist"/>
        <w:numPr>
          <w:ilvl w:val="0"/>
          <w:numId w:val="11"/>
        </w:numPr>
        <w:spacing w:before="0" w:after="0"/>
        <w:jc w:val="both"/>
        <w:rPr>
          <w:shd w:val="clear" w:color="auto" w:fill="FFFFFF"/>
        </w:rPr>
      </w:pPr>
      <w:r w:rsidRPr="00926079">
        <w:rPr>
          <w:shd w:val="clear" w:color="auto" w:fill="FFFFFF"/>
        </w:rPr>
        <w:t>dane zagregowane pochodzące z Narodowego Banku Polskiego oraz Komisji Nadzoru Finansowego (dane administracyjne), dane statystyczne.</w:t>
      </w:r>
    </w:p>
    <w:p w14:paraId="292A31D9" w14:textId="77777777" w:rsidR="00766061" w:rsidRDefault="00766061" w:rsidP="00766061">
      <w:pPr>
        <w:spacing w:before="0" w:after="0"/>
        <w:ind w:left="40"/>
        <w:jc w:val="both"/>
        <w:rPr>
          <w:b/>
          <w:sz w:val="18"/>
          <w:szCs w:val="18"/>
          <w:shd w:val="clear" w:color="auto" w:fill="FFFFFF"/>
        </w:rPr>
      </w:pPr>
    </w:p>
    <w:p w14:paraId="52C707EE" w14:textId="45809F1C" w:rsidR="00766061" w:rsidRPr="002F002E" w:rsidRDefault="00766061" w:rsidP="00766061">
      <w:pPr>
        <w:spacing w:before="0" w:after="0"/>
        <w:ind w:left="40"/>
        <w:jc w:val="both"/>
        <w:rPr>
          <w:shd w:val="clear" w:color="auto" w:fill="FFFFFF"/>
        </w:rPr>
      </w:pPr>
      <w:r>
        <w:rPr>
          <w:b/>
          <w:sz w:val="18"/>
          <w:szCs w:val="18"/>
          <w:shd w:val="clear" w:color="auto" w:fill="FFFFFF"/>
        </w:rPr>
        <w:t>Tablica</w:t>
      </w:r>
      <w:r w:rsidRPr="00D52091">
        <w:rPr>
          <w:b/>
          <w:sz w:val="18"/>
          <w:szCs w:val="18"/>
          <w:shd w:val="clear" w:color="auto" w:fill="FFFFFF"/>
        </w:rPr>
        <w:t xml:space="preserve"> 3. Źródła danych dla szacunków nabytych uprawnień emerytalno-rentowych dla roku</w:t>
      </w:r>
      <w:r w:rsidR="0020237D">
        <w:rPr>
          <w:b/>
          <w:sz w:val="18"/>
          <w:szCs w:val="18"/>
          <w:shd w:val="clear" w:color="auto" w:fill="FFFFFF"/>
        </w:rPr>
        <w:t xml:space="preserve"> 2015</w:t>
      </w:r>
    </w:p>
    <w:tbl>
      <w:tblPr>
        <w:tblpPr w:leftFromText="141" w:rightFromText="141" w:vertAnchor="text" w:horzAnchor="margin" w:tblpY="491"/>
        <w:tblW w:w="5000" w:type="pct"/>
        <w:tblBorders>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2770"/>
        <w:gridCol w:w="2609"/>
        <w:gridCol w:w="2688"/>
      </w:tblGrid>
      <w:tr w:rsidR="00766061" w:rsidRPr="00D52091" w14:paraId="694FDF1B" w14:textId="77777777" w:rsidTr="00F71B16">
        <w:trPr>
          <w:trHeight w:val="420"/>
        </w:trPr>
        <w:tc>
          <w:tcPr>
            <w:tcW w:w="1717" w:type="pct"/>
            <w:tcBorders>
              <w:top w:val="nil"/>
              <w:bottom w:val="single" w:sz="12" w:space="0" w:color="000080"/>
              <w:right w:val="single" w:sz="12" w:space="0" w:color="000080"/>
            </w:tcBorders>
            <w:vAlign w:val="center"/>
          </w:tcPr>
          <w:p w14:paraId="388814D8" w14:textId="77777777" w:rsidR="00766061" w:rsidRPr="0014457E" w:rsidRDefault="00766061" w:rsidP="00F71B16">
            <w:pPr>
              <w:pStyle w:val="Nagwek1"/>
              <w:tabs>
                <w:tab w:val="right" w:leader="dot" w:pos="4139"/>
              </w:tabs>
              <w:spacing w:before="0" w:after="0" w:line="200" w:lineRule="exact"/>
              <w:rPr>
                <w:rFonts w:ascii="Fira Sans" w:hAnsi="Fira Sans" w:cs="Arial"/>
                <w:b/>
                <w:color w:val="000000"/>
                <w:sz w:val="16"/>
                <w:szCs w:val="16"/>
              </w:rPr>
            </w:pPr>
            <w:r w:rsidRPr="0014457E">
              <w:rPr>
                <w:rFonts w:ascii="Fira Sans" w:hAnsi="Fira Sans" w:cs="Arial"/>
                <w:b/>
                <w:color w:val="000000"/>
                <w:sz w:val="16"/>
                <w:szCs w:val="16"/>
              </w:rPr>
              <w:t>SYSTEM EMERYTALNY</w:t>
            </w:r>
          </w:p>
        </w:tc>
        <w:tc>
          <w:tcPr>
            <w:tcW w:w="1617" w:type="pct"/>
            <w:tcBorders>
              <w:top w:val="nil"/>
              <w:left w:val="single" w:sz="12" w:space="0" w:color="000080"/>
              <w:bottom w:val="single" w:sz="12" w:space="0" w:color="000080"/>
              <w:right w:val="single" w:sz="12" w:space="0" w:color="000080"/>
            </w:tcBorders>
            <w:vAlign w:val="center"/>
          </w:tcPr>
          <w:p w14:paraId="57948513" w14:textId="77777777" w:rsidR="00766061" w:rsidRPr="0014457E" w:rsidRDefault="00766061" w:rsidP="00F71B16">
            <w:pPr>
              <w:pStyle w:val="Nagwek1"/>
              <w:tabs>
                <w:tab w:val="right" w:leader="dot" w:pos="4139"/>
              </w:tabs>
              <w:spacing w:before="0" w:after="0" w:line="200" w:lineRule="exact"/>
              <w:jc w:val="center"/>
              <w:rPr>
                <w:rFonts w:ascii="Fira Sans" w:hAnsi="Fira Sans"/>
                <w:b/>
                <w:bCs w:val="0"/>
                <w:color w:val="000000"/>
                <w:sz w:val="16"/>
                <w:szCs w:val="16"/>
              </w:rPr>
            </w:pPr>
            <w:r w:rsidRPr="0014457E">
              <w:rPr>
                <w:rFonts w:ascii="Fira Sans" w:hAnsi="Fira Sans" w:cs="Arial"/>
                <w:b/>
                <w:color w:val="000000"/>
                <w:sz w:val="16"/>
                <w:szCs w:val="16"/>
              </w:rPr>
              <w:t>Źródła danych</w:t>
            </w:r>
          </w:p>
        </w:tc>
        <w:tc>
          <w:tcPr>
            <w:tcW w:w="1666" w:type="pct"/>
            <w:tcBorders>
              <w:top w:val="nil"/>
              <w:left w:val="single" w:sz="12" w:space="0" w:color="000080"/>
              <w:bottom w:val="single" w:sz="12" w:space="0" w:color="000080"/>
            </w:tcBorders>
            <w:vAlign w:val="center"/>
          </w:tcPr>
          <w:p w14:paraId="77C2053D" w14:textId="77777777" w:rsidR="00766061" w:rsidRPr="00663409" w:rsidRDefault="00766061" w:rsidP="00F71B16">
            <w:pPr>
              <w:pStyle w:val="Nagwek3"/>
              <w:spacing w:before="0" w:line="200" w:lineRule="exact"/>
              <w:jc w:val="center"/>
              <w:rPr>
                <w:rFonts w:ascii="Fira Sans" w:hAnsi="Fira Sans"/>
                <w:b/>
                <w:color w:val="000000"/>
                <w:sz w:val="16"/>
                <w:szCs w:val="16"/>
              </w:rPr>
            </w:pPr>
            <w:r w:rsidRPr="00663409">
              <w:rPr>
                <w:rFonts w:ascii="Fira Sans" w:hAnsi="Fira Sans"/>
                <w:b/>
                <w:color w:val="000000"/>
                <w:sz w:val="16"/>
                <w:szCs w:val="16"/>
              </w:rPr>
              <w:t>Forma przekazania</w:t>
            </w:r>
          </w:p>
        </w:tc>
      </w:tr>
      <w:tr w:rsidR="00766061" w:rsidRPr="00D52091" w14:paraId="2E72CE84" w14:textId="77777777" w:rsidTr="00F71B16">
        <w:trPr>
          <w:trHeight w:val="57"/>
        </w:trPr>
        <w:tc>
          <w:tcPr>
            <w:tcW w:w="1717" w:type="pct"/>
            <w:tcBorders>
              <w:top w:val="single" w:sz="12" w:space="0" w:color="000080"/>
              <w:right w:val="single" w:sz="12" w:space="0" w:color="000080"/>
            </w:tcBorders>
            <w:vAlign w:val="center"/>
          </w:tcPr>
          <w:p w14:paraId="382F0904" w14:textId="376383CB" w:rsidR="00766061" w:rsidRPr="0014457E" w:rsidRDefault="00766061" w:rsidP="004558C0">
            <w:pPr>
              <w:pStyle w:val="Nagwek8"/>
              <w:tabs>
                <w:tab w:val="right" w:leader="dot" w:pos="4156"/>
              </w:tabs>
              <w:spacing w:before="0" w:line="200" w:lineRule="exact"/>
              <w:contextualSpacing/>
              <w:rPr>
                <w:rFonts w:ascii="Fira Sans" w:hAnsi="Fira Sans"/>
                <w:color w:val="000000"/>
                <w:sz w:val="16"/>
                <w:szCs w:val="16"/>
              </w:rPr>
            </w:pPr>
            <w:r w:rsidRPr="0014457E">
              <w:rPr>
                <w:rFonts w:ascii="Fira Sans" w:hAnsi="Fira Sans"/>
                <w:color w:val="000000"/>
                <w:sz w:val="16"/>
                <w:szCs w:val="16"/>
              </w:rPr>
              <w:t>Powszechny</w:t>
            </w:r>
            <w:r w:rsidR="0027324A">
              <w:rPr>
                <w:rFonts w:ascii="Fira Sans" w:hAnsi="Fira Sans"/>
                <w:color w:val="000000"/>
                <w:sz w:val="16"/>
                <w:szCs w:val="16"/>
              </w:rPr>
              <w:t xml:space="preserve"> system ubezpieczeń społecznych</w:t>
            </w:r>
            <w:r w:rsidRPr="0014457E">
              <w:rPr>
                <w:rFonts w:ascii="Fira Sans" w:hAnsi="Fira Sans"/>
                <w:color w:val="000000"/>
                <w:sz w:val="16"/>
                <w:szCs w:val="16"/>
              </w:rPr>
              <w:t xml:space="preserve"> (ZUS)</w:t>
            </w:r>
          </w:p>
        </w:tc>
        <w:tc>
          <w:tcPr>
            <w:tcW w:w="1617" w:type="pct"/>
            <w:tcBorders>
              <w:top w:val="single" w:sz="12" w:space="0" w:color="000080"/>
              <w:left w:val="single" w:sz="12" w:space="0" w:color="000080"/>
              <w:right w:val="single" w:sz="12" w:space="0" w:color="000080"/>
            </w:tcBorders>
            <w:vAlign w:val="center"/>
          </w:tcPr>
          <w:p w14:paraId="7F79C21B"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 xml:space="preserve">Zakład Ubezpieczeń </w:t>
            </w:r>
            <w:r w:rsidRPr="00D52091">
              <w:rPr>
                <w:rFonts w:cs="Arial"/>
                <w:color w:val="000000"/>
                <w:sz w:val="16"/>
                <w:szCs w:val="16"/>
              </w:rPr>
              <w:br/>
              <w:t>Społecznych</w:t>
            </w:r>
          </w:p>
        </w:tc>
        <w:tc>
          <w:tcPr>
            <w:tcW w:w="1666" w:type="pct"/>
            <w:tcBorders>
              <w:top w:val="single" w:sz="12" w:space="0" w:color="000080"/>
              <w:left w:val="single" w:sz="12" w:space="0" w:color="000080"/>
            </w:tcBorders>
            <w:vAlign w:val="center"/>
          </w:tcPr>
          <w:p w14:paraId="3BAC465E" w14:textId="77777777" w:rsidR="00766061" w:rsidRDefault="00766061" w:rsidP="004558C0">
            <w:pPr>
              <w:spacing w:before="0" w:after="0" w:line="200" w:lineRule="exact"/>
              <w:rPr>
                <w:rFonts w:cs="Arial"/>
                <w:color w:val="000000"/>
                <w:sz w:val="16"/>
                <w:szCs w:val="16"/>
              </w:rPr>
            </w:pPr>
            <w:r>
              <w:rPr>
                <w:rFonts w:cs="Arial"/>
                <w:color w:val="000000"/>
                <w:sz w:val="16"/>
                <w:szCs w:val="16"/>
              </w:rPr>
              <w:t>P</w:t>
            </w:r>
            <w:r w:rsidRPr="00D52091">
              <w:rPr>
                <w:rFonts w:cs="Arial"/>
                <w:color w:val="000000"/>
                <w:sz w:val="16"/>
                <w:szCs w:val="16"/>
              </w:rPr>
              <w:t xml:space="preserve">róba pozyskana </w:t>
            </w:r>
            <w:r w:rsidRPr="00D52091">
              <w:rPr>
                <w:rFonts w:cs="Arial"/>
                <w:color w:val="000000"/>
                <w:sz w:val="16"/>
                <w:szCs w:val="16"/>
              </w:rPr>
              <w:br/>
              <w:t>z systemu informatycznego ZUS</w:t>
            </w:r>
          </w:p>
          <w:p w14:paraId="7D1875F9" w14:textId="650CE20E" w:rsidR="005B25B7" w:rsidRPr="00D52091" w:rsidRDefault="005B25B7" w:rsidP="004558C0">
            <w:pPr>
              <w:spacing w:before="0" w:after="0" w:line="200" w:lineRule="exact"/>
              <w:rPr>
                <w:rFonts w:cs="Arial"/>
                <w:color w:val="000000"/>
                <w:sz w:val="16"/>
                <w:szCs w:val="16"/>
              </w:rPr>
            </w:pPr>
            <w:r>
              <w:rPr>
                <w:rFonts w:cs="Arial"/>
                <w:color w:val="000000"/>
                <w:sz w:val="16"/>
                <w:szCs w:val="16"/>
              </w:rPr>
              <w:t>Dane zagregowane o płacących składki, emerytach i rencistach</w:t>
            </w:r>
          </w:p>
        </w:tc>
      </w:tr>
      <w:tr w:rsidR="00766061" w:rsidRPr="00D52091" w14:paraId="0CF57361" w14:textId="77777777" w:rsidTr="00F71B16">
        <w:trPr>
          <w:trHeight w:val="57"/>
        </w:trPr>
        <w:tc>
          <w:tcPr>
            <w:tcW w:w="1717" w:type="pct"/>
            <w:tcBorders>
              <w:right w:val="single" w:sz="12" w:space="0" w:color="000080"/>
            </w:tcBorders>
            <w:vAlign w:val="center"/>
          </w:tcPr>
          <w:p w14:paraId="05695794" w14:textId="4707ECB6" w:rsidR="00766061" w:rsidRPr="0014457E" w:rsidRDefault="00766061" w:rsidP="004558C0">
            <w:pPr>
              <w:pStyle w:val="Nagwek8"/>
              <w:tabs>
                <w:tab w:val="right" w:leader="dot" w:pos="4156"/>
              </w:tabs>
              <w:spacing w:before="0" w:line="200" w:lineRule="exact"/>
              <w:contextualSpacing/>
              <w:rPr>
                <w:rFonts w:ascii="Fira Sans" w:hAnsi="Fira Sans"/>
                <w:color w:val="000000"/>
                <w:sz w:val="16"/>
                <w:szCs w:val="16"/>
              </w:rPr>
            </w:pPr>
            <w:r w:rsidRPr="0014457E">
              <w:rPr>
                <w:rFonts w:ascii="Fira Sans" w:hAnsi="Fira Sans"/>
                <w:color w:val="000000"/>
                <w:sz w:val="16"/>
                <w:szCs w:val="16"/>
              </w:rPr>
              <w:t xml:space="preserve">System </w:t>
            </w:r>
            <w:r w:rsidR="00B2679E">
              <w:rPr>
                <w:rFonts w:ascii="Fira Sans" w:hAnsi="Fira Sans"/>
                <w:color w:val="000000"/>
                <w:sz w:val="16"/>
                <w:szCs w:val="16"/>
              </w:rPr>
              <w:t>zabezpieczenia</w:t>
            </w:r>
            <w:r w:rsidRPr="0014457E">
              <w:rPr>
                <w:rFonts w:ascii="Fira Sans" w:hAnsi="Fira Sans"/>
                <w:color w:val="000000"/>
                <w:sz w:val="16"/>
                <w:szCs w:val="16"/>
              </w:rPr>
              <w:t xml:space="preserve"> </w:t>
            </w:r>
            <w:r w:rsidR="00B2679E">
              <w:rPr>
                <w:rFonts w:ascii="Fira Sans" w:hAnsi="Fira Sans"/>
                <w:color w:val="000000"/>
                <w:sz w:val="16"/>
                <w:szCs w:val="16"/>
              </w:rPr>
              <w:t>społecznego</w:t>
            </w:r>
            <w:r w:rsidRPr="0014457E">
              <w:rPr>
                <w:rFonts w:ascii="Fira Sans" w:hAnsi="Fira Sans"/>
                <w:color w:val="000000"/>
                <w:sz w:val="16"/>
                <w:szCs w:val="16"/>
              </w:rPr>
              <w:t xml:space="preserve"> rolników (KRUS)</w:t>
            </w:r>
          </w:p>
        </w:tc>
        <w:tc>
          <w:tcPr>
            <w:tcW w:w="1617" w:type="pct"/>
            <w:tcBorders>
              <w:left w:val="single" w:sz="12" w:space="0" w:color="000080"/>
              <w:right w:val="single" w:sz="12" w:space="0" w:color="000080"/>
            </w:tcBorders>
            <w:vAlign w:val="center"/>
          </w:tcPr>
          <w:p w14:paraId="35517007"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 xml:space="preserve">Kasa Rolniczego </w:t>
            </w:r>
            <w:r w:rsidRPr="00D52091">
              <w:rPr>
                <w:rFonts w:cs="Arial"/>
                <w:color w:val="000000"/>
                <w:sz w:val="16"/>
                <w:szCs w:val="16"/>
              </w:rPr>
              <w:br/>
              <w:t>Ubezpieczenia Społecznego</w:t>
            </w:r>
          </w:p>
        </w:tc>
        <w:tc>
          <w:tcPr>
            <w:tcW w:w="1666" w:type="pct"/>
            <w:tcBorders>
              <w:left w:val="single" w:sz="12" w:space="0" w:color="000080"/>
            </w:tcBorders>
            <w:vAlign w:val="center"/>
          </w:tcPr>
          <w:p w14:paraId="3A492ABF" w14:textId="77777777" w:rsidR="00766061" w:rsidRDefault="00766061" w:rsidP="004558C0">
            <w:pPr>
              <w:spacing w:before="0" w:after="0" w:line="200" w:lineRule="exact"/>
              <w:rPr>
                <w:rFonts w:cs="Arial"/>
                <w:color w:val="000000"/>
                <w:sz w:val="16"/>
                <w:szCs w:val="16"/>
              </w:rPr>
            </w:pPr>
            <w:r w:rsidRPr="00D52091">
              <w:rPr>
                <w:rFonts w:cs="Arial"/>
                <w:color w:val="000000"/>
                <w:sz w:val="16"/>
                <w:szCs w:val="16"/>
              </w:rPr>
              <w:t>Pełna zbiorowość pozyskana z systemu informatycznego KRUS</w:t>
            </w:r>
          </w:p>
          <w:p w14:paraId="10439D47" w14:textId="345A0C0C" w:rsidR="005B25B7" w:rsidRPr="00D52091" w:rsidRDefault="005B25B7" w:rsidP="004558C0">
            <w:pPr>
              <w:spacing w:before="0" w:after="0" w:line="200" w:lineRule="exact"/>
              <w:rPr>
                <w:rFonts w:cs="Arial"/>
                <w:color w:val="000000"/>
                <w:sz w:val="16"/>
                <w:szCs w:val="16"/>
              </w:rPr>
            </w:pPr>
            <w:r>
              <w:rPr>
                <w:rFonts w:cs="Arial"/>
                <w:color w:val="000000"/>
                <w:sz w:val="16"/>
                <w:szCs w:val="16"/>
              </w:rPr>
              <w:t>Dane zagregowane o płacących składki, emerytach i rencistach</w:t>
            </w:r>
          </w:p>
        </w:tc>
      </w:tr>
      <w:tr w:rsidR="00766061" w:rsidRPr="00D52091" w14:paraId="2BBA3120" w14:textId="77777777" w:rsidTr="00F71B16">
        <w:trPr>
          <w:trHeight w:val="57"/>
        </w:trPr>
        <w:tc>
          <w:tcPr>
            <w:tcW w:w="1717" w:type="pct"/>
            <w:tcBorders>
              <w:right w:val="single" w:sz="12" w:space="0" w:color="000080"/>
            </w:tcBorders>
            <w:vAlign w:val="center"/>
          </w:tcPr>
          <w:p w14:paraId="7555DA69" w14:textId="77777777" w:rsidR="00DE47E3" w:rsidRPr="00DE47E3" w:rsidRDefault="00DE47E3" w:rsidP="00DE47E3">
            <w:pPr>
              <w:tabs>
                <w:tab w:val="right" w:leader="dot" w:pos="4156"/>
              </w:tabs>
              <w:spacing w:before="0" w:after="0" w:line="200" w:lineRule="exact"/>
              <w:contextualSpacing/>
              <w:rPr>
                <w:color w:val="000000"/>
                <w:sz w:val="16"/>
                <w:szCs w:val="16"/>
              </w:rPr>
            </w:pPr>
            <w:r w:rsidRPr="00DE47E3">
              <w:rPr>
                <w:color w:val="000000"/>
                <w:sz w:val="16"/>
                <w:szCs w:val="16"/>
              </w:rPr>
              <w:t xml:space="preserve">System zaopatrzenia emerytalno-rentowego służb mundurowych </w:t>
            </w:r>
          </w:p>
          <w:p w14:paraId="3F5807C3" w14:textId="44EC5581" w:rsidR="00766061" w:rsidRPr="00B2679E" w:rsidRDefault="00DE47E3" w:rsidP="00DE47E3">
            <w:pPr>
              <w:tabs>
                <w:tab w:val="right" w:leader="dot" w:pos="4156"/>
              </w:tabs>
              <w:spacing w:before="0" w:after="0" w:line="200" w:lineRule="exact"/>
              <w:contextualSpacing/>
              <w:rPr>
                <w:b/>
                <w:color w:val="000000"/>
                <w:sz w:val="16"/>
                <w:szCs w:val="16"/>
              </w:rPr>
            </w:pPr>
            <w:r w:rsidRPr="00DE47E3">
              <w:rPr>
                <w:color w:val="000000"/>
                <w:sz w:val="16"/>
                <w:szCs w:val="16"/>
              </w:rPr>
              <w:t>i żołnierzy zawodowych</w:t>
            </w:r>
          </w:p>
        </w:tc>
        <w:tc>
          <w:tcPr>
            <w:tcW w:w="1617" w:type="pct"/>
            <w:tcBorders>
              <w:left w:val="single" w:sz="12" w:space="0" w:color="000080"/>
              <w:right w:val="single" w:sz="12" w:space="0" w:color="000080"/>
            </w:tcBorders>
            <w:vAlign w:val="center"/>
          </w:tcPr>
          <w:p w14:paraId="04DBC2A6" w14:textId="77777777" w:rsidR="00DE47E3" w:rsidRPr="00384C5B" w:rsidRDefault="00DE47E3" w:rsidP="00DE47E3">
            <w:pPr>
              <w:spacing w:before="0" w:after="0" w:line="200" w:lineRule="exact"/>
              <w:rPr>
                <w:rFonts w:cs="Arial"/>
                <w:color w:val="000000"/>
                <w:sz w:val="16"/>
                <w:szCs w:val="16"/>
              </w:rPr>
            </w:pPr>
            <w:r w:rsidRPr="00384C5B">
              <w:rPr>
                <w:rFonts w:cs="Arial"/>
                <w:color w:val="000000"/>
                <w:sz w:val="16"/>
                <w:szCs w:val="16"/>
              </w:rPr>
              <w:t>Ministerstwo Obrony Narodowej</w:t>
            </w:r>
          </w:p>
          <w:p w14:paraId="7DC71E99" w14:textId="77777777" w:rsidR="00DE47E3" w:rsidRPr="00384C5B" w:rsidRDefault="00DE47E3" w:rsidP="00DE47E3">
            <w:pPr>
              <w:spacing w:before="0" w:after="0" w:line="200" w:lineRule="exact"/>
              <w:rPr>
                <w:rFonts w:cs="Arial"/>
                <w:color w:val="000000"/>
                <w:sz w:val="16"/>
                <w:szCs w:val="16"/>
              </w:rPr>
            </w:pPr>
            <w:r w:rsidRPr="00384C5B">
              <w:rPr>
                <w:rFonts w:cs="Arial"/>
                <w:color w:val="000000"/>
                <w:sz w:val="16"/>
                <w:szCs w:val="16"/>
              </w:rPr>
              <w:t>Ministerstwo Spraw Wewnętrznych i Administracji</w:t>
            </w:r>
          </w:p>
          <w:p w14:paraId="5AEDBF4D" w14:textId="77777777" w:rsidR="00DE47E3" w:rsidRPr="00384C5B" w:rsidRDefault="00DE47E3" w:rsidP="00DE47E3">
            <w:pPr>
              <w:spacing w:before="0" w:after="0" w:line="200" w:lineRule="exact"/>
              <w:rPr>
                <w:rFonts w:cs="Arial"/>
                <w:color w:val="000000"/>
                <w:sz w:val="16"/>
                <w:szCs w:val="16"/>
              </w:rPr>
            </w:pPr>
            <w:r w:rsidRPr="00384C5B">
              <w:rPr>
                <w:rFonts w:cs="Arial"/>
                <w:color w:val="000000"/>
                <w:sz w:val="16"/>
                <w:szCs w:val="16"/>
              </w:rPr>
              <w:t>Wojskowe Biuro Emerytalne</w:t>
            </w:r>
          </w:p>
          <w:p w14:paraId="6DD0C71C" w14:textId="77777777" w:rsidR="00DE47E3" w:rsidRPr="00384C5B" w:rsidRDefault="00DE47E3" w:rsidP="00DE47E3">
            <w:pPr>
              <w:spacing w:before="0" w:after="0" w:line="200" w:lineRule="exact"/>
              <w:rPr>
                <w:rFonts w:cs="Arial"/>
                <w:color w:val="000000"/>
                <w:sz w:val="16"/>
                <w:szCs w:val="16"/>
              </w:rPr>
            </w:pPr>
            <w:r>
              <w:rPr>
                <w:rFonts w:cs="Arial"/>
                <w:color w:val="000000"/>
                <w:sz w:val="16"/>
                <w:szCs w:val="16"/>
              </w:rPr>
              <w:t>Zakład Emerytalno-</w:t>
            </w:r>
            <w:r w:rsidRPr="00384C5B">
              <w:rPr>
                <w:rFonts w:cs="Arial"/>
                <w:color w:val="000000"/>
                <w:sz w:val="16"/>
                <w:szCs w:val="16"/>
              </w:rPr>
              <w:t>Rentowy MSWiA</w:t>
            </w:r>
          </w:p>
          <w:p w14:paraId="2F2E8E2C" w14:textId="7D736AB7" w:rsidR="00766061" w:rsidRPr="00D52091" w:rsidRDefault="00DE47E3" w:rsidP="00DE47E3">
            <w:pPr>
              <w:spacing w:before="0" w:after="0" w:line="200" w:lineRule="exact"/>
              <w:rPr>
                <w:rFonts w:cs="Arial"/>
                <w:color w:val="000000"/>
                <w:sz w:val="16"/>
                <w:szCs w:val="16"/>
              </w:rPr>
            </w:pPr>
            <w:r w:rsidRPr="00384C5B">
              <w:rPr>
                <w:rFonts w:cs="Arial"/>
                <w:color w:val="000000"/>
                <w:sz w:val="16"/>
                <w:szCs w:val="16"/>
              </w:rPr>
              <w:t>Biuro Emerytalne Służby Więzienn</w:t>
            </w:r>
            <w:r w:rsidRPr="00522589">
              <w:rPr>
                <w:rFonts w:cs="Arial"/>
                <w:color w:val="000000"/>
                <w:sz w:val="16"/>
                <w:szCs w:val="16"/>
              </w:rPr>
              <w:t>ej</w:t>
            </w:r>
          </w:p>
        </w:tc>
        <w:tc>
          <w:tcPr>
            <w:tcW w:w="1666" w:type="pct"/>
            <w:tcBorders>
              <w:left w:val="single" w:sz="12" w:space="0" w:color="000080"/>
            </w:tcBorders>
            <w:vAlign w:val="center"/>
          </w:tcPr>
          <w:p w14:paraId="2810E8A8"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Pełna zbiorowość, dane zbierane za pomocą specjalnie przygotowanego formularza</w:t>
            </w:r>
          </w:p>
        </w:tc>
      </w:tr>
      <w:tr w:rsidR="00766061" w:rsidRPr="00D52091" w14:paraId="453928EF" w14:textId="77777777" w:rsidTr="00F71B16">
        <w:trPr>
          <w:trHeight w:val="57"/>
        </w:trPr>
        <w:tc>
          <w:tcPr>
            <w:tcW w:w="1717" w:type="pct"/>
            <w:tcBorders>
              <w:right w:val="single" w:sz="12" w:space="0" w:color="000080"/>
            </w:tcBorders>
            <w:vAlign w:val="center"/>
          </w:tcPr>
          <w:p w14:paraId="20FB6607" w14:textId="63474D40" w:rsidR="00DE47E3" w:rsidRPr="00D52091" w:rsidRDefault="00DE47E3" w:rsidP="00DE47E3">
            <w:pPr>
              <w:tabs>
                <w:tab w:val="right" w:leader="dot" w:pos="4156"/>
              </w:tabs>
              <w:spacing w:before="0" w:after="0" w:line="200" w:lineRule="exact"/>
              <w:contextualSpacing/>
              <w:rPr>
                <w:color w:val="000000"/>
                <w:sz w:val="16"/>
                <w:szCs w:val="16"/>
              </w:rPr>
            </w:pPr>
            <w:r w:rsidRPr="00DE47E3">
              <w:rPr>
                <w:color w:val="000000"/>
                <w:sz w:val="16"/>
                <w:szCs w:val="16"/>
              </w:rPr>
              <w:t>System zaopatrzenia emerytalno-rentowego sędziów i prokuratorów</w:t>
            </w:r>
          </w:p>
        </w:tc>
        <w:tc>
          <w:tcPr>
            <w:tcW w:w="1617" w:type="pct"/>
            <w:tcBorders>
              <w:left w:val="single" w:sz="12" w:space="0" w:color="000080"/>
              <w:right w:val="single" w:sz="12" w:space="0" w:color="000080"/>
            </w:tcBorders>
            <w:vAlign w:val="center"/>
          </w:tcPr>
          <w:p w14:paraId="1FC6EEB5" w14:textId="37B52EAA" w:rsidR="00766061" w:rsidRPr="00D52091" w:rsidRDefault="00DE47E3" w:rsidP="004558C0">
            <w:pPr>
              <w:spacing w:before="0" w:after="0" w:line="200" w:lineRule="exact"/>
              <w:rPr>
                <w:rFonts w:cs="Arial"/>
                <w:color w:val="000000"/>
                <w:sz w:val="16"/>
                <w:szCs w:val="16"/>
              </w:rPr>
            </w:pPr>
            <w:r>
              <w:rPr>
                <w:rFonts w:cs="Arial"/>
                <w:color w:val="000000"/>
                <w:sz w:val="16"/>
                <w:szCs w:val="16"/>
              </w:rPr>
              <w:t>Sądy i prokuratury</w:t>
            </w:r>
          </w:p>
        </w:tc>
        <w:tc>
          <w:tcPr>
            <w:tcW w:w="1666" w:type="pct"/>
            <w:tcBorders>
              <w:left w:val="single" w:sz="12" w:space="0" w:color="000080"/>
            </w:tcBorders>
            <w:vAlign w:val="center"/>
          </w:tcPr>
          <w:p w14:paraId="2DC04C3A"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Pełna zbiorowość, dane zbierane za pomocą specjalnie przygotowanego formularza</w:t>
            </w:r>
          </w:p>
        </w:tc>
      </w:tr>
      <w:tr w:rsidR="00766061" w:rsidRPr="00D52091" w14:paraId="7F3B88E1" w14:textId="77777777" w:rsidTr="00F71B16">
        <w:trPr>
          <w:trHeight w:val="57"/>
        </w:trPr>
        <w:tc>
          <w:tcPr>
            <w:tcW w:w="1717" w:type="pct"/>
            <w:tcBorders>
              <w:right w:val="single" w:sz="12" w:space="0" w:color="000080"/>
            </w:tcBorders>
            <w:vAlign w:val="center"/>
          </w:tcPr>
          <w:p w14:paraId="3CE426D3" w14:textId="414CA41B" w:rsidR="00766061" w:rsidRPr="0014457E" w:rsidRDefault="0027324A" w:rsidP="004558C0">
            <w:pPr>
              <w:pStyle w:val="Nagwek9"/>
              <w:tabs>
                <w:tab w:val="right" w:leader="dot" w:pos="4156"/>
              </w:tabs>
              <w:spacing w:before="0" w:line="200" w:lineRule="exact"/>
              <w:contextualSpacing/>
              <w:rPr>
                <w:rFonts w:ascii="Fira Sans" w:hAnsi="Fira Sans"/>
                <w:i w:val="0"/>
                <w:iCs w:val="0"/>
                <w:color w:val="000000"/>
                <w:sz w:val="16"/>
                <w:szCs w:val="16"/>
              </w:rPr>
            </w:pPr>
            <w:r>
              <w:rPr>
                <w:rFonts w:ascii="Fira Sans" w:hAnsi="Fira Sans"/>
                <w:i w:val="0"/>
                <w:color w:val="000000"/>
                <w:sz w:val="16"/>
                <w:szCs w:val="16"/>
              </w:rPr>
              <w:t>Otwarte</w:t>
            </w:r>
            <w:r w:rsidR="00766061" w:rsidRPr="0014457E">
              <w:rPr>
                <w:rFonts w:ascii="Fira Sans" w:hAnsi="Fira Sans"/>
                <w:i w:val="0"/>
                <w:color w:val="000000"/>
                <w:sz w:val="16"/>
                <w:szCs w:val="16"/>
              </w:rPr>
              <w:t xml:space="preserve"> fundusze emerytalne (OFE)</w:t>
            </w:r>
          </w:p>
        </w:tc>
        <w:tc>
          <w:tcPr>
            <w:tcW w:w="1617" w:type="pct"/>
            <w:tcBorders>
              <w:left w:val="single" w:sz="12" w:space="0" w:color="000080"/>
              <w:right w:val="single" w:sz="12" w:space="0" w:color="000080"/>
            </w:tcBorders>
            <w:vAlign w:val="center"/>
          </w:tcPr>
          <w:p w14:paraId="17B249DE"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Narodowy Bank Polski, Komisja Nadzoru Finansowego</w:t>
            </w:r>
          </w:p>
        </w:tc>
        <w:tc>
          <w:tcPr>
            <w:tcW w:w="1666" w:type="pct"/>
            <w:tcBorders>
              <w:left w:val="single" w:sz="12" w:space="0" w:color="000080"/>
            </w:tcBorders>
            <w:vAlign w:val="center"/>
          </w:tcPr>
          <w:p w14:paraId="2DC87BA1" w14:textId="29483E50"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Peł</w:t>
            </w:r>
            <w:r w:rsidR="0027324A">
              <w:rPr>
                <w:rFonts w:cs="Arial"/>
                <w:color w:val="000000"/>
                <w:sz w:val="16"/>
                <w:szCs w:val="16"/>
              </w:rPr>
              <w:t>na zbiorowość, dane zagregowane</w:t>
            </w:r>
            <w:r w:rsidRPr="00D52091">
              <w:rPr>
                <w:rFonts w:cs="Arial"/>
                <w:color w:val="000000"/>
                <w:sz w:val="16"/>
                <w:szCs w:val="16"/>
              </w:rPr>
              <w:t xml:space="preserve"> </w:t>
            </w:r>
          </w:p>
        </w:tc>
      </w:tr>
      <w:tr w:rsidR="00766061" w:rsidRPr="00D52091" w14:paraId="6DE47B64" w14:textId="77777777" w:rsidTr="00F71B16">
        <w:trPr>
          <w:trHeight w:val="57"/>
        </w:trPr>
        <w:tc>
          <w:tcPr>
            <w:tcW w:w="1717" w:type="pct"/>
            <w:tcBorders>
              <w:right w:val="single" w:sz="12" w:space="0" w:color="000080"/>
            </w:tcBorders>
            <w:vAlign w:val="center"/>
          </w:tcPr>
          <w:p w14:paraId="29FF2530" w14:textId="77777777" w:rsidR="00766061" w:rsidRPr="00D52091" w:rsidRDefault="00766061" w:rsidP="004558C0">
            <w:pPr>
              <w:tabs>
                <w:tab w:val="right" w:leader="dot" w:pos="4156"/>
              </w:tabs>
              <w:spacing w:before="0" w:after="0" w:line="200" w:lineRule="exact"/>
              <w:contextualSpacing/>
              <w:rPr>
                <w:color w:val="000000"/>
                <w:sz w:val="16"/>
                <w:szCs w:val="16"/>
              </w:rPr>
            </w:pPr>
            <w:r w:rsidRPr="00D52091">
              <w:rPr>
                <w:color w:val="000000"/>
                <w:sz w:val="16"/>
                <w:szCs w:val="16"/>
              </w:rPr>
              <w:t>Pracownicze programy emerytalne (PPE)</w:t>
            </w:r>
          </w:p>
        </w:tc>
        <w:tc>
          <w:tcPr>
            <w:tcW w:w="1617" w:type="pct"/>
            <w:tcBorders>
              <w:left w:val="single" w:sz="12" w:space="0" w:color="000080"/>
              <w:right w:val="single" w:sz="12" w:space="0" w:color="000080"/>
            </w:tcBorders>
            <w:vAlign w:val="center"/>
          </w:tcPr>
          <w:p w14:paraId="3C42693F"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Narodowy Bank Polski, Komisja Nadzoru Finansowego</w:t>
            </w:r>
          </w:p>
        </w:tc>
        <w:tc>
          <w:tcPr>
            <w:tcW w:w="1666" w:type="pct"/>
            <w:tcBorders>
              <w:left w:val="single" w:sz="12" w:space="0" w:color="000080"/>
            </w:tcBorders>
            <w:vAlign w:val="center"/>
          </w:tcPr>
          <w:p w14:paraId="5ACC6250" w14:textId="77777777" w:rsidR="00766061" w:rsidRPr="00D52091" w:rsidRDefault="00766061" w:rsidP="004558C0">
            <w:pPr>
              <w:spacing w:before="0" w:after="0" w:line="200" w:lineRule="exact"/>
              <w:rPr>
                <w:rFonts w:cs="Arial"/>
                <w:color w:val="000000"/>
                <w:sz w:val="16"/>
                <w:szCs w:val="16"/>
              </w:rPr>
            </w:pPr>
            <w:r w:rsidRPr="00D52091">
              <w:rPr>
                <w:rFonts w:cs="Arial"/>
                <w:color w:val="000000"/>
                <w:sz w:val="16"/>
                <w:szCs w:val="16"/>
              </w:rPr>
              <w:t xml:space="preserve">Pełna zbiorowość, dane zagregowane </w:t>
            </w:r>
          </w:p>
        </w:tc>
      </w:tr>
    </w:tbl>
    <w:p w14:paraId="23FE8451" w14:textId="0AF9F980" w:rsidR="0013460B" w:rsidRDefault="00CE720D" w:rsidP="00D31223">
      <w:pPr>
        <w:spacing w:before="360" w:after="360"/>
        <w:jc w:val="both"/>
      </w:pPr>
      <w:r>
        <w:rPr>
          <w:szCs w:val="19"/>
        </w:rPr>
        <w:t>Ponadto wykorzystane zostały d</w:t>
      </w:r>
      <w:r w:rsidR="005B25B7">
        <w:rPr>
          <w:szCs w:val="19"/>
        </w:rPr>
        <w:t>ane makroekonomiczne i demograficzne opracowywane przez Eurostat oraz AWG</w:t>
      </w:r>
      <w:r>
        <w:rPr>
          <w:szCs w:val="19"/>
        </w:rPr>
        <w:t>.</w:t>
      </w:r>
    </w:p>
    <w:p w14:paraId="7D259D6D" w14:textId="77777777" w:rsidR="00682133" w:rsidRDefault="00682133" w:rsidP="00384C5B">
      <w:pPr>
        <w:jc w:val="both"/>
      </w:pPr>
    </w:p>
    <w:p w14:paraId="27155B0E" w14:textId="77777777" w:rsidR="00682133" w:rsidRDefault="00682133" w:rsidP="00384C5B">
      <w:pPr>
        <w:jc w:val="both"/>
      </w:pPr>
    </w:p>
    <w:p w14:paraId="238370CC" w14:textId="569EE091" w:rsidR="00522589" w:rsidRDefault="00CD7155" w:rsidP="00384C5B">
      <w:pPr>
        <w:jc w:val="both"/>
        <w:rPr>
          <w:szCs w:val="19"/>
        </w:rPr>
      </w:pPr>
      <w:r>
        <w:t>Główny Urząd Statystyczny</w:t>
      </w:r>
      <w:r w:rsidR="0013460B" w:rsidRPr="0013460B">
        <w:t xml:space="preserve"> wyraża szczególne podziękowania d</w:t>
      </w:r>
      <w:r w:rsidR="0027324A">
        <w:t>la Banku Światowego za wsparcie</w:t>
      </w:r>
      <w:r w:rsidR="0013460B" w:rsidRPr="0013460B">
        <w:t xml:space="preserve"> i dobrą współpracę oraz Zakładowi Ubezpieczeń Społecznych, Kasie Rolniczego Ubezpieczenia Społecznego, sądom i prokuraturom, Ministerstwu Obrony Narodowej, Ministerstwu Spraw Wewnętrznych i Administracji,</w:t>
      </w:r>
      <w:r w:rsidR="0027324A">
        <w:t xml:space="preserve"> Narodowemu Bankowi Polskiemu, </w:t>
      </w:r>
      <w:r w:rsidR="0013460B" w:rsidRPr="0013460B">
        <w:t xml:space="preserve">Komisji Nadzoru </w:t>
      </w:r>
      <w:r w:rsidR="0013460B">
        <w:t>Finansowego</w:t>
      </w:r>
      <w:r w:rsidR="0013460B" w:rsidRPr="0013460B">
        <w:t>, Wojskowemu Biuru Emerytalnemu, Zakładowi Emerytalnemu MSWiA, Biuru Emerytalnemu Służby Więziennej za udostępnienie danych i informacji niezbędnych do przeprowadzenia badania, będącego przedmiotem niniejszej</w:t>
      </w:r>
      <w:r w:rsidR="0013460B" w:rsidRPr="0013460B">
        <w:rPr>
          <w:shd w:val="clear" w:color="auto" w:fill="FFFFFF"/>
        </w:rPr>
        <w:t xml:space="preserve"> informacji sygnalnej.</w:t>
      </w:r>
      <w:r w:rsidR="004A6C00" w:rsidRPr="00633014">
        <w:rPr>
          <w:b/>
          <w:noProof/>
          <w:spacing w:val="-2"/>
          <w:szCs w:val="19"/>
          <w:lang w:eastAsia="pl-PL"/>
        </w:rPr>
        <mc:AlternateContent>
          <mc:Choice Requires="wps">
            <w:drawing>
              <wp:anchor distT="45720" distB="45720" distL="114300" distR="114300" simplePos="0" relativeHeight="251674624" behindDoc="1" locked="0" layoutInCell="1" allowOverlap="1" wp14:anchorId="470B1D1B" wp14:editId="106879E4">
                <wp:simplePos x="0" y="0"/>
                <wp:positionH relativeFrom="column">
                  <wp:posOffset>5229225</wp:posOffset>
                </wp:positionH>
                <wp:positionV relativeFrom="paragraph">
                  <wp:posOffset>31115</wp:posOffset>
                </wp:positionV>
                <wp:extent cx="1725295" cy="1362075"/>
                <wp:effectExtent l="0" t="0" r="0" b="0"/>
                <wp:wrapTight wrapText="bothSides">
                  <wp:wrapPolygon edited="0">
                    <wp:start x="715" y="0"/>
                    <wp:lineTo x="715" y="21147"/>
                    <wp:lineTo x="20749" y="21147"/>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62075"/>
                        </a:xfrm>
                        <a:prstGeom prst="rect">
                          <a:avLst/>
                        </a:prstGeom>
                        <a:noFill/>
                        <a:ln w="9525">
                          <a:noFill/>
                          <a:miter lim="800000"/>
                          <a:headEnd/>
                          <a:tailEnd/>
                        </a:ln>
                      </wps:spPr>
                      <wps:txbx>
                        <w:txbxContent>
                          <w:p w14:paraId="1902943F" w14:textId="77777777" w:rsidR="00D616D2" w:rsidRPr="001036E7" w:rsidRDefault="00D616D2" w:rsidP="009C113C">
                            <w:pPr>
                              <w:spacing w:before="0"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B1D1B" id="_x0000_s1034" type="#_x0000_t202" style="position:absolute;left:0;text-align:left;margin-left:411.75pt;margin-top:2.45pt;width:135.85pt;height:10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" filled="f" stroked="f">
                <v:textbox>
                  <w:txbxContent>
                    <w:p w14:paraId="1902943F" w14:textId="77777777" w:rsidR="00D616D2" w:rsidRPr="001036E7" w:rsidRDefault="00D616D2" w:rsidP="009C113C">
                      <w:pPr>
                        <w:spacing w:before="0" w:after="0"/>
                        <w:rPr>
                          <w:rFonts w:eastAsia="Times New Roman" w:cs="Times New Roman"/>
                          <w:bCs/>
                          <w:color w:val="001D77"/>
                          <w:sz w:val="18"/>
                          <w:szCs w:val="18"/>
                          <w:lang w:eastAsia="pl-PL"/>
                        </w:rPr>
                      </w:pPr>
                    </w:p>
                  </w:txbxContent>
                </v:textbox>
                <w10:wrap type="tight"/>
              </v:shape>
            </w:pict>
          </mc:Fallback>
        </mc:AlternateContent>
      </w:r>
      <w:r w:rsidR="004A6C00" w:rsidRPr="00E330A1">
        <w:rPr>
          <w:noProof/>
          <w:shd w:val="clear" w:color="auto" w:fill="FFFFFF"/>
          <w:lang w:eastAsia="pl-PL"/>
        </w:rPr>
        <mc:AlternateContent>
          <mc:Choice Requires="wps">
            <w:drawing>
              <wp:anchor distT="45720" distB="45720" distL="114300" distR="114300" simplePos="0" relativeHeight="251759616" behindDoc="0" locked="0" layoutInCell="1" allowOverlap="1" wp14:anchorId="1318D495" wp14:editId="3AA006CF">
                <wp:simplePos x="0" y="0"/>
                <wp:positionH relativeFrom="page">
                  <wp:posOffset>5715000</wp:posOffset>
                </wp:positionH>
                <wp:positionV relativeFrom="paragraph">
                  <wp:posOffset>1555750</wp:posOffset>
                </wp:positionV>
                <wp:extent cx="1776730" cy="1162050"/>
                <wp:effectExtent l="0" t="0" r="0" b="0"/>
                <wp:wrapSquare wrapText="bothSides"/>
                <wp:docPr id="1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162050"/>
                        </a:xfrm>
                        <a:prstGeom prst="rect">
                          <a:avLst/>
                        </a:prstGeom>
                        <a:noFill/>
                        <a:ln w="9525">
                          <a:noFill/>
                          <a:miter lim="800000"/>
                          <a:headEnd/>
                          <a:tailEnd/>
                        </a:ln>
                      </wps:spPr>
                      <wps:txbx>
                        <w:txbxContent>
                          <w:p w14:paraId="3332392A" w14:textId="77777777" w:rsidR="000166E0" w:rsidRPr="000166E0" w:rsidRDefault="000166E0" w:rsidP="004E5344">
                            <w:pPr>
                              <w:spacing w:before="0" w:after="0"/>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8D495" id="_x0000_s1035" type="#_x0000_t202" style="position:absolute;left:0;text-align:left;margin-left:450pt;margin-top:122.5pt;width:139.9pt;height:91.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" filled="f" stroked="f">
                <v:textbox>
                  <w:txbxContent>
                    <w:p w14:paraId="3332392A" w14:textId="77777777" w:rsidR="000166E0" w:rsidRPr="000166E0" w:rsidRDefault="000166E0" w:rsidP="004E5344">
                      <w:pPr>
                        <w:spacing w:before="0" w:after="0"/>
                        <w:rPr>
                          <w:color w:val="001D77"/>
                          <w:sz w:val="18"/>
                          <w:szCs w:val="18"/>
                        </w:rPr>
                      </w:pPr>
                    </w:p>
                  </w:txbxContent>
                </v:textbox>
                <w10:wrap type="square" anchorx="page"/>
              </v:shape>
            </w:pict>
          </mc:Fallback>
        </mc:AlternateContent>
      </w:r>
    </w:p>
    <w:p w14:paraId="563B0832" w14:textId="77777777" w:rsidR="00AF13AB" w:rsidRDefault="00AF13AB" w:rsidP="00384C5B">
      <w:pPr>
        <w:rPr>
          <w:szCs w:val="19"/>
        </w:rPr>
        <w:sectPr w:rsidR="00AF13AB" w:rsidSect="00FF1FB2">
          <w:headerReference w:type="even" r:id="rId18"/>
          <w:headerReference w:type="default" r:id="rId19"/>
          <w:footerReference w:type="even" r:id="rId20"/>
          <w:footerReference w:type="default" r:id="rId21"/>
          <w:headerReference w:type="first" r:id="rId22"/>
          <w:footerReference w:type="first" r:id="rId23"/>
          <w:pgSz w:w="11906" w:h="16838"/>
          <w:pgMar w:top="720" w:right="3119" w:bottom="720" w:left="720" w:header="284" w:footer="397" w:gutter="0"/>
          <w:cols w:space="708"/>
          <w:titlePg/>
          <w:docGrid w:linePitch="360"/>
        </w:sectPr>
      </w:pPr>
    </w:p>
    <w:p w14:paraId="730787A4" w14:textId="77777777" w:rsidR="00FD37CD" w:rsidRDefault="00FD37CD"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51"/>
        <w:gridCol w:w="3816"/>
      </w:tblGrid>
      <w:tr w:rsidR="00F75026" w:rsidRPr="00DC2623" w14:paraId="15AD6100" w14:textId="77777777" w:rsidTr="00942DF3">
        <w:trPr>
          <w:trHeight w:val="1912"/>
        </w:trPr>
        <w:tc>
          <w:tcPr>
            <w:tcW w:w="4379" w:type="dxa"/>
          </w:tcPr>
          <w:p w14:paraId="02EB8682" w14:textId="77777777" w:rsidR="00F75026" w:rsidRPr="008F3638" w:rsidRDefault="00F75026" w:rsidP="00F75026">
            <w:pPr>
              <w:spacing w:before="0" w:after="0" w:line="276" w:lineRule="auto"/>
              <w:rPr>
                <w:rFonts w:cs="Arial"/>
                <w:color w:val="000000" w:themeColor="text1"/>
                <w:sz w:val="20"/>
              </w:rPr>
            </w:pPr>
            <w:r w:rsidRPr="008F3638">
              <w:rPr>
                <w:rFonts w:cs="Arial"/>
                <w:color w:val="000000" w:themeColor="text1"/>
                <w:sz w:val="20"/>
              </w:rPr>
              <w:t>Opracowanie merytoryczne:</w:t>
            </w:r>
          </w:p>
          <w:p w14:paraId="1B6F6E75" w14:textId="77777777" w:rsidR="00E33C2D" w:rsidRPr="0008114A" w:rsidRDefault="00E33C2D" w:rsidP="00E33C2D">
            <w:pPr>
              <w:spacing w:after="0" w:line="240" w:lineRule="auto"/>
              <w:rPr>
                <w:rFonts w:cs="Arial"/>
                <w:b/>
                <w:color w:val="000000" w:themeColor="text1"/>
                <w:sz w:val="20"/>
              </w:rPr>
            </w:pPr>
            <w:r w:rsidRPr="0008114A">
              <w:rPr>
                <w:rFonts w:cs="Arial"/>
                <w:b/>
                <w:color w:val="000000" w:themeColor="text1"/>
                <w:sz w:val="20"/>
              </w:rPr>
              <w:t>Departament Rachunków Narodowych</w:t>
            </w:r>
          </w:p>
          <w:p w14:paraId="1CED458A" w14:textId="77777777" w:rsidR="00E33C2D" w:rsidRPr="0008114A" w:rsidRDefault="00E33C2D" w:rsidP="00E33C2D">
            <w:pPr>
              <w:spacing w:before="0" w:after="0" w:line="240" w:lineRule="auto"/>
              <w:rPr>
                <w:rFonts w:cs="Arial"/>
                <w:b/>
                <w:color w:val="000000" w:themeColor="text1"/>
                <w:sz w:val="20"/>
              </w:rPr>
            </w:pPr>
            <w:r>
              <w:rPr>
                <w:rFonts w:cs="Arial"/>
                <w:b/>
                <w:color w:val="000000" w:themeColor="text1"/>
                <w:sz w:val="20"/>
              </w:rPr>
              <w:t xml:space="preserve">Katarzyna Boraczewska </w:t>
            </w:r>
          </w:p>
          <w:p w14:paraId="55917A1A" w14:textId="77777777" w:rsidR="00E33C2D" w:rsidRPr="0008114A" w:rsidRDefault="00E33C2D" w:rsidP="00E33C2D">
            <w:pPr>
              <w:spacing w:before="0" w:after="0" w:line="240" w:lineRule="auto"/>
              <w:rPr>
                <w:rFonts w:eastAsiaTheme="majorEastAsia" w:cs="Arial"/>
                <w:color w:val="000000" w:themeColor="text1"/>
                <w:sz w:val="20"/>
                <w:szCs w:val="24"/>
                <w:lang w:val="fi-FI"/>
              </w:rPr>
            </w:pPr>
            <w:r w:rsidRPr="0008114A">
              <w:rPr>
                <w:rFonts w:eastAsiaTheme="majorEastAsia" w:cs="Arial"/>
                <w:color w:val="000000" w:themeColor="text1"/>
                <w:sz w:val="20"/>
                <w:szCs w:val="24"/>
                <w:lang w:val="fi-FI"/>
              </w:rPr>
              <w:t>Tel: 22 608 3</w:t>
            </w:r>
            <w:r>
              <w:rPr>
                <w:rFonts w:eastAsiaTheme="majorEastAsia" w:cs="Arial"/>
                <w:color w:val="000000" w:themeColor="text1"/>
                <w:sz w:val="20"/>
                <w:szCs w:val="24"/>
                <w:lang w:val="fi-FI"/>
              </w:rPr>
              <w:t>445</w:t>
            </w:r>
          </w:p>
          <w:p w14:paraId="71A3B796" w14:textId="49060F69" w:rsidR="00E33C2D" w:rsidRDefault="00E33C2D" w:rsidP="00E33C2D">
            <w:pPr>
              <w:spacing w:before="0" w:after="0" w:line="240" w:lineRule="auto"/>
              <w:rPr>
                <w:rStyle w:val="Hipercze"/>
                <w:rFonts w:eastAsiaTheme="majorEastAsia" w:cs="Arial"/>
                <w:b/>
                <w:color w:val="auto"/>
                <w:sz w:val="20"/>
                <w:szCs w:val="20"/>
                <w:lang w:val="en-US"/>
              </w:rPr>
            </w:pPr>
            <w:r w:rsidRPr="00150F10">
              <w:rPr>
                <w:rFonts w:eastAsiaTheme="majorEastAsia" w:cs="Arial"/>
                <w:b/>
                <w:color w:val="000000" w:themeColor="text1"/>
                <w:sz w:val="20"/>
                <w:szCs w:val="20"/>
                <w:lang w:val="en-US"/>
              </w:rPr>
              <w:t xml:space="preserve">e-mail: </w:t>
            </w:r>
            <w:r w:rsidR="00DC2623">
              <w:fldChar w:fldCharType="begin"/>
            </w:r>
            <w:r w:rsidR="00DC2623" w:rsidRPr="00DC2623">
              <w:rPr>
                <w:lang w:val="en-GB"/>
              </w:rPr>
              <w:instrText xml:space="preserve"> HYPERLINK "mailto:K.Boraczewska@stat.gov.pl" </w:instrText>
            </w:r>
            <w:r w:rsidR="00DC2623">
              <w:fldChar w:fldCharType="separate"/>
            </w:r>
            <w:r w:rsidRPr="00150F10">
              <w:rPr>
                <w:rStyle w:val="Hipercze"/>
                <w:rFonts w:eastAsiaTheme="majorEastAsia" w:cs="Arial"/>
                <w:b/>
                <w:color w:val="auto"/>
                <w:sz w:val="20"/>
                <w:szCs w:val="20"/>
                <w:lang w:val="en-US"/>
              </w:rPr>
              <w:t>K.Boraczewska@stat.gov.pl</w:t>
            </w:r>
            <w:r w:rsidR="00DC2623">
              <w:rPr>
                <w:rStyle w:val="Hipercze"/>
                <w:rFonts w:eastAsiaTheme="majorEastAsia" w:cs="Arial"/>
                <w:b/>
                <w:color w:val="auto"/>
                <w:sz w:val="20"/>
                <w:szCs w:val="20"/>
                <w:lang w:val="en-US"/>
              </w:rPr>
              <w:fldChar w:fldCharType="end"/>
            </w:r>
          </w:p>
          <w:p w14:paraId="088A126E" w14:textId="77777777" w:rsidR="00E33C2D" w:rsidRPr="00DC2623" w:rsidRDefault="00E33C2D" w:rsidP="00E33C2D">
            <w:pPr>
              <w:spacing w:before="0" w:after="0" w:line="240" w:lineRule="auto"/>
              <w:rPr>
                <w:rFonts w:cs="Arial"/>
                <w:b/>
                <w:color w:val="000000" w:themeColor="text1"/>
                <w:sz w:val="20"/>
                <w:lang w:val="en-GB"/>
              </w:rPr>
            </w:pPr>
          </w:p>
          <w:p w14:paraId="2093DA4F" w14:textId="77777777" w:rsidR="00F75026" w:rsidRDefault="00F75026" w:rsidP="00F75026">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Rachunków Narodowych</w:t>
            </w:r>
          </w:p>
          <w:p w14:paraId="0E12607B" w14:textId="720C0B4C" w:rsidR="00A6429F" w:rsidRDefault="00A6429F" w:rsidP="00F75026">
            <w:pPr>
              <w:spacing w:before="0" w:after="0" w:line="240" w:lineRule="auto"/>
              <w:rPr>
                <w:rFonts w:cs="Arial"/>
                <w:b/>
                <w:color w:val="000000" w:themeColor="text1"/>
                <w:sz w:val="20"/>
              </w:rPr>
            </w:pPr>
            <w:r>
              <w:rPr>
                <w:rFonts w:cs="Arial"/>
                <w:b/>
                <w:color w:val="000000" w:themeColor="text1"/>
                <w:sz w:val="20"/>
              </w:rPr>
              <w:t>Anna Śliwa</w:t>
            </w:r>
          </w:p>
          <w:p w14:paraId="6FBAAD8D" w14:textId="25C9978E" w:rsidR="0008114A" w:rsidRPr="0008114A" w:rsidRDefault="0008114A" w:rsidP="00F75026">
            <w:pPr>
              <w:spacing w:before="0" w:after="0" w:line="240" w:lineRule="auto"/>
              <w:rPr>
                <w:rFonts w:eastAsiaTheme="majorEastAsia" w:cs="Arial"/>
                <w:color w:val="000000" w:themeColor="text1"/>
                <w:sz w:val="20"/>
                <w:szCs w:val="24"/>
                <w:lang w:val="fi-FI"/>
              </w:rPr>
            </w:pPr>
            <w:r w:rsidRPr="0008114A">
              <w:rPr>
                <w:rFonts w:eastAsiaTheme="majorEastAsia" w:cs="Arial"/>
                <w:color w:val="000000" w:themeColor="text1"/>
                <w:sz w:val="20"/>
                <w:szCs w:val="24"/>
                <w:lang w:val="fi-FI"/>
              </w:rPr>
              <w:t>Tel: 22 608 3059</w:t>
            </w:r>
          </w:p>
          <w:p w14:paraId="632ABB34" w14:textId="6D201CA2" w:rsidR="002046D1" w:rsidRPr="002046D1" w:rsidRDefault="00F75026" w:rsidP="002046D1">
            <w:pPr>
              <w:pStyle w:val="Nagwek3"/>
              <w:spacing w:before="0" w:line="240" w:lineRule="auto"/>
              <w:rPr>
                <w:rFonts w:ascii="Fira Sans" w:hAnsi="Fira Sans" w:cs="Arial"/>
                <w:b/>
                <w:color w:val="auto"/>
                <w:sz w:val="20"/>
                <w:szCs w:val="20"/>
                <w:u w:val="single"/>
                <w:lang w:val="en-GB"/>
              </w:rPr>
            </w:pPr>
            <w:r w:rsidRPr="002046D1">
              <w:rPr>
                <w:rFonts w:ascii="Fira Sans" w:hAnsi="Fira Sans" w:cs="Arial"/>
                <w:b/>
                <w:color w:val="000000" w:themeColor="text1"/>
                <w:sz w:val="20"/>
                <w:szCs w:val="20"/>
                <w:lang w:val="en-GB"/>
              </w:rPr>
              <w:t xml:space="preserve">e-mail: </w:t>
            </w:r>
            <w:r w:rsidR="00DC2623">
              <w:fldChar w:fldCharType="begin"/>
            </w:r>
            <w:r w:rsidR="00DC2623" w:rsidRPr="00DC2623">
              <w:rPr>
                <w:lang w:val="en-GB"/>
              </w:rPr>
              <w:instrText xml:space="preserve"> HYPERLINK "mailto:An.Sliwa@stat.gov.pl" </w:instrText>
            </w:r>
            <w:r w:rsidR="00DC2623">
              <w:fldChar w:fldCharType="separate"/>
            </w:r>
            <w:r w:rsidR="0008114A" w:rsidRPr="002046D1">
              <w:rPr>
                <w:rStyle w:val="Hipercze"/>
                <w:rFonts w:ascii="Fira Sans" w:hAnsi="Fira Sans" w:cs="Arial"/>
                <w:b/>
                <w:color w:val="auto"/>
                <w:sz w:val="20"/>
                <w:szCs w:val="20"/>
                <w:lang w:val="en-GB"/>
              </w:rPr>
              <w:t>An.Sliwa@stat.gov.pl</w:t>
            </w:r>
            <w:r w:rsidR="00DC2623">
              <w:rPr>
                <w:rStyle w:val="Hipercze"/>
                <w:rFonts w:ascii="Fira Sans" w:hAnsi="Fira Sans" w:cs="Arial"/>
                <w:b/>
                <w:color w:val="auto"/>
                <w:sz w:val="20"/>
                <w:szCs w:val="20"/>
                <w:lang w:val="en-GB"/>
              </w:rPr>
              <w:fldChar w:fldCharType="end"/>
            </w:r>
          </w:p>
        </w:tc>
        <w:tc>
          <w:tcPr>
            <w:tcW w:w="3942" w:type="dxa"/>
          </w:tcPr>
          <w:p w14:paraId="795C94B3" w14:textId="77777777" w:rsidR="00F75026" w:rsidRPr="008F3638" w:rsidRDefault="00F75026" w:rsidP="00F75026">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14:paraId="6FC19CEC" w14:textId="77777777" w:rsidR="00F75026" w:rsidRPr="008F3638" w:rsidRDefault="00F75026" w:rsidP="00F75026">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 Dawidziuk</w:t>
            </w:r>
          </w:p>
          <w:p w14:paraId="71ADFA59" w14:textId="77777777" w:rsidR="00F75026" w:rsidRPr="008F3638" w:rsidRDefault="00F75026" w:rsidP="00F7502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 22 608 3475, 22 608 3009</w:t>
            </w:r>
          </w:p>
          <w:p w14:paraId="3A6A28D6" w14:textId="77777777" w:rsidR="00F75026" w:rsidRPr="008F3638" w:rsidRDefault="00F75026" w:rsidP="00F75026">
            <w:pPr>
              <w:pStyle w:val="Nagwek3"/>
              <w:spacing w:before="0" w:line="240" w:lineRule="auto"/>
              <w:rPr>
                <w:rFonts w:ascii="Fira Sans" w:hAnsi="Fira Sans" w:cs="Arial"/>
                <w:color w:val="000000" w:themeColor="text1"/>
                <w:sz w:val="20"/>
                <w:szCs w:val="20"/>
                <w:lang w:val="en-US"/>
              </w:rPr>
            </w:pPr>
            <w:r w:rsidRPr="00094689">
              <w:rPr>
                <w:rFonts w:ascii="Fira Sans" w:hAnsi="Fira Sans" w:cs="Arial"/>
                <w:b/>
                <w:color w:val="000000" w:themeColor="text1"/>
                <w:sz w:val="20"/>
                <w:szCs w:val="20"/>
                <w:lang w:val="en-US"/>
              </w:rPr>
              <w:t xml:space="preserve">e-mail: </w:t>
            </w:r>
            <w:r w:rsidR="00DC2623">
              <w:fldChar w:fldCharType="begin"/>
            </w:r>
            <w:r w:rsidR="00DC2623" w:rsidRPr="00DC2623">
              <w:rPr>
                <w:lang w:val="en-GB"/>
              </w:rPr>
              <w:instrText xml:space="preserve"> HYPERLINK "mailto:rzecznik@stat.gov.pl" </w:instrText>
            </w:r>
            <w:r w:rsidR="00DC2623">
              <w:fldChar w:fldCharType="separate"/>
            </w:r>
            <w:r w:rsidRPr="008F3638">
              <w:rPr>
                <w:rStyle w:val="Hipercze"/>
                <w:rFonts w:ascii="Fira Sans" w:hAnsi="Fira Sans" w:cs="Arial"/>
                <w:b/>
                <w:color w:val="000000" w:themeColor="text1"/>
                <w:sz w:val="20"/>
                <w:szCs w:val="20"/>
                <w:lang w:val="en-US"/>
              </w:rPr>
              <w:t>rzecznik@stat.gov.pl</w:t>
            </w:r>
            <w:r w:rsidR="00DC2623">
              <w:rPr>
                <w:rStyle w:val="Hipercze"/>
                <w:rFonts w:ascii="Fira Sans" w:hAnsi="Fira Sans" w:cs="Arial"/>
                <w:b/>
                <w:color w:val="000000" w:themeColor="text1"/>
                <w:sz w:val="20"/>
                <w:szCs w:val="20"/>
                <w:lang w:val="en-US"/>
              </w:rPr>
              <w:fldChar w:fldCharType="end"/>
            </w:r>
          </w:p>
        </w:tc>
      </w:tr>
    </w:tbl>
    <w:p w14:paraId="376F0CE0" w14:textId="77777777" w:rsidR="00F75026" w:rsidRPr="0038292F" w:rsidRDefault="00F75026" w:rsidP="00F75026">
      <w:pPr>
        <w:rPr>
          <w:sz w:val="20"/>
          <w:lang w:val="en-US"/>
        </w:rPr>
      </w:pPr>
    </w:p>
    <w:p w14:paraId="3A4DB8FA" w14:textId="77777777" w:rsidR="00F75026" w:rsidRPr="0038292F" w:rsidRDefault="00F75026" w:rsidP="00F75026">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F75026" w14:paraId="57A92687" w14:textId="77777777" w:rsidTr="00942DF3">
        <w:trPr>
          <w:trHeight w:val="610"/>
        </w:trPr>
        <w:tc>
          <w:tcPr>
            <w:tcW w:w="2721" w:type="pct"/>
            <w:vMerge w:val="restart"/>
            <w:vAlign w:val="center"/>
          </w:tcPr>
          <w:p w14:paraId="52BE3339" w14:textId="77777777" w:rsidR="00F75026" w:rsidRPr="00C91687" w:rsidRDefault="00F75026" w:rsidP="00F75026">
            <w:pPr>
              <w:rPr>
                <w:b/>
                <w:sz w:val="20"/>
              </w:rPr>
            </w:pPr>
            <w:r w:rsidRPr="00C91687">
              <w:rPr>
                <w:b/>
                <w:sz w:val="20"/>
              </w:rPr>
              <w:t xml:space="preserve">Wydział Współpracy z Mediami </w:t>
            </w:r>
          </w:p>
          <w:p w14:paraId="65BFFAD4" w14:textId="77777777" w:rsidR="00F75026" w:rsidRPr="00C91687" w:rsidRDefault="00F75026" w:rsidP="00F75026">
            <w:pPr>
              <w:rPr>
                <w:sz w:val="20"/>
              </w:rPr>
            </w:pPr>
            <w:r w:rsidRPr="00C91687">
              <w:rPr>
                <w:b/>
                <w:sz w:val="20"/>
              </w:rPr>
              <w:t xml:space="preserve">tel.: </w:t>
            </w:r>
            <w:r w:rsidRPr="00C91687">
              <w:rPr>
                <w:sz w:val="20"/>
              </w:rPr>
              <w:t xml:space="preserve">22 608 34 91, 22 608 38 04 </w:t>
            </w:r>
          </w:p>
          <w:p w14:paraId="11069127" w14:textId="77777777" w:rsidR="00F75026" w:rsidRPr="00E33C2D" w:rsidRDefault="00F75026" w:rsidP="00F75026">
            <w:pPr>
              <w:rPr>
                <w:sz w:val="20"/>
                <w:lang w:val="en-GB"/>
              </w:rPr>
            </w:pPr>
            <w:proofErr w:type="spellStart"/>
            <w:r w:rsidRPr="00E33C2D">
              <w:rPr>
                <w:b/>
                <w:sz w:val="20"/>
                <w:lang w:val="en-GB"/>
              </w:rPr>
              <w:t>faks</w:t>
            </w:r>
            <w:proofErr w:type="spellEnd"/>
            <w:r w:rsidRPr="00E33C2D">
              <w:rPr>
                <w:b/>
                <w:sz w:val="20"/>
                <w:lang w:val="en-GB"/>
              </w:rPr>
              <w:t>:</w:t>
            </w:r>
            <w:r w:rsidRPr="00E33C2D">
              <w:rPr>
                <w:sz w:val="20"/>
                <w:lang w:val="en-GB"/>
              </w:rPr>
              <w:t xml:space="preserve"> 22 608 38 86 </w:t>
            </w:r>
          </w:p>
          <w:p w14:paraId="43FB3B7E" w14:textId="77777777" w:rsidR="00F75026" w:rsidRPr="0038292F" w:rsidRDefault="00F75026" w:rsidP="00F75026">
            <w:pPr>
              <w:rPr>
                <w:sz w:val="18"/>
                <w:lang w:val="en-US"/>
              </w:rPr>
            </w:pPr>
            <w:r w:rsidRPr="0038292F">
              <w:rPr>
                <w:b/>
                <w:sz w:val="20"/>
                <w:lang w:val="en-US"/>
              </w:rPr>
              <w:t>e-mail:</w:t>
            </w:r>
            <w:r w:rsidRPr="0038292F">
              <w:rPr>
                <w:sz w:val="20"/>
                <w:lang w:val="en-US"/>
              </w:rPr>
              <w:t xml:space="preserve"> </w:t>
            </w:r>
            <w:r w:rsidR="00DC2623">
              <w:fldChar w:fldCharType="begin"/>
            </w:r>
            <w:r w:rsidR="00DC2623" w:rsidRPr="00DC2623">
              <w:rPr>
                <w:lang w:val="en-GB"/>
              </w:rPr>
              <w:instrText xml:space="preserve"> HYPERLINK "mailto:obslugaprasowa@stat.gov.pl" </w:instrText>
            </w:r>
            <w:r w:rsidR="00DC2623">
              <w:fldChar w:fldCharType="separate"/>
            </w:r>
            <w:r w:rsidRPr="0038292F">
              <w:rPr>
                <w:rStyle w:val="Hipercze"/>
                <w:rFonts w:cstheme="minorBidi"/>
                <w:sz w:val="20"/>
                <w:lang w:val="en-US"/>
              </w:rPr>
              <w:t>obslugaprasowa@stat.gov.pl</w:t>
            </w:r>
            <w:r w:rsidR="00DC2623">
              <w:rPr>
                <w:rStyle w:val="Hipercze"/>
                <w:rFonts w:cstheme="minorBidi"/>
                <w:sz w:val="20"/>
                <w:lang w:val="en-US"/>
              </w:rPr>
              <w:fldChar w:fldCharType="end"/>
            </w:r>
          </w:p>
        </w:tc>
        <w:tc>
          <w:tcPr>
            <w:tcW w:w="369" w:type="pct"/>
            <w:vAlign w:val="center"/>
          </w:tcPr>
          <w:p w14:paraId="18261EB4" w14:textId="77777777" w:rsidR="00F75026" w:rsidRPr="0038292F" w:rsidRDefault="00F75026" w:rsidP="00F75026">
            <w:pPr>
              <w:rPr>
                <w:sz w:val="18"/>
                <w:lang w:val="en-US"/>
              </w:rPr>
            </w:pPr>
            <w:r>
              <w:rPr>
                <w:noProof/>
                <w:sz w:val="20"/>
                <w:lang w:eastAsia="pl-PL"/>
              </w:rPr>
              <w:drawing>
                <wp:anchor distT="0" distB="0" distL="114300" distR="114300" simplePos="0" relativeHeight="251750400" behindDoc="0" locked="0" layoutInCell="1" allowOverlap="1" wp14:anchorId="28321342" wp14:editId="24199F93">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09748F46" w14:textId="77777777" w:rsidR="00F75026" w:rsidRDefault="00F75026" w:rsidP="00F75026">
            <w:pPr>
              <w:rPr>
                <w:sz w:val="18"/>
              </w:rPr>
            </w:pPr>
            <w:r w:rsidRPr="003D5F42">
              <w:rPr>
                <w:sz w:val="20"/>
              </w:rPr>
              <w:t>www.stat.gov.pl</w:t>
            </w:r>
          </w:p>
        </w:tc>
      </w:tr>
      <w:tr w:rsidR="00F75026" w14:paraId="57DA6918" w14:textId="77777777" w:rsidTr="00942DF3">
        <w:trPr>
          <w:trHeight w:val="436"/>
        </w:trPr>
        <w:tc>
          <w:tcPr>
            <w:tcW w:w="2721" w:type="pct"/>
            <w:vMerge/>
            <w:vAlign w:val="center"/>
          </w:tcPr>
          <w:p w14:paraId="0F37E86E" w14:textId="77777777" w:rsidR="00F75026" w:rsidRDefault="00F75026" w:rsidP="00F75026">
            <w:pPr>
              <w:rPr>
                <w:sz w:val="18"/>
              </w:rPr>
            </w:pPr>
          </w:p>
        </w:tc>
        <w:tc>
          <w:tcPr>
            <w:tcW w:w="369" w:type="pct"/>
            <w:vAlign w:val="center"/>
          </w:tcPr>
          <w:p w14:paraId="6EDC8033" w14:textId="77777777" w:rsidR="00F75026" w:rsidRDefault="00F75026" w:rsidP="00F75026">
            <w:pPr>
              <w:rPr>
                <w:sz w:val="18"/>
              </w:rPr>
            </w:pPr>
            <w:r>
              <w:rPr>
                <w:noProof/>
                <w:sz w:val="20"/>
                <w:lang w:eastAsia="pl-PL"/>
              </w:rPr>
              <w:drawing>
                <wp:anchor distT="0" distB="0" distL="114300" distR="114300" simplePos="0" relativeHeight="251752448" behindDoc="0" locked="0" layoutInCell="1" allowOverlap="1" wp14:anchorId="060B80A7" wp14:editId="02534DA1">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1C2F263B" w14:textId="77777777" w:rsidR="00F75026" w:rsidRDefault="00F75026" w:rsidP="00F75026">
            <w:pPr>
              <w:rPr>
                <w:sz w:val="18"/>
              </w:rPr>
            </w:pPr>
            <w:r w:rsidRPr="003D5F42">
              <w:rPr>
                <w:sz w:val="20"/>
              </w:rPr>
              <w:t>@GUS_STAT</w:t>
            </w:r>
          </w:p>
        </w:tc>
      </w:tr>
      <w:tr w:rsidR="00F75026" w14:paraId="34B53B92" w14:textId="77777777" w:rsidTr="00942DF3">
        <w:trPr>
          <w:trHeight w:val="436"/>
        </w:trPr>
        <w:tc>
          <w:tcPr>
            <w:tcW w:w="2721" w:type="pct"/>
            <w:vMerge/>
            <w:vAlign w:val="center"/>
          </w:tcPr>
          <w:p w14:paraId="70FE9861" w14:textId="77777777" w:rsidR="00F75026" w:rsidRDefault="00F75026" w:rsidP="00F75026">
            <w:pPr>
              <w:rPr>
                <w:sz w:val="18"/>
              </w:rPr>
            </w:pPr>
          </w:p>
        </w:tc>
        <w:tc>
          <w:tcPr>
            <w:tcW w:w="369" w:type="pct"/>
            <w:vAlign w:val="center"/>
          </w:tcPr>
          <w:p w14:paraId="7228B932" w14:textId="77777777" w:rsidR="00F75026" w:rsidRDefault="00F75026" w:rsidP="00F75026">
            <w:pPr>
              <w:rPr>
                <w:sz w:val="18"/>
              </w:rPr>
            </w:pPr>
            <w:r>
              <w:rPr>
                <w:noProof/>
                <w:sz w:val="20"/>
                <w:lang w:eastAsia="pl-PL"/>
              </w:rPr>
              <w:drawing>
                <wp:anchor distT="0" distB="0" distL="114300" distR="114300" simplePos="0" relativeHeight="251751424" behindDoc="0" locked="0" layoutInCell="1" allowOverlap="1" wp14:anchorId="50D5CD7D" wp14:editId="35391080">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1F55AC07" w14:textId="77777777" w:rsidR="00F75026" w:rsidRDefault="00F75026" w:rsidP="00F75026">
            <w:pPr>
              <w:rPr>
                <w:sz w:val="20"/>
              </w:rPr>
            </w:pPr>
            <w:r w:rsidRPr="003D5F42">
              <w:rPr>
                <w:sz w:val="20"/>
              </w:rPr>
              <w:t>@</w:t>
            </w:r>
            <w:proofErr w:type="spellStart"/>
            <w:r w:rsidRPr="003D5F42">
              <w:rPr>
                <w:sz w:val="20"/>
              </w:rPr>
              <w:t>GlownyUrzadStatystyczny</w:t>
            </w:r>
            <w:proofErr w:type="spellEnd"/>
          </w:p>
        </w:tc>
      </w:tr>
    </w:tbl>
    <w:p w14:paraId="27BB1E44" w14:textId="77777777" w:rsidR="00F75026" w:rsidRPr="00001C5B" w:rsidRDefault="00F75026" w:rsidP="00F75026">
      <w:pPr>
        <w:rPr>
          <w:sz w:val="18"/>
        </w:rPr>
      </w:pPr>
      <w:r w:rsidRPr="00001C5B">
        <w:rPr>
          <w:noProof/>
          <w:sz w:val="18"/>
          <w:lang w:eastAsia="pl-PL"/>
        </w:rPr>
        <mc:AlternateContent>
          <mc:Choice Requires="wps">
            <w:drawing>
              <wp:anchor distT="45720" distB="45720" distL="114300" distR="114300" simplePos="0" relativeHeight="251749376" behindDoc="0" locked="0" layoutInCell="1" allowOverlap="1" wp14:anchorId="693AD20B" wp14:editId="1098DE25">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12E1E6F8" w14:textId="77777777" w:rsidR="00F75026" w:rsidRDefault="00F75026" w:rsidP="00F75026">
                            <w:pPr>
                              <w:rPr>
                                <w:b/>
                              </w:rPr>
                            </w:pPr>
                          </w:p>
                          <w:p w14:paraId="7F666E1D" w14:textId="77777777" w:rsidR="00F75026" w:rsidRPr="00094689" w:rsidRDefault="00F75026" w:rsidP="00F75026">
                            <w:pPr>
                              <w:rPr>
                                <w:b/>
                              </w:rPr>
                            </w:pPr>
                            <w:r w:rsidRPr="00094689">
                              <w:rPr>
                                <w:b/>
                              </w:rPr>
                              <w:t>Powiązane opracowania</w:t>
                            </w:r>
                          </w:p>
                          <w:p w14:paraId="102E4B6E" w14:textId="1F5E0F08" w:rsidR="00EB5955" w:rsidRPr="00C0620F" w:rsidRDefault="00DC2623" w:rsidP="00C0620F">
                            <w:pPr>
                              <w:pStyle w:val="Akapitzlist"/>
                              <w:numPr>
                                <w:ilvl w:val="0"/>
                                <w:numId w:val="8"/>
                              </w:numPr>
                              <w:ind w:left="714" w:hanging="357"/>
                              <w:contextualSpacing w:val="0"/>
                              <w:rPr>
                                <w:rStyle w:val="Hipercze"/>
                                <w:rFonts w:cs="Arial"/>
                                <w:color w:val="001D77"/>
                                <w:sz w:val="18"/>
                                <w:szCs w:val="30"/>
                                <w:shd w:val="clear" w:color="auto" w:fill="F0F0F0"/>
                              </w:rPr>
                            </w:pPr>
                            <w:hyperlink r:id="rId27" w:history="1">
                              <w:r w:rsidR="00EB5955" w:rsidRPr="00C0620F">
                                <w:rPr>
                                  <w:rStyle w:val="Hipercze"/>
                                  <w:rFonts w:cs="Arial"/>
                                  <w:sz w:val="18"/>
                                  <w:szCs w:val="30"/>
                                  <w:shd w:val="clear" w:color="auto" w:fill="F0F0F0"/>
                                </w:rPr>
                                <w:t xml:space="preserve">Europejski System Rachunków Narodowych </w:t>
                              </w:r>
                              <w:r w:rsidR="00C0620F" w:rsidRPr="00C0620F">
                                <w:rPr>
                                  <w:rStyle w:val="Hipercze"/>
                                  <w:rFonts w:cs="Arial"/>
                                  <w:sz w:val="18"/>
                                  <w:szCs w:val="30"/>
                                  <w:shd w:val="clear" w:color="auto" w:fill="F0F0F0"/>
                                </w:rPr>
                                <w:t xml:space="preserve">i </w:t>
                              </w:r>
                              <w:r w:rsidR="00EB5955" w:rsidRPr="00C0620F">
                                <w:rPr>
                                  <w:rStyle w:val="Hipercze"/>
                                  <w:rFonts w:cs="Arial"/>
                                  <w:sz w:val="18"/>
                                  <w:szCs w:val="30"/>
                                  <w:shd w:val="clear" w:color="auto" w:fill="F0F0F0"/>
                                </w:rPr>
                                <w:t>Regionalnych (ESA 2010)</w:t>
                              </w:r>
                            </w:hyperlink>
                          </w:p>
                          <w:p w14:paraId="20D6CB72" w14:textId="0D3A93DD" w:rsidR="00EB5955" w:rsidRPr="00C07A6A" w:rsidRDefault="00DC2623" w:rsidP="00C0620F">
                            <w:pPr>
                              <w:pStyle w:val="Akapitzlist"/>
                              <w:numPr>
                                <w:ilvl w:val="0"/>
                                <w:numId w:val="8"/>
                              </w:numPr>
                              <w:ind w:left="714" w:hanging="357"/>
                              <w:contextualSpacing w:val="0"/>
                              <w:rPr>
                                <w:rStyle w:val="Hipercze"/>
                                <w:rFonts w:cs="Arial"/>
                                <w:sz w:val="18"/>
                                <w:szCs w:val="30"/>
                                <w:shd w:val="clear" w:color="auto" w:fill="F0F0F0"/>
                                <w:lang w:val="en-GB"/>
                              </w:rPr>
                            </w:pPr>
                            <w:r>
                              <w:fldChar w:fldCharType="begin"/>
                            </w:r>
                            <w:r w:rsidRPr="00DC2623">
                              <w:rPr>
                                <w:lang w:val="en-GB"/>
                              </w:rPr>
                              <w:instrText xml:space="preserve"> HYPERLINK "http://ec.europa.eu/eurostat/web/products-manuals-and-guidelines/-/KS-RA-11-027" </w:instrText>
                            </w:r>
                            <w:r>
                              <w:fldChar w:fldCharType="separate"/>
                            </w:r>
                            <w:r w:rsidR="00EB5955" w:rsidRPr="00C07A6A">
                              <w:rPr>
                                <w:rStyle w:val="Hipercze"/>
                                <w:rFonts w:cs="Arial"/>
                                <w:sz w:val="18"/>
                                <w:szCs w:val="30"/>
                                <w:shd w:val="clear" w:color="auto" w:fill="F0F0F0"/>
                                <w:lang w:val="en-GB"/>
                              </w:rPr>
                              <w:t>Technical Compilation Guide for Pension Data in National Accounts</w:t>
                            </w:r>
                            <w:r>
                              <w:rPr>
                                <w:rStyle w:val="Hipercze"/>
                                <w:rFonts w:cs="Arial"/>
                                <w:sz w:val="18"/>
                                <w:szCs w:val="30"/>
                                <w:shd w:val="clear" w:color="auto" w:fill="F0F0F0"/>
                                <w:lang w:val="en-GB"/>
                              </w:rPr>
                              <w:fldChar w:fldCharType="end"/>
                            </w:r>
                          </w:p>
                          <w:p w14:paraId="4C06C50D" w14:textId="2721A415" w:rsidR="00C0620F" w:rsidRPr="00C0620F" w:rsidRDefault="00C0620F" w:rsidP="00C0620F">
                            <w:pPr>
                              <w:pStyle w:val="Akapitzlist"/>
                              <w:numPr>
                                <w:ilvl w:val="0"/>
                                <w:numId w:val="8"/>
                              </w:numPr>
                              <w:ind w:left="714" w:hanging="357"/>
                              <w:contextualSpacing w:val="0"/>
                              <w:rPr>
                                <w:rStyle w:val="Hipercze"/>
                                <w:rFonts w:cs="Arial"/>
                                <w:color w:val="001D77"/>
                                <w:sz w:val="18"/>
                                <w:szCs w:val="30"/>
                                <w:u w:val="none"/>
                                <w:shd w:val="clear" w:color="auto" w:fill="F0F0F0"/>
                              </w:rPr>
                            </w:pPr>
                            <w:proofErr w:type="spellStart"/>
                            <w:r w:rsidRPr="00C0620F">
                              <w:rPr>
                                <w:rStyle w:val="Hipercze"/>
                                <w:rFonts w:cs="Arial"/>
                                <w:color w:val="001D77"/>
                                <w:sz w:val="18"/>
                                <w:szCs w:val="30"/>
                                <w:u w:val="none"/>
                                <w:shd w:val="clear" w:color="auto" w:fill="F0F0F0"/>
                              </w:rPr>
                              <w:t>Fact</w:t>
                            </w:r>
                            <w:proofErr w:type="spellEnd"/>
                            <w:r w:rsidRPr="00C0620F">
                              <w:rPr>
                                <w:rStyle w:val="Hipercze"/>
                                <w:rFonts w:cs="Arial"/>
                                <w:color w:val="001D77"/>
                                <w:sz w:val="18"/>
                                <w:szCs w:val="30"/>
                                <w:u w:val="none"/>
                                <w:shd w:val="clear" w:color="auto" w:fill="F0F0F0"/>
                              </w:rPr>
                              <w:t xml:space="preserve"> </w:t>
                            </w:r>
                            <w:proofErr w:type="spellStart"/>
                            <w:r w:rsidRPr="00C0620F">
                              <w:rPr>
                                <w:rStyle w:val="Hipercze"/>
                                <w:rFonts w:cs="Arial"/>
                                <w:color w:val="001D77"/>
                                <w:sz w:val="18"/>
                                <w:szCs w:val="30"/>
                                <w:u w:val="none"/>
                                <w:shd w:val="clear" w:color="auto" w:fill="F0F0F0"/>
                              </w:rPr>
                              <w:t>sheet</w:t>
                            </w:r>
                            <w:proofErr w:type="spellEnd"/>
                            <w:r w:rsidRPr="00C0620F">
                              <w:rPr>
                                <w:rStyle w:val="Hipercze"/>
                                <w:rFonts w:cs="Arial"/>
                                <w:color w:val="001D77"/>
                                <w:sz w:val="18"/>
                                <w:szCs w:val="30"/>
                                <w:u w:val="none"/>
                                <w:shd w:val="clear" w:color="auto" w:fill="F0F0F0"/>
                              </w:rPr>
                              <w:t xml:space="preserve"> (streszczenie metodologiczne) – nabyte uprawnienia emerytalno-rentowe w ramach ubezpieczeń społecznych (w języku polskim i angielskim)</w:t>
                            </w:r>
                          </w:p>
                          <w:p w14:paraId="4850205F" w14:textId="75F983E7" w:rsidR="004E7071" w:rsidRPr="006166D3" w:rsidRDefault="00C0620F" w:rsidP="009007DB">
                            <w:pPr>
                              <w:pStyle w:val="Akapitzlist"/>
                              <w:numPr>
                                <w:ilvl w:val="0"/>
                                <w:numId w:val="8"/>
                              </w:numPr>
                              <w:contextualSpacing w:val="0"/>
                              <w:rPr>
                                <w:rStyle w:val="Hipercze"/>
                                <w:rFonts w:cstheme="minorBidi"/>
                                <w:b/>
                                <w:color w:val="000000" w:themeColor="text1"/>
                                <w:szCs w:val="24"/>
                                <w:u w:val="none"/>
                              </w:rPr>
                            </w:pPr>
                            <w:r w:rsidRPr="006166D3">
                              <w:rPr>
                                <w:rStyle w:val="Hipercze"/>
                                <w:rFonts w:cs="Arial"/>
                                <w:color w:val="001D77"/>
                                <w:sz w:val="18"/>
                                <w:szCs w:val="30"/>
                                <w:u w:val="none"/>
                                <w:shd w:val="clear" w:color="auto" w:fill="F0F0F0"/>
                              </w:rPr>
                              <w:t xml:space="preserve">Tablica 29: Nabyte uprawniania </w:t>
                            </w:r>
                            <w:r w:rsidR="00695441" w:rsidRPr="006166D3">
                              <w:rPr>
                                <w:rStyle w:val="Hipercze"/>
                                <w:rFonts w:cs="Arial"/>
                                <w:color w:val="001D77"/>
                                <w:sz w:val="18"/>
                                <w:szCs w:val="30"/>
                                <w:u w:val="none"/>
                                <w:shd w:val="clear" w:color="auto" w:fill="F0F0F0"/>
                              </w:rPr>
                              <w:t>emerytalno</w:t>
                            </w:r>
                            <w:r w:rsidRPr="006166D3">
                              <w:rPr>
                                <w:rStyle w:val="Hipercze"/>
                                <w:rFonts w:cs="Arial"/>
                                <w:color w:val="001D77"/>
                                <w:sz w:val="18"/>
                                <w:szCs w:val="30"/>
                                <w:u w:val="none"/>
                                <w:shd w:val="clear" w:color="auto" w:fill="F0F0F0"/>
                              </w:rPr>
                              <w:t xml:space="preserve">-rentowe w ramach ubezpieczeń </w:t>
                            </w:r>
                            <w:r w:rsidR="00184825">
                              <w:rPr>
                                <w:rStyle w:val="Hipercze"/>
                                <w:rFonts w:cs="Arial"/>
                                <w:color w:val="001D77"/>
                                <w:sz w:val="18"/>
                                <w:szCs w:val="30"/>
                                <w:u w:val="none"/>
                                <w:shd w:val="clear" w:color="auto" w:fill="F0F0F0"/>
                              </w:rPr>
                              <w:t>społecznych</w:t>
                            </w:r>
                            <w:r w:rsidR="009007DB">
                              <w:rPr>
                                <w:rStyle w:val="Hipercze"/>
                                <w:rFonts w:cs="Arial"/>
                                <w:color w:val="001D77"/>
                                <w:sz w:val="18"/>
                                <w:szCs w:val="30"/>
                                <w:u w:val="none"/>
                                <w:shd w:val="clear" w:color="auto" w:fill="F0F0F0"/>
                              </w:rPr>
                              <w:t xml:space="preserve"> </w:t>
                            </w:r>
                            <w:r w:rsidR="009007DB" w:rsidRPr="009007DB">
                              <w:rPr>
                                <w:rStyle w:val="Hipercze"/>
                                <w:rFonts w:cs="Arial"/>
                                <w:color w:val="001D77"/>
                                <w:sz w:val="18"/>
                                <w:szCs w:val="30"/>
                                <w:u w:val="none"/>
                                <w:shd w:val="clear" w:color="auto" w:fill="F0F0F0"/>
                              </w:rPr>
                              <w:t>(w języku polskim i angielskim)</w:t>
                            </w:r>
                          </w:p>
                          <w:p w14:paraId="0861B0B2" w14:textId="77777777" w:rsidR="006166D3" w:rsidRPr="006166D3" w:rsidRDefault="006166D3" w:rsidP="006166D3">
                            <w:pPr>
                              <w:pStyle w:val="Akapitzlist"/>
                              <w:ind w:left="714"/>
                              <w:contextualSpacing w:val="0"/>
                              <w:rPr>
                                <w:b/>
                                <w:color w:val="000000" w:themeColor="text1"/>
                                <w:szCs w:val="24"/>
                              </w:rPr>
                            </w:pPr>
                          </w:p>
                          <w:p w14:paraId="44F6B321" w14:textId="77777777" w:rsidR="00F75026" w:rsidRPr="006A22DA" w:rsidRDefault="00F75026" w:rsidP="00F75026">
                            <w:pPr>
                              <w:rPr>
                                <w:b/>
                                <w:color w:val="000000" w:themeColor="text1"/>
                                <w:szCs w:val="24"/>
                              </w:rPr>
                            </w:pPr>
                            <w:r w:rsidRPr="006A22DA">
                              <w:rPr>
                                <w:b/>
                                <w:color w:val="000000" w:themeColor="text1"/>
                                <w:szCs w:val="24"/>
                              </w:rPr>
                              <w:t>Temat dostępny w bazach danych</w:t>
                            </w:r>
                          </w:p>
                          <w:p w14:paraId="63D1A2A3" w14:textId="77777777" w:rsidR="00F75026" w:rsidRPr="006A22DA" w:rsidRDefault="00F75026" w:rsidP="00F75026">
                            <w:pPr>
                              <w:rPr>
                                <w:b/>
                                <w:color w:val="000000" w:themeColor="text1"/>
                                <w:szCs w:val="24"/>
                              </w:rPr>
                            </w:pPr>
                          </w:p>
                          <w:p w14:paraId="7C59374E" w14:textId="77777777" w:rsidR="00F75026" w:rsidRDefault="00F75026" w:rsidP="00F75026">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1FD3BCF8" w14:textId="77777777" w:rsidR="00F75026" w:rsidRPr="006A22DA" w:rsidRDefault="00F75026" w:rsidP="00F75026">
                            <w:pPr>
                              <w:rPr>
                                <w:b/>
                                <w:color w:val="000000" w:themeColor="text1"/>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AD20B" id="_x0000_s1036" type="#_x0000_t202" style="position:absolute;margin-left:1.5pt;margin-top:33.5pt;width:516.5pt;height:349.8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CW1dxxPwIAAHQEAAAO&#10;AAAAAAAAAAAAAAAAAC4CAABkcnMvZTJvRG9jLnhtbFBLAQItABQABgAIAAAAIQBuwDF83wAAAAkB&#10;AAAPAAAAAAAAAAAAAAAAAJkEAABkcnMvZG93bnJldi54bWxQSwUGAAAAAAQABADzAAAApQUAAAAA&#10;" fillcolor="#f2f2f2 [3052]" strokecolor="white [3212]">
                <v:textbox>
                  <w:txbxContent>
                    <w:p w14:paraId="12E1E6F8" w14:textId="77777777" w:rsidR="00F75026" w:rsidRDefault="00F75026" w:rsidP="00F75026">
                      <w:pPr>
                        <w:rPr>
                          <w:b/>
                        </w:rPr>
                      </w:pPr>
                    </w:p>
                    <w:p w14:paraId="7F666E1D" w14:textId="77777777" w:rsidR="00F75026" w:rsidRPr="00094689" w:rsidRDefault="00F75026" w:rsidP="00F75026">
                      <w:pPr>
                        <w:rPr>
                          <w:b/>
                        </w:rPr>
                      </w:pPr>
                      <w:r w:rsidRPr="00094689">
                        <w:rPr>
                          <w:b/>
                        </w:rPr>
                        <w:t>Powiązane opracowania</w:t>
                      </w:r>
                    </w:p>
                    <w:p w14:paraId="102E4B6E" w14:textId="1F5E0F08" w:rsidR="00EB5955" w:rsidRPr="00C0620F" w:rsidRDefault="00EB244C" w:rsidP="00C0620F">
                      <w:pPr>
                        <w:pStyle w:val="Akapitzlist"/>
                        <w:numPr>
                          <w:ilvl w:val="0"/>
                          <w:numId w:val="8"/>
                        </w:numPr>
                        <w:ind w:left="714" w:hanging="357"/>
                        <w:contextualSpacing w:val="0"/>
                        <w:rPr>
                          <w:rStyle w:val="Hipercze"/>
                          <w:rFonts w:cs="Arial"/>
                          <w:color w:val="001D77"/>
                          <w:sz w:val="18"/>
                          <w:szCs w:val="30"/>
                          <w:shd w:val="clear" w:color="auto" w:fill="F0F0F0"/>
                        </w:rPr>
                      </w:pPr>
                      <w:hyperlink r:id="rId33" w:history="1">
                        <w:r w:rsidR="00EB5955" w:rsidRPr="00C0620F">
                          <w:rPr>
                            <w:rStyle w:val="Hipercze"/>
                            <w:rFonts w:cs="Arial"/>
                            <w:sz w:val="18"/>
                            <w:szCs w:val="30"/>
                            <w:shd w:val="clear" w:color="auto" w:fill="F0F0F0"/>
                          </w:rPr>
                          <w:t xml:space="preserve">Europejski System Rachunków Narodowych </w:t>
                        </w:r>
                        <w:r w:rsidR="00C0620F" w:rsidRPr="00C0620F">
                          <w:rPr>
                            <w:rStyle w:val="Hipercze"/>
                            <w:rFonts w:cs="Arial"/>
                            <w:sz w:val="18"/>
                            <w:szCs w:val="30"/>
                            <w:shd w:val="clear" w:color="auto" w:fill="F0F0F0"/>
                          </w:rPr>
                          <w:t xml:space="preserve">i </w:t>
                        </w:r>
                        <w:r w:rsidR="00EB5955" w:rsidRPr="00C0620F">
                          <w:rPr>
                            <w:rStyle w:val="Hipercze"/>
                            <w:rFonts w:cs="Arial"/>
                            <w:sz w:val="18"/>
                            <w:szCs w:val="30"/>
                            <w:shd w:val="clear" w:color="auto" w:fill="F0F0F0"/>
                          </w:rPr>
                          <w:t>Regionalnych (ESA 2010)</w:t>
                        </w:r>
                      </w:hyperlink>
                    </w:p>
                    <w:p w14:paraId="20D6CB72" w14:textId="0D3A93DD" w:rsidR="00EB5955" w:rsidRPr="00C07A6A" w:rsidRDefault="00EB244C" w:rsidP="00C0620F">
                      <w:pPr>
                        <w:pStyle w:val="Akapitzlist"/>
                        <w:numPr>
                          <w:ilvl w:val="0"/>
                          <w:numId w:val="8"/>
                        </w:numPr>
                        <w:ind w:left="714" w:hanging="357"/>
                        <w:contextualSpacing w:val="0"/>
                        <w:rPr>
                          <w:rStyle w:val="Hipercze"/>
                          <w:rFonts w:cs="Arial"/>
                          <w:sz w:val="18"/>
                          <w:szCs w:val="30"/>
                          <w:shd w:val="clear" w:color="auto" w:fill="F0F0F0"/>
                          <w:lang w:val="en-GB"/>
                        </w:rPr>
                      </w:pPr>
                      <w:hyperlink r:id="rId34" w:history="1">
                        <w:r w:rsidR="00EB5955" w:rsidRPr="00C07A6A">
                          <w:rPr>
                            <w:rStyle w:val="Hipercze"/>
                            <w:rFonts w:cs="Arial"/>
                            <w:sz w:val="18"/>
                            <w:szCs w:val="30"/>
                            <w:shd w:val="clear" w:color="auto" w:fill="F0F0F0"/>
                            <w:lang w:val="en-GB"/>
                          </w:rPr>
                          <w:t>Technical Compilation Guide for Pension Data in National Accounts</w:t>
                        </w:r>
                      </w:hyperlink>
                    </w:p>
                    <w:p w14:paraId="4C06C50D" w14:textId="2721A415" w:rsidR="00C0620F" w:rsidRPr="00C0620F" w:rsidRDefault="00C0620F" w:rsidP="00C0620F">
                      <w:pPr>
                        <w:pStyle w:val="Akapitzlist"/>
                        <w:numPr>
                          <w:ilvl w:val="0"/>
                          <w:numId w:val="8"/>
                        </w:numPr>
                        <w:ind w:left="714" w:hanging="357"/>
                        <w:contextualSpacing w:val="0"/>
                        <w:rPr>
                          <w:rStyle w:val="Hipercze"/>
                          <w:rFonts w:cs="Arial"/>
                          <w:color w:val="001D77"/>
                          <w:sz w:val="18"/>
                          <w:szCs w:val="30"/>
                          <w:u w:val="none"/>
                          <w:shd w:val="clear" w:color="auto" w:fill="F0F0F0"/>
                        </w:rPr>
                      </w:pPr>
                      <w:proofErr w:type="spellStart"/>
                      <w:r w:rsidRPr="00C0620F">
                        <w:rPr>
                          <w:rStyle w:val="Hipercze"/>
                          <w:rFonts w:cs="Arial"/>
                          <w:color w:val="001D77"/>
                          <w:sz w:val="18"/>
                          <w:szCs w:val="30"/>
                          <w:u w:val="none"/>
                          <w:shd w:val="clear" w:color="auto" w:fill="F0F0F0"/>
                        </w:rPr>
                        <w:t>Fact</w:t>
                      </w:r>
                      <w:proofErr w:type="spellEnd"/>
                      <w:r w:rsidRPr="00C0620F">
                        <w:rPr>
                          <w:rStyle w:val="Hipercze"/>
                          <w:rFonts w:cs="Arial"/>
                          <w:color w:val="001D77"/>
                          <w:sz w:val="18"/>
                          <w:szCs w:val="30"/>
                          <w:u w:val="none"/>
                          <w:shd w:val="clear" w:color="auto" w:fill="F0F0F0"/>
                        </w:rPr>
                        <w:t xml:space="preserve"> </w:t>
                      </w:r>
                      <w:proofErr w:type="spellStart"/>
                      <w:r w:rsidRPr="00C0620F">
                        <w:rPr>
                          <w:rStyle w:val="Hipercze"/>
                          <w:rFonts w:cs="Arial"/>
                          <w:color w:val="001D77"/>
                          <w:sz w:val="18"/>
                          <w:szCs w:val="30"/>
                          <w:u w:val="none"/>
                          <w:shd w:val="clear" w:color="auto" w:fill="F0F0F0"/>
                        </w:rPr>
                        <w:t>sheet</w:t>
                      </w:r>
                      <w:proofErr w:type="spellEnd"/>
                      <w:r w:rsidRPr="00C0620F">
                        <w:rPr>
                          <w:rStyle w:val="Hipercze"/>
                          <w:rFonts w:cs="Arial"/>
                          <w:color w:val="001D77"/>
                          <w:sz w:val="18"/>
                          <w:szCs w:val="30"/>
                          <w:u w:val="none"/>
                          <w:shd w:val="clear" w:color="auto" w:fill="F0F0F0"/>
                        </w:rPr>
                        <w:t xml:space="preserve"> (streszczenie metodologiczne) – nabyte uprawnienia emerytalno-rentowe w ramach ubezpieczeń społecznych (w języku polskim i angielskim)</w:t>
                      </w:r>
                    </w:p>
                    <w:p w14:paraId="4850205F" w14:textId="75F983E7" w:rsidR="004E7071" w:rsidRPr="006166D3" w:rsidRDefault="00C0620F" w:rsidP="009007DB">
                      <w:pPr>
                        <w:pStyle w:val="Akapitzlist"/>
                        <w:numPr>
                          <w:ilvl w:val="0"/>
                          <w:numId w:val="8"/>
                        </w:numPr>
                        <w:contextualSpacing w:val="0"/>
                        <w:rPr>
                          <w:rStyle w:val="Hipercze"/>
                          <w:rFonts w:cstheme="minorBidi"/>
                          <w:b/>
                          <w:color w:val="000000" w:themeColor="text1"/>
                          <w:szCs w:val="24"/>
                          <w:u w:val="none"/>
                        </w:rPr>
                      </w:pPr>
                      <w:r w:rsidRPr="006166D3">
                        <w:rPr>
                          <w:rStyle w:val="Hipercze"/>
                          <w:rFonts w:cs="Arial"/>
                          <w:color w:val="001D77"/>
                          <w:sz w:val="18"/>
                          <w:szCs w:val="30"/>
                          <w:u w:val="none"/>
                          <w:shd w:val="clear" w:color="auto" w:fill="F0F0F0"/>
                        </w:rPr>
                        <w:t xml:space="preserve">Tablica 29: Nabyte uprawniania </w:t>
                      </w:r>
                      <w:r w:rsidR="00695441" w:rsidRPr="006166D3">
                        <w:rPr>
                          <w:rStyle w:val="Hipercze"/>
                          <w:rFonts w:cs="Arial"/>
                          <w:color w:val="001D77"/>
                          <w:sz w:val="18"/>
                          <w:szCs w:val="30"/>
                          <w:u w:val="none"/>
                          <w:shd w:val="clear" w:color="auto" w:fill="F0F0F0"/>
                        </w:rPr>
                        <w:t>emerytalno</w:t>
                      </w:r>
                      <w:r w:rsidRPr="006166D3">
                        <w:rPr>
                          <w:rStyle w:val="Hipercze"/>
                          <w:rFonts w:cs="Arial"/>
                          <w:color w:val="001D77"/>
                          <w:sz w:val="18"/>
                          <w:szCs w:val="30"/>
                          <w:u w:val="none"/>
                          <w:shd w:val="clear" w:color="auto" w:fill="F0F0F0"/>
                        </w:rPr>
                        <w:t xml:space="preserve">-rentowe w ramach ubezpieczeń </w:t>
                      </w:r>
                      <w:r w:rsidR="00184825">
                        <w:rPr>
                          <w:rStyle w:val="Hipercze"/>
                          <w:rFonts w:cs="Arial"/>
                          <w:color w:val="001D77"/>
                          <w:sz w:val="18"/>
                          <w:szCs w:val="30"/>
                          <w:u w:val="none"/>
                          <w:shd w:val="clear" w:color="auto" w:fill="F0F0F0"/>
                        </w:rPr>
                        <w:t>społecznych</w:t>
                      </w:r>
                      <w:r w:rsidR="009007DB">
                        <w:rPr>
                          <w:rStyle w:val="Hipercze"/>
                          <w:rFonts w:cs="Arial"/>
                          <w:color w:val="001D77"/>
                          <w:sz w:val="18"/>
                          <w:szCs w:val="30"/>
                          <w:u w:val="none"/>
                          <w:shd w:val="clear" w:color="auto" w:fill="F0F0F0"/>
                        </w:rPr>
                        <w:t xml:space="preserve"> </w:t>
                      </w:r>
                      <w:r w:rsidR="009007DB" w:rsidRPr="009007DB">
                        <w:rPr>
                          <w:rStyle w:val="Hipercze"/>
                          <w:rFonts w:cs="Arial"/>
                          <w:color w:val="001D77"/>
                          <w:sz w:val="18"/>
                          <w:szCs w:val="30"/>
                          <w:u w:val="none"/>
                          <w:shd w:val="clear" w:color="auto" w:fill="F0F0F0"/>
                        </w:rPr>
                        <w:t>(w języku polskim i angielskim)</w:t>
                      </w:r>
                    </w:p>
                    <w:p w14:paraId="0861B0B2" w14:textId="77777777" w:rsidR="006166D3" w:rsidRPr="006166D3" w:rsidRDefault="006166D3" w:rsidP="006166D3">
                      <w:pPr>
                        <w:pStyle w:val="Akapitzlist"/>
                        <w:ind w:left="714"/>
                        <w:contextualSpacing w:val="0"/>
                        <w:rPr>
                          <w:b/>
                          <w:color w:val="000000" w:themeColor="text1"/>
                          <w:szCs w:val="24"/>
                        </w:rPr>
                      </w:pPr>
                    </w:p>
                    <w:p w14:paraId="44F6B321" w14:textId="77777777" w:rsidR="00F75026" w:rsidRPr="006A22DA" w:rsidRDefault="00F75026" w:rsidP="00F75026">
                      <w:pPr>
                        <w:rPr>
                          <w:b/>
                          <w:color w:val="000000" w:themeColor="text1"/>
                          <w:szCs w:val="24"/>
                        </w:rPr>
                      </w:pPr>
                      <w:r w:rsidRPr="006A22DA">
                        <w:rPr>
                          <w:b/>
                          <w:color w:val="000000" w:themeColor="text1"/>
                          <w:szCs w:val="24"/>
                        </w:rPr>
                        <w:t>Temat dostępny w bazach danych</w:t>
                      </w:r>
                    </w:p>
                    <w:p w14:paraId="63D1A2A3" w14:textId="77777777" w:rsidR="00F75026" w:rsidRPr="006A22DA" w:rsidRDefault="00F75026" w:rsidP="00F75026">
                      <w:pPr>
                        <w:rPr>
                          <w:b/>
                          <w:color w:val="000000" w:themeColor="text1"/>
                          <w:szCs w:val="24"/>
                        </w:rPr>
                      </w:pPr>
                    </w:p>
                    <w:p w14:paraId="7C59374E" w14:textId="77777777" w:rsidR="00F75026" w:rsidRDefault="00F75026" w:rsidP="00F75026">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1FD3BCF8" w14:textId="77777777" w:rsidR="00F75026" w:rsidRPr="006A22DA" w:rsidRDefault="00F75026" w:rsidP="00F75026">
                      <w:pPr>
                        <w:rPr>
                          <w:b/>
                          <w:color w:val="000000" w:themeColor="text1"/>
                          <w:szCs w:val="24"/>
                        </w:rPr>
                      </w:pPr>
                    </w:p>
                  </w:txbxContent>
                </v:textbox>
                <w10:wrap type="square" anchorx="margin"/>
              </v:shape>
            </w:pict>
          </mc:Fallback>
        </mc:AlternateContent>
      </w:r>
    </w:p>
    <w:p w14:paraId="5084E274" w14:textId="77777777" w:rsidR="00D261A2" w:rsidRPr="00001C5B" w:rsidRDefault="00D261A2" w:rsidP="00E76D26">
      <w:pPr>
        <w:rPr>
          <w:sz w:val="18"/>
        </w:rPr>
      </w:pPr>
    </w:p>
    <w:sectPr w:rsidR="00D261A2" w:rsidRPr="00001C5B" w:rsidSect="00FF1FB2">
      <w:headerReference w:type="default" r:id="rId35"/>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80049" w14:textId="77777777" w:rsidR="0058351E" w:rsidRDefault="0058351E" w:rsidP="000662E2">
      <w:pPr>
        <w:spacing w:after="0" w:line="240" w:lineRule="auto"/>
      </w:pPr>
      <w:r>
        <w:separator/>
      </w:r>
    </w:p>
  </w:endnote>
  <w:endnote w:type="continuationSeparator" w:id="0">
    <w:p w14:paraId="09CA31FA" w14:textId="77777777" w:rsidR="0058351E" w:rsidRDefault="005835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6F0E044-571B-448A-833B-FB8FA3500C5C}"/>
    <w:embedBold r:id="rId2" w:fontKey="{DEEDD697-81DC-4C71-ABB5-EC99FF343453}"/>
    <w:embedItalic r:id="rId3" w:fontKey="{3FCA4CFD-B236-4A10-B001-227A04258412}"/>
    <w:embedBoldItalic r:id="rId4" w:fontKey="{8BB6A92B-60EF-4F74-B2B7-B6B953916968}"/>
  </w:font>
  <w:font w:name="Fira Sans Light">
    <w:panose1 w:val="020B0403050000020004"/>
    <w:charset w:val="EE"/>
    <w:family w:val="swiss"/>
    <w:pitch w:val="variable"/>
    <w:sig w:usb0="600002FF" w:usb1="02000001" w:usb2="00000000" w:usb3="00000000" w:csb0="0000019F" w:csb1="00000000"/>
    <w:embedRegular r:id="rId5" w:fontKey="{69496975-6685-4427-A8B0-3D607FED05FB}"/>
    <w:embedBold r:id="rId6" w:fontKey="{5CF9D076-8876-479E-80EA-4DB92774BCAE}"/>
    <w:embedItalic r:id="rId7" w:fontKey="{A1D58E73-C28A-40FB-9FE0-4A4C99647176}"/>
    <w:embedBoldItalic r:id="rId8" w:fontKey="{D9E34ED9-AE64-4B58-8606-F7EFB54A1F19}"/>
  </w:font>
  <w:font w:name="Arial">
    <w:panose1 w:val="020B0604020202020204"/>
    <w:charset w:val="EE"/>
    <w:family w:val="swiss"/>
    <w:pitch w:val="variable"/>
    <w:sig w:usb0="E0002EFF" w:usb1="C0007843"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9" w:fontKey="{7952D8DA-CB3D-41B0-95D1-D5CC9E5BEED8}"/>
    <w:embedBold r:id="rId10" w:fontKey="{25D05698-E5F7-450B-8D62-360C9C3ED135}"/>
  </w:font>
  <w:font w:name="Fira Sans Medium">
    <w:panose1 w:val="020B0603050000020004"/>
    <w:charset w:val="EE"/>
    <w:family w:val="swiss"/>
    <w:pitch w:val="variable"/>
    <w:sig w:usb0="600002FF" w:usb1="02000001" w:usb2="00000000" w:usb3="00000000" w:csb0="0000019F" w:csb1="00000000"/>
    <w:embedRegular r:id="rId11" w:fontKey="{AB696881-2E69-4D70-A733-0EA011090F21}"/>
    <w:embedItalic r:id="rId12" w:fontKey="{525F02EB-350E-4F2E-82ED-08B15091014B}"/>
  </w:font>
  <w:font w:name="Segoe UI">
    <w:panose1 w:val="020B0502040204020203"/>
    <w:charset w:val="EE"/>
    <w:family w:val="swiss"/>
    <w:pitch w:val="variable"/>
    <w:sig w:usb0="E4002EFF" w:usb1="C000E47F" w:usb2="00000009" w:usb3="00000000" w:csb0="000001FF" w:csb1="00000000"/>
    <w:embedRegular r:id="rId13" w:fontKey="{5E8E94EF-AD81-4CE7-A6E8-B1396098BAEA}"/>
  </w:font>
  <w:font w:name="Fira Sans Extra Condensed SemiB">
    <w:panose1 w:val="020B0603050000020004"/>
    <w:charset w:val="EE"/>
    <w:family w:val="swiss"/>
    <w:pitch w:val="variable"/>
    <w:sig w:usb0="600002FF" w:usb1="00000001" w:usb2="00000000" w:usb3="00000000" w:csb0="0000019F" w:csb1="00000000"/>
    <w:embedRegular r:id="rId14" w:fontKey="{AD2FF6B4-CEA1-4EF7-8314-A33D6839D29B}"/>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embedBold r:id="rId15" w:fontKey="{667AE065-D4DD-4429-A5FD-53FC6CF06F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DDF3" w14:textId="77777777" w:rsidR="00EB244C" w:rsidRDefault="00EB244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364900"/>
      <w:docPartObj>
        <w:docPartGallery w:val="Page Numbers (Bottom of Page)"/>
        <w:docPartUnique/>
      </w:docPartObj>
    </w:sdtPr>
    <w:sdtEndPr>
      <w:rPr>
        <w:noProof/>
      </w:rPr>
    </w:sdtEndPr>
    <w:sdtContent>
      <w:p w14:paraId="54C857E6" w14:textId="675A8803" w:rsidR="00C774B6" w:rsidRDefault="00C774B6">
        <w:pPr>
          <w:pStyle w:val="Stopka"/>
          <w:jc w:val="right"/>
        </w:pPr>
        <w:r>
          <w:fldChar w:fldCharType="begin"/>
        </w:r>
        <w:r>
          <w:instrText xml:space="preserve"> PAGE   \* MERGEFORMAT </w:instrText>
        </w:r>
        <w:r>
          <w:fldChar w:fldCharType="separate"/>
        </w:r>
        <w:r w:rsidR="00DC2623">
          <w:rPr>
            <w:noProof/>
          </w:rPr>
          <w:t>8</w:t>
        </w:r>
        <w:r>
          <w:rPr>
            <w:noProof/>
          </w:rPr>
          <w:fldChar w:fldCharType="end"/>
        </w:r>
      </w:p>
    </w:sdtContent>
  </w:sdt>
  <w:p w14:paraId="1844130D" w14:textId="77777777" w:rsidR="00C774B6" w:rsidRDefault="00C774B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3305E" w14:textId="77777777" w:rsidR="00EB244C" w:rsidRDefault="00EB244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D27B8" w14:textId="77777777" w:rsidR="0058351E" w:rsidRDefault="0058351E" w:rsidP="000662E2">
      <w:pPr>
        <w:spacing w:after="0" w:line="240" w:lineRule="auto"/>
      </w:pPr>
      <w:r>
        <w:separator/>
      </w:r>
    </w:p>
  </w:footnote>
  <w:footnote w:type="continuationSeparator" w:id="0">
    <w:p w14:paraId="14E884F1" w14:textId="77777777" w:rsidR="0058351E" w:rsidRDefault="0058351E" w:rsidP="000662E2">
      <w:pPr>
        <w:spacing w:after="0" w:line="240" w:lineRule="auto"/>
      </w:pPr>
      <w:r>
        <w:continuationSeparator/>
      </w:r>
    </w:p>
  </w:footnote>
  <w:footnote w:id="1">
    <w:p w14:paraId="41305A32" w14:textId="132B9E6A" w:rsidR="006F4D83" w:rsidRDefault="006F4D83" w:rsidP="006F4D83">
      <w:pPr>
        <w:pStyle w:val="Tekstprzypisudolnego"/>
        <w:spacing w:before="0"/>
        <w:jc w:val="both"/>
      </w:pPr>
      <w:r w:rsidRPr="00220EE8">
        <w:rPr>
          <w:rStyle w:val="Odwoanieprzypisudolnego"/>
          <w:sz w:val="16"/>
          <w:szCs w:val="16"/>
        </w:rPr>
        <w:footnoteRef/>
      </w:r>
      <w:r w:rsidRPr="00220EE8">
        <w:rPr>
          <w:sz w:val="16"/>
          <w:szCs w:val="16"/>
        </w:rPr>
        <w:t xml:space="preserve"> Podręcznik dostępny jest na stronie internetowej Eurostatu: </w:t>
      </w:r>
      <w:hyperlink r:id="rId1" w:history="1">
        <w:r w:rsidR="00E60266" w:rsidRPr="00D83001">
          <w:rPr>
            <w:rStyle w:val="Hipercze"/>
            <w:rFonts w:cstheme="minorBidi"/>
            <w:sz w:val="16"/>
            <w:szCs w:val="16"/>
          </w:rPr>
          <w:t>http://ec.europa.eu/eurostat/web/products-manuals-and-guidelines/-/KS-RA-11-027</w:t>
        </w:r>
      </w:hyperlink>
      <w:r>
        <w:rPr>
          <w:sz w:val="16"/>
          <w:szCs w:val="16"/>
        </w:rPr>
        <w:t>.</w:t>
      </w:r>
      <w:r w:rsidR="00E60266">
        <w:rPr>
          <w:sz w:val="16"/>
          <w:szCs w:val="16"/>
        </w:rPr>
        <w:t xml:space="preserve"> </w:t>
      </w:r>
    </w:p>
  </w:footnote>
  <w:footnote w:id="2">
    <w:p w14:paraId="77010F05" w14:textId="23B1F00B" w:rsidR="00C2597B" w:rsidRDefault="00C2597B" w:rsidP="00C2597B">
      <w:pPr>
        <w:pStyle w:val="Tekstprzypisudolnego"/>
        <w:spacing w:before="0" w:line="200" w:lineRule="exact"/>
        <w:jc w:val="both"/>
      </w:pPr>
      <w:r w:rsidRPr="00DC2C42">
        <w:rPr>
          <w:rStyle w:val="Odwoanieprzypisudolnego"/>
          <w:sz w:val="16"/>
          <w:szCs w:val="16"/>
        </w:rPr>
        <w:footnoteRef/>
      </w:r>
      <w:r>
        <w:rPr>
          <w:sz w:val="16"/>
          <w:szCs w:val="16"/>
        </w:rPr>
        <w:t xml:space="preserve"> Podręcznik </w:t>
      </w:r>
      <w:hyperlink r:id="rId2" w:history="1">
        <w:r w:rsidRPr="00151A75">
          <w:rPr>
            <w:i/>
            <w:sz w:val="16"/>
            <w:szCs w:val="16"/>
          </w:rPr>
          <w:t xml:space="preserve">Technical </w:t>
        </w:r>
        <w:proofErr w:type="spellStart"/>
        <w:r w:rsidRPr="00151A75">
          <w:rPr>
            <w:i/>
            <w:sz w:val="16"/>
            <w:szCs w:val="16"/>
          </w:rPr>
          <w:t>Compilation</w:t>
        </w:r>
        <w:proofErr w:type="spellEnd"/>
        <w:r w:rsidRPr="00151A75">
          <w:rPr>
            <w:i/>
            <w:sz w:val="16"/>
            <w:szCs w:val="16"/>
          </w:rPr>
          <w:t xml:space="preserve"> Guide for </w:t>
        </w:r>
        <w:proofErr w:type="spellStart"/>
        <w:r w:rsidRPr="00151A75">
          <w:rPr>
            <w:i/>
            <w:sz w:val="16"/>
            <w:szCs w:val="16"/>
          </w:rPr>
          <w:t>Pensions</w:t>
        </w:r>
        <w:proofErr w:type="spellEnd"/>
        <w:r w:rsidRPr="00151A75">
          <w:rPr>
            <w:i/>
            <w:sz w:val="16"/>
            <w:szCs w:val="16"/>
          </w:rPr>
          <w:t xml:space="preserve"> in </w:t>
        </w:r>
        <w:proofErr w:type="spellStart"/>
        <w:r w:rsidRPr="00151A75">
          <w:rPr>
            <w:i/>
            <w:sz w:val="16"/>
            <w:szCs w:val="16"/>
          </w:rPr>
          <w:t>National</w:t>
        </w:r>
        <w:proofErr w:type="spellEnd"/>
        <w:r w:rsidRPr="00151A75">
          <w:rPr>
            <w:i/>
            <w:sz w:val="16"/>
            <w:szCs w:val="16"/>
          </w:rPr>
          <w:t xml:space="preserve"> </w:t>
        </w:r>
        <w:proofErr w:type="spellStart"/>
        <w:r w:rsidRPr="00151A75">
          <w:rPr>
            <w:i/>
            <w:sz w:val="16"/>
            <w:szCs w:val="16"/>
          </w:rPr>
          <w:t>Accounts</w:t>
        </w:r>
        <w:proofErr w:type="spellEnd"/>
      </w:hyperlink>
      <w:r>
        <w:rPr>
          <w:sz w:val="16"/>
          <w:szCs w:val="16"/>
        </w:rPr>
        <w:t xml:space="preserve"> wprowadził trzy podstawowe koncepcje </w:t>
      </w:r>
      <w:r w:rsidRPr="00DC2C42">
        <w:rPr>
          <w:sz w:val="16"/>
          <w:szCs w:val="16"/>
        </w:rPr>
        <w:t xml:space="preserve">zobowiązań emerytalno-rentowych: zobowiązania </w:t>
      </w:r>
      <w:r>
        <w:rPr>
          <w:sz w:val="16"/>
          <w:szCs w:val="16"/>
        </w:rPr>
        <w:t>narosłe do roku bazowego (</w:t>
      </w:r>
      <w:proofErr w:type="spellStart"/>
      <w:r>
        <w:rPr>
          <w:sz w:val="16"/>
          <w:szCs w:val="16"/>
        </w:rPr>
        <w:t>accrued</w:t>
      </w:r>
      <w:proofErr w:type="spellEnd"/>
      <w:r>
        <w:rPr>
          <w:sz w:val="16"/>
          <w:szCs w:val="16"/>
        </w:rPr>
        <w:t>-to-</w:t>
      </w:r>
      <w:proofErr w:type="spellStart"/>
      <w:r>
        <w:rPr>
          <w:sz w:val="16"/>
          <w:szCs w:val="16"/>
        </w:rPr>
        <w:t>date</w:t>
      </w:r>
      <w:proofErr w:type="spellEnd"/>
      <w:r>
        <w:rPr>
          <w:sz w:val="16"/>
          <w:szCs w:val="16"/>
        </w:rPr>
        <w:t xml:space="preserve"> </w:t>
      </w:r>
      <w:proofErr w:type="spellStart"/>
      <w:r w:rsidRPr="00DC2C42">
        <w:rPr>
          <w:sz w:val="16"/>
          <w:szCs w:val="16"/>
        </w:rPr>
        <w:t>liabilities</w:t>
      </w:r>
      <w:proofErr w:type="spellEnd"/>
      <w:r w:rsidRPr="00DC2C42">
        <w:rPr>
          <w:sz w:val="16"/>
          <w:szCs w:val="16"/>
        </w:rPr>
        <w:t xml:space="preserve"> – ADL), zobowiązania osób pracujących i pobierających świadcze</w:t>
      </w:r>
      <w:r w:rsidR="0027324A">
        <w:rPr>
          <w:sz w:val="16"/>
          <w:szCs w:val="16"/>
        </w:rPr>
        <w:t>nia (</w:t>
      </w:r>
      <w:proofErr w:type="spellStart"/>
      <w:r w:rsidR="0027324A">
        <w:rPr>
          <w:sz w:val="16"/>
          <w:szCs w:val="16"/>
        </w:rPr>
        <w:t>current</w:t>
      </w:r>
      <w:proofErr w:type="spellEnd"/>
      <w:r w:rsidR="0027324A">
        <w:rPr>
          <w:sz w:val="16"/>
          <w:szCs w:val="16"/>
        </w:rPr>
        <w:t xml:space="preserve"> </w:t>
      </w:r>
      <w:proofErr w:type="spellStart"/>
      <w:r w:rsidRPr="00DC2C42">
        <w:rPr>
          <w:sz w:val="16"/>
          <w:szCs w:val="16"/>
        </w:rPr>
        <w:t>workers</w:t>
      </w:r>
      <w:proofErr w:type="spellEnd"/>
      <w:r w:rsidRPr="00DC2C42">
        <w:rPr>
          <w:sz w:val="16"/>
          <w:szCs w:val="16"/>
        </w:rPr>
        <w:t xml:space="preserve">’ and </w:t>
      </w:r>
      <w:proofErr w:type="spellStart"/>
      <w:r w:rsidRPr="00DC2C42">
        <w:rPr>
          <w:sz w:val="16"/>
          <w:szCs w:val="16"/>
        </w:rPr>
        <w:t>pensioners</w:t>
      </w:r>
      <w:proofErr w:type="spellEnd"/>
      <w:r w:rsidRPr="00DC2C42">
        <w:rPr>
          <w:sz w:val="16"/>
          <w:szCs w:val="16"/>
        </w:rPr>
        <w:t xml:space="preserve">’ </w:t>
      </w:r>
      <w:proofErr w:type="spellStart"/>
      <w:r w:rsidRPr="00DC2C42">
        <w:rPr>
          <w:sz w:val="16"/>
          <w:szCs w:val="16"/>
        </w:rPr>
        <w:t>liabilities</w:t>
      </w:r>
      <w:proofErr w:type="spellEnd"/>
      <w:r w:rsidRPr="00DC2C42">
        <w:rPr>
          <w:sz w:val="16"/>
          <w:szCs w:val="16"/>
        </w:rPr>
        <w:t xml:space="preserve"> – CWL) oraz narosłe zobowiązania emerytalne dla</w:t>
      </w:r>
      <w:r w:rsidR="0027324A">
        <w:rPr>
          <w:sz w:val="16"/>
          <w:szCs w:val="16"/>
        </w:rPr>
        <w:t xml:space="preserve"> systemu otwartego (open-system </w:t>
      </w:r>
      <w:proofErr w:type="spellStart"/>
      <w:r w:rsidR="0027324A">
        <w:rPr>
          <w:sz w:val="16"/>
          <w:szCs w:val="16"/>
        </w:rPr>
        <w:t>gross</w:t>
      </w:r>
      <w:proofErr w:type="spellEnd"/>
      <w:r w:rsidR="0027324A">
        <w:rPr>
          <w:sz w:val="16"/>
          <w:szCs w:val="16"/>
        </w:rPr>
        <w:t xml:space="preserve"> </w:t>
      </w:r>
      <w:proofErr w:type="spellStart"/>
      <w:r w:rsidRPr="00DC2C42">
        <w:rPr>
          <w:sz w:val="16"/>
          <w:szCs w:val="16"/>
        </w:rPr>
        <w:t>liabilities</w:t>
      </w:r>
      <w:proofErr w:type="spellEnd"/>
      <w:r w:rsidRPr="00DC2C42">
        <w:rPr>
          <w:sz w:val="16"/>
          <w:szCs w:val="16"/>
        </w:rPr>
        <w:t xml:space="preserve"> – OSL). </w:t>
      </w:r>
      <w:r>
        <w:rPr>
          <w:sz w:val="16"/>
          <w:szCs w:val="16"/>
        </w:rPr>
        <w:br/>
        <w:t>W podręczniku znajdują się s</w:t>
      </w:r>
      <w:r w:rsidRPr="00DC2C42">
        <w:rPr>
          <w:sz w:val="16"/>
          <w:szCs w:val="16"/>
        </w:rPr>
        <w:t xml:space="preserve">zczegółowe zalecenia, które </w:t>
      </w:r>
      <w:r>
        <w:rPr>
          <w:sz w:val="16"/>
          <w:szCs w:val="16"/>
        </w:rPr>
        <w:t>mają na celu zapewnienie porównywalności</w:t>
      </w:r>
      <w:r w:rsidRPr="00DC2C42">
        <w:rPr>
          <w:sz w:val="16"/>
          <w:szCs w:val="16"/>
        </w:rPr>
        <w:t xml:space="preserve"> oblicze</w:t>
      </w:r>
      <w:r>
        <w:rPr>
          <w:sz w:val="16"/>
          <w:szCs w:val="16"/>
        </w:rPr>
        <w:t>ń pomiędzy krajami UE.</w:t>
      </w:r>
      <w:r w:rsidRPr="003D05F7">
        <w:rPr>
          <w:sz w:val="16"/>
          <w:szCs w:val="16"/>
        </w:rPr>
        <w:t xml:space="preserve"> </w:t>
      </w:r>
      <w:r>
        <w:rPr>
          <w:sz w:val="16"/>
          <w:szCs w:val="16"/>
        </w:rPr>
        <w:t xml:space="preserve">Ustalono, że dane do </w:t>
      </w:r>
      <w:r w:rsidRPr="00DC2C42">
        <w:rPr>
          <w:sz w:val="16"/>
          <w:szCs w:val="16"/>
        </w:rPr>
        <w:t>tablicy</w:t>
      </w:r>
      <w:r>
        <w:rPr>
          <w:sz w:val="16"/>
          <w:szCs w:val="16"/>
        </w:rPr>
        <w:t xml:space="preserve"> 29</w:t>
      </w:r>
      <w:r w:rsidRPr="00DC2C42">
        <w:rPr>
          <w:sz w:val="16"/>
          <w:szCs w:val="16"/>
        </w:rPr>
        <w:t xml:space="preserve"> n</w:t>
      </w:r>
      <w:r w:rsidR="0027324A">
        <w:rPr>
          <w:sz w:val="16"/>
          <w:szCs w:val="16"/>
        </w:rPr>
        <w:t xml:space="preserve">ależy opracować w </w:t>
      </w:r>
      <w:r>
        <w:rPr>
          <w:sz w:val="16"/>
          <w:szCs w:val="16"/>
        </w:rPr>
        <w:t xml:space="preserve">ujęciu ADL z </w:t>
      </w:r>
      <w:r w:rsidR="0027324A">
        <w:rPr>
          <w:sz w:val="16"/>
          <w:szCs w:val="16"/>
        </w:rPr>
        <w:t xml:space="preserve">zastosowaniem </w:t>
      </w:r>
      <w:r w:rsidRPr="00DC2C42">
        <w:rPr>
          <w:sz w:val="16"/>
          <w:szCs w:val="16"/>
        </w:rPr>
        <w:t>podejścia prze</w:t>
      </w:r>
      <w:r>
        <w:rPr>
          <w:sz w:val="16"/>
          <w:szCs w:val="16"/>
        </w:rPr>
        <w:t>widywanych świadczeń (</w:t>
      </w:r>
      <w:proofErr w:type="spellStart"/>
      <w:r>
        <w:rPr>
          <w:sz w:val="16"/>
          <w:szCs w:val="16"/>
        </w:rPr>
        <w:t>projected</w:t>
      </w:r>
      <w:proofErr w:type="spellEnd"/>
      <w:r>
        <w:rPr>
          <w:sz w:val="16"/>
          <w:szCs w:val="16"/>
        </w:rPr>
        <w:t xml:space="preserve"> </w:t>
      </w:r>
      <w:r w:rsidRPr="00DC2C42">
        <w:rPr>
          <w:sz w:val="16"/>
          <w:szCs w:val="16"/>
        </w:rPr>
        <w:t xml:space="preserve">benefit </w:t>
      </w:r>
      <w:proofErr w:type="spellStart"/>
      <w:r w:rsidRPr="00DC2C42">
        <w:rPr>
          <w:sz w:val="16"/>
          <w:szCs w:val="16"/>
        </w:rPr>
        <w:t>obligations</w:t>
      </w:r>
      <w:proofErr w:type="spellEnd"/>
      <w:r w:rsidRPr="00DC2C42">
        <w:rPr>
          <w:sz w:val="16"/>
          <w:szCs w:val="16"/>
        </w:rPr>
        <w:t xml:space="preserve"> </w:t>
      </w:r>
      <w:proofErr w:type="spellStart"/>
      <w:r w:rsidRPr="00DC2C42">
        <w:rPr>
          <w:sz w:val="16"/>
          <w:szCs w:val="16"/>
        </w:rPr>
        <w:t>approach</w:t>
      </w:r>
      <w:proofErr w:type="spellEnd"/>
      <w:r w:rsidRPr="00DC2C42">
        <w:rPr>
          <w:sz w:val="16"/>
          <w:szCs w:val="16"/>
        </w:rPr>
        <w:t xml:space="preserve"> – PBO).</w:t>
      </w:r>
    </w:p>
  </w:footnote>
  <w:footnote w:id="3">
    <w:p w14:paraId="7EAA315E" w14:textId="77777777" w:rsidR="00C2597B" w:rsidRDefault="00C2597B" w:rsidP="00C2597B">
      <w:pPr>
        <w:pStyle w:val="Tekstprzypisudolnego"/>
        <w:spacing w:before="0"/>
      </w:pPr>
      <w:r w:rsidRPr="005817CE">
        <w:rPr>
          <w:sz w:val="16"/>
          <w:szCs w:val="16"/>
          <w:vertAlign w:val="superscript"/>
        </w:rPr>
        <w:footnoteRef/>
      </w:r>
      <w:r w:rsidRPr="005817CE">
        <w:rPr>
          <w:sz w:val="16"/>
          <w:szCs w:val="16"/>
        </w:rPr>
        <w:t xml:space="preserve"> Podział </w:t>
      </w:r>
      <w:r>
        <w:rPr>
          <w:sz w:val="16"/>
          <w:szCs w:val="16"/>
        </w:rPr>
        <w:t>ubezpieczeń społecznych stosowany w europejskim systemie rachunków narodowych i regionalnych w Unii Europejskiej (ESA 2010).</w:t>
      </w:r>
    </w:p>
  </w:footnote>
  <w:footnote w:id="4">
    <w:p w14:paraId="6234DB68" w14:textId="381A6812" w:rsidR="00C2597B" w:rsidRDefault="00C2597B" w:rsidP="00C2597B">
      <w:pPr>
        <w:pStyle w:val="Tekstprzypisudolnego"/>
        <w:spacing w:before="0" w:line="200" w:lineRule="exact"/>
      </w:pPr>
      <w:r w:rsidRPr="00220EE8">
        <w:rPr>
          <w:rStyle w:val="Odwoanieprzypisudolnego"/>
          <w:sz w:val="16"/>
          <w:szCs w:val="16"/>
        </w:rPr>
        <w:footnoteRef/>
      </w:r>
      <w:r>
        <w:rPr>
          <w:sz w:val="16"/>
          <w:szCs w:val="16"/>
        </w:rPr>
        <w:t xml:space="preserve"> Raporty są publikowane </w:t>
      </w:r>
      <w:r w:rsidRPr="00220EE8">
        <w:rPr>
          <w:sz w:val="16"/>
          <w:szCs w:val="16"/>
        </w:rPr>
        <w:t>na stroni</w:t>
      </w:r>
      <w:r>
        <w:rPr>
          <w:sz w:val="16"/>
          <w:szCs w:val="16"/>
        </w:rPr>
        <w:t>e</w:t>
      </w:r>
      <w:r w:rsidRPr="00220EE8">
        <w:rPr>
          <w:sz w:val="16"/>
          <w:szCs w:val="16"/>
        </w:rPr>
        <w:t xml:space="preserve"> Komisji Europejskiej:</w:t>
      </w:r>
      <w:r>
        <w:rPr>
          <w:sz w:val="16"/>
          <w:szCs w:val="16"/>
        </w:rPr>
        <w:t xml:space="preserve"> </w:t>
      </w:r>
      <w:hyperlink r:id="rId3" w:history="1">
        <w:r w:rsidR="00F609DA" w:rsidRPr="00D83001">
          <w:rPr>
            <w:rStyle w:val="Hipercze"/>
            <w:rFonts w:cstheme="minorBidi"/>
            <w:sz w:val="16"/>
            <w:szCs w:val="16"/>
          </w:rPr>
          <w:t>http://ec.europa.eu/economy_finance/publications/european_economy/ageing_report/index_en.htm</w:t>
        </w:r>
      </w:hyperlink>
      <w:r w:rsidR="00F609DA">
        <w:rPr>
          <w:sz w:val="16"/>
          <w:szCs w:val="16"/>
        </w:rPr>
        <w:t xml:space="preserve"> </w:t>
      </w:r>
    </w:p>
  </w:footnote>
  <w:footnote w:id="5">
    <w:p w14:paraId="20D21327" w14:textId="77777777" w:rsidR="009E1350" w:rsidRPr="00D52091" w:rsidRDefault="009E1350" w:rsidP="009E1350">
      <w:pPr>
        <w:jc w:val="both"/>
      </w:pPr>
      <w:r>
        <w:rPr>
          <w:rStyle w:val="Odwoanieprzypisudolnego"/>
        </w:rPr>
        <w:footnoteRef/>
      </w:r>
      <w:r>
        <w:t xml:space="preserve"> </w:t>
      </w:r>
      <w:r w:rsidRPr="00D52091">
        <w:t>Renty są uwzględniane w tablicy uzupełniającej, jeżeli stanowią integralną część systemu emerytalnego.</w:t>
      </w:r>
    </w:p>
    <w:p w14:paraId="36358800" w14:textId="77777777" w:rsidR="009E1350" w:rsidRDefault="009E1350" w:rsidP="009E1350">
      <w:pPr>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6B602" w14:textId="77777777" w:rsidR="00EB244C" w:rsidRDefault="00EB244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1B694"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2844F569" wp14:editId="066881BE">
              <wp:simplePos x="0" y="0"/>
              <wp:positionH relativeFrom="page">
                <wp:align>right</wp:align>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2A897" id="Prostokąt 24" o:spid="_x0000_s1026" style="position:absolute;margin-left:96.4pt;margin-top:-14.0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" fillcolor="#d8d8d8 [2732]" stroked="f" strokeweight="1pt">
              <w10:wrap anchorx="page"/>
            </v:rect>
          </w:pict>
        </mc:Fallback>
      </mc:AlternateContent>
    </w:r>
  </w:p>
  <w:p w14:paraId="28C617BF" w14:textId="77777777" w:rsidR="000662E2" w:rsidRDefault="000662E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DFCCE" w14:textId="3BEA6C38" w:rsidR="00003437" w:rsidRDefault="00057A28">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0239EFEF" wp14:editId="475E59CE">
              <wp:simplePos x="0" y="0"/>
              <wp:positionH relativeFrom="column">
                <wp:posOffset>5219065</wp:posOffset>
              </wp:positionH>
              <wp:positionV relativeFrom="paragraph">
                <wp:posOffset>554990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DB94" id="Prostokąt 10" o:spid="_x0000_s1026" style="position:absolute;margin-left:410.95pt;margin-top:43.7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" fillcolor="#d8d8d8 [2732]" stroked="f" strokeweight="1pt">
              <w10:wrap type="tight"/>
            </v:rect>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044E8184" wp14:editId="52CB498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C67DB"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E8184" id="Schemat blokowy: opóźnienie 6" o:spid="_x0000_s1037"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15C67DB"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sidR="009A5162">
      <w:rPr>
        <w:noProof/>
        <w:lang w:eastAsia="pl-PL"/>
      </w:rPr>
      <w:drawing>
        <wp:inline distT="0" distB="0" distL="0" distR="0" wp14:anchorId="7AF379B7" wp14:editId="13804BD8">
          <wp:extent cx="2286000" cy="74358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43585"/>
                  </a:xfrm>
                  <a:prstGeom prst="rect">
                    <a:avLst/>
                  </a:prstGeom>
                  <a:noFill/>
                </pic:spPr>
              </pic:pic>
            </a:graphicData>
          </a:graphic>
        </wp:inline>
      </w:drawing>
    </w:r>
  </w:p>
  <w:p w14:paraId="50081A1D"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2A5F5A" wp14:editId="23990A64">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4B89836" w14:textId="58EA1322" w:rsidR="00F37172" w:rsidRPr="00C97596" w:rsidRDefault="0090399D" w:rsidP="00F37172">
                          <w:pPr>
                            <w:jc w:val="both"/>
                            <w:rPr>
                              <w:rFonts w:ascii="Fira Sans SemiBold" w:hAnsi="Fira Sans SemiBold"/>
                              <w:color w:val="001D77"/>
                            </w:rPr>
                          </w:pPr>
                          <w:r>
                            <w:rPr>
                              <w:rFonts w:ascii="Fira Sans SemiBold" w:hAnsi="Fira Sans SemiBold"/>
                              <w:color w:val="001D77"/>
                            </w:rPr>
                            <w:t>20</w:t>
                          </w:r>
                          <w:r w:rsidR="00885D71">
                            <w:rPr>
                              <w:rFonts w:ascii="Fira Sans SemiBold" w:hAnsi="Fira Sans SemiBold"/>
                              <w:color w:val="001D77"/>
                            </w:rPr>
                            <w:t>.</w:t>
                          </w:r>
                          <w:r>
                            <w:rPr>
                              <w:rFonts w:ascii="Fira Sans SemiBold" w:hAnsi="Fira Sans SemiBold"/>
                              <w:color w:val="001D77"/>
                            </w:rPr>
                            <w:t>04</w:t>
                          </w:r>
                          <w:r w:rsidR="00A810F9">
                            <w:rPr>
                              <w:rFonts w:ascii="Fira Sans SemiBold" w:hAnsi="Fira Sans SemiBold"/>
                              <w:color w:val="001D77"/>
                            </w:rPr>
                            <w:t>.</w:t>
                          </w:r>
                          <w:r w:rsidR="007C5AEF">
                            <w:rPr>
                              <w:rFonts w:ascii="Fira Sans SemiBold" w:hAnsi="Fira Sans SemiBold"/>
                              <w:color w:val="001D77"/>
                            </w:rPr>
                            <w:t>2018</w:t>
                          </w:r>
                          <w:r w:rsidR="00F37172"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2A5F5A" id="_x0000_t202" coordsize="21600,21600" o:spt="202" path="m,l,21600r21600,l21600,xe">
              <v:stroke joinstyle="miter"/>
              <v:path gradientshapeok="t" o:connecttype="rect"/>
            </v:shapetype>
            <v:shape id="_x0000_s1038"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14:paraId="44B89836" w14:textId="58EA1322" w:rsidR="00F37172" w:rsidRPr="00C97596" w:rsidRDefault="0090399D" w:rsidP="00F37172">
                    <w:pPr>
                      <w:jc w:val="both"/>
                      <w:rPr>
                        <w:rFonts w:ascii="Fira Sans SemiBold" w:hAnsi="Fira Sans SemiBold"/>
                        <w:color w:val="001D77"/>
                      </w:rPr>
                    </w:pPr>
                    <w:r>
                      <w:rPr>
                        <w:rFonts w:ascii="Fira Sans SemiBold" w:hAnsi="Fira Sans SemiBold"/>
                        <w:color w:val="001D77"/>
                      </w:rPr>
                      <w:t>20</w:t>
                    </w:r>
                    <w:r w:rsidR="00885D71">
                      <w:rPr>
                        <w:rFonts w:ascii="Fira Sans SemiBold" w:hAnsi="Fira Sans SemiBold"/>
                        <w:color w:val="001D77"/>
                      </w:rPr>
                      <w:t>.</w:t>
                    </w:r>
                    <w:r>
                      <w:rPr>
                        <w:rFonts w:ascii="Fira Sans SemiBold" w:hAnsi="Fira Sans SemiBold"/>
                        <w:color w:val="001D77"/>
                      </w:rPr>
                      <w:t>04</w:t>
                    </w:r>
                    <w:r w:rsidR="00A810F9">
                      <w:rPr>
                        <w:rFonts w:ascii="Fira Sans SemiBold" w:hAnsi="Fira Sans SemiBold"/>
                        <w:color w:val="001D77"/>
                      </w:rPr>
                      <w:t>.</w:t>
                    </w:r>
                    <w:r w:rsidR="007C5AEF">
                      <w:rPr>
                        <w:rFonts w:ascii="Fira Sans SemiBold" w:hAnsi="Fira Sans SemiBold"/>
                        <w:color w:val="001D77"/>
                      </w:rPr>
                      <w:t>2018</w:t>
                    </w:r>
                    <w:r w:rsidR="00F37172" w:rsidRPr="00C97596">
                      <w:rPr>
                        <w:rFonts w:ascii="Fira Sans SemiBold" w:hAnsi="Fira Sans SemiBold"/>
                        <w:color w:val="001D77"/>
                      </w:rPr>
                      <w:t xml:space="preserve"> r.</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E3FCF" w14:textId="77777777" w:rsidR="00607CC5" w:rsidRDefault="00607CC5">
    <w:pPr>
      <w:pStyle w:val="Nagwek"/>
    </w:pPr>
  </w:p>
  <w:p w14:paraId="4142C7CF"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5.25pt;visibility:visible" o:bullet="t">
        <v:imagedata r:id="rId1" o:title=""/>
      </v:shape>
    </w:pict>
  </w:numPicBullet>
  <w:numPicBullet w:numPicBulletId="1">
    <w:pict>
      <v:shape id="_x0000_i1029" type="#_x0000_t75" style="width:124.5pt;height:125.25pt;visibility:visible" o:bullet="t">
        <v:imagedata r:id="rId2" o:title=""/>
      </v:shape>
    </w:pict>
  </w:numPicBullet>
  <w:abstractNum w:abstractNumId="0" w15:restartNumberingAfterBreak="0">
    <w:nsid w:val="02E3737B"/>
    <w:multiLevelType w:val="hybridMultilevel"/>
    <w:tmpl w:val="1B02603E"/>
    <w:lvl w:ilvl="0" w:tplc="F06E4FB4">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D20A99"/>
    <w:multiLevelType w:val="hybridMultilevel"/>
    <w:tmpl w:val="F5ECE9E2"/>
    <w:lvl w:ilvl="0" w:tplc="F06E4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DE40B6"/>
    <w:multiLevelType w:val="hybridMultilevel"/>
    <w:tmpl w:val="D7AEEF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6D37B3"/>
    <w:multiLevelType w:val="hybridMultilevel"/>
    <w:tmpl w:val="F498EBFC"/>
    <w:lvl w:ilvl="0" w:tplc="17CC6C62">
      <w:start w:val="1"/>
      <w:numFmt w:val="bullet"/>
      <w:lvlText w:val=""/>
      <w:lvlJc w:val="left"/>
      <w:pPr>
        <w:tabs>
          <w:tab w:val="num" w:pos="381"/>
        </w:tabs>
        <w:ind w:left="381" w:hanging="340"/>
      </w:pPr>
      <w:rPr>
        <w:rFonts w:ascii="Symbol" w:hAnsi="Symbol" w:hint="default"/>
        <w:color w:val="auto"/>
      </w:rPr>
    </w:lvl>
    <w:lvl w:ilvl="1" w:tplc="04150003" w:tentative="1">
      <w:start w:val="1"/>
      <w:numFmt w:val="bullet"/>
      <w:lvlText w:val="o"/>
      <w:lvlJc w:val="left"/>
      <w:pPr>
        <w:tabs>
          <w:tab w:val="num" w:pos="1481"/>
        </w:tabs>
        <w:ind w:left="1481" w:hanging="360"/>
      </w:pPr>
      <w:rPr>
        <w:rFonts w:ascii="Courier New" w:hAnsi="Courier New" w:hint="default"/>
      </w:rPr>
    </w:lvl>
    <w:lvl w:ilvl="2" w:tplc="04150005" w:tentative="1">
      <w:start w:val="1"/>
      <w:numFmt w:val="bullet"/>
      <w:lvlText w:val=""/>
      <w:lvlJc w:val="left"/>
      <w:pPr>
        <w:tabs>
          <w:tab w:val="num" w:pos="2201"/>
        </w:tabs>
        <w:ind w:left="2201" w:hanging="360"/>
      </w:pPr>
      <w:rPr>
        <w:rFonts w:ascii="Wingdings" w:hAnsi="Wingdings" w:hint="default"/>
      </w:rPr>
    </w:lvl>
    <w:lvl w:ilvl="3" w:tplc="04150001" w:tentative="1">
      <w:start w:val="1"/>
      <w:numFmt w:val="bullet"/>
      <w:lvlText w:val=""/>
      <w:lvlJc w:val="left"/>
      <w:pPr>
        <w:tabs>
          <w:tab w:val="num" w:pos="2921"/>
        </w:tabs>
        <w:ind w:left="2921" w:hanging="360"/>
      </w:pPr>
      <w:rPr>
        <w:rFonts w:ascii="Symbol" w:hAnsi="Symbol" w:hint="default"/>
      </w:rPr>
    </w:lvl>
    <w:lvl w:ilvl="4" w:tplc="04150003" w:tentative="1">
      <w:start w:val="1"/>
      <w:numFmt w:val="bullet"/>
      <w:lvlText w:val="o"/>
      <w:lvlJc w:val="left"/>
      <w:pPr>
        <w:tabs>
          <w:tab w:val="num" w:pos="3641"/>
        </w:tabs>
        <w:ind w:left="3641" w:hanging="360"/>
      </w:pPr>
      <w:rPr>
        <w:rFonts w:ascii="Courier New" w:hAnsi="Courier New" w:hint="default"/>
      </w:rPr>
    </w:lvl>
    <w:lvl w:ilvl="5" w:tplc="04150005" w:tentative="1">
      <w:start w:val="1"/>
      <w:numFmt w:val="bullet"/>
      <w:lvlText w:val=""/>
      <w:lvlJc w:val="left"/>
      <w:pPr>
        <w:tabs>
          <w:tab w:val="num" w:pos="4361"/>
        </w:tabs>
        <w:ind w:left="4361" w:hanging="360"/>
      </w:pPr>
      <w:rPr>
        <w:rFonts w:ascii="Wingdings" w:hAnsi="Wingdings" w:hint="default"/>
      </w:rPr>
    </w:lvl>
    <w:lvl w:ilvl="6" w:tplc="04150001" w:tentative="1">
      <w:start w:val="1"/>
      <w:numFmt w:val="bullet"/>
      <w:lvlText w:val=""/>
      <w:lvlJc w:val="left"/>
      <w:pPr>
        <w:tabs>
          <w:tab w:val="num" w:pos="5081"/>
        </w:tabs>
        <w:ind w:left="5081" w:hanging="360"/>
      </w:pPr>
      <w:rPr>
        <w:rFonts w:ascii="Symbol" w:hAnsi="Symbol" w:hint="default"/>
      </w:rPr>
    </w:lvl>
    <w:lvl w:ilvl="7" w:tplc="04150003" w:tentative="1">
      <w:start w:val="1"/>
      <w:numFmt w:val="bullet"/>
      <w:lvlText w:val="o"/>
      <w:lvlJc w:val="left"/>
      <w:pPr>
        <w:tabs>
          <w:tab w:val="num" w:pos="5801"/>
        </w:tabs>
        <w:ind w:left="5801" w:hanging="360"/>
      </w:pPr>
      <w:rPr>
        <w:rFonts w:ascii="Courier New" w:hAnsi="Courier New" w:hint="default"/>
      </w:rPr>
    </w:lvl>
    <w:lvl w:ilvl="8" w:tplc="04150005" w:tentative="1">
      <w:start w:val="1"/>
      <w:numFmt w:val="bullet"/>
      <w:lvlText w:val=""/>
      <w:lvlJc w:val="left"/>
      <w:pPr>
        <w:tabs>
          <w:tab w:val="num" w:pos="6521"/>
        </w:tabs>
        <w:ind w:left="6521" w:hanging="360"/>
      </w:pPr>
      <w:rPr>
        <w:rFonts w:ascii="Wingdings" w:hAnsi="Wingding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2714863"/>
    <w:multiLevelType w:val="hybridMultilevel"/>
    <w:tmpl w:val="6A1AD7AE"/>
    <w:lvl w:ilvl="0" w:tplc="F06E4F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26D7F3C"/>
    <w:multiLevelType w:val="hybridMultilevel"/>
    <w:tmpl w:val="F48A096E"/>
    <w:lvl w:ilvl="0" w:tplc="04150001">
      <w:start w:val="1"/>
      <w:numFmt w:val="bullet"/>
      <w:lvlText w:val=""/>
      <w:lvlJc w:val="left"/>
      <w:pPr>
        <w:ind w:left="760" w:hanging="360"/>
      </w:pPr>
      <w:rPr>
        <w:rFonts w:ascii="Symbol" w:hAnsi="Symbol"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8" w15:restartNumberingAfterBreak="0">
    <w:nsid w:val="4F164F32"/>
    <w:multiLevelType w:val="hybridMultilevel"/>
    <w:tmpl w:val="0A5E1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8394353"/>
    <w:multiLevelType w:val="multilevel"/>
    <w:tmpl w:val="D7AEE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CF0AEE"/>
    <w:multiLevelType w:val="hybridMultilevel"/>
    <w:tmpl w:val="89B8E8CA"/>
    <w:lvl w:ilvl="0" w:tplc="A4803DC2">
      <w:numFmt w:val="bullet"/>
      <w:lvlText w:val="•"/>
      <w:lvlJc w:val="left"/>
      <w:pPr>
        <w:ind w:left="720" w:hanging="360"/>
      </w:pPr>
      <w:rPr>
        <w:rFonts w:ascii="Fira Sans" w:eastAsiaTheme="minorHAnsi" w:hAnsi="Fira Sans"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8"/>
  </w:num>
  <w:num w:numId="6">
    <w:abstractNumId w:val="10"/>
  </w:num>
  <w:num w:numId="7">
    <w:abstractNumId w:val="6"/>
  </w:num>
  <w:num w:numId="8">
    <w:abstractNumId w:val="1"/>
  </w:num>
  <w:num w:numId="9">
    <w:abstractNumId w:val="2"/>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166E0"/>
    <w:rsid w:val="0001799F"/>
    <w:rsid w:val="0003785A"/>
    <w:rsid w:val="0004582E"/>
    <w:rsid w:val="000470AA"/>
    <w:rsid w:val="00052F16"/>
    <w:rsid w:val="00057715"/>
    <w:rsid w:val="00057A28"/>
    <w:rsid w:val="00057B03"/>
    <w:rsid w:val="00057CA1"/>
    <w:rsid w:val="00062FB3"/>
    <w:rsid w:val="000662E2"/>
    <w:rsid w:val="00066883"/>
    <w:rsid w:val="000731C7"/>
    <w:rsid w:val="00074DD8"/>
    <w:rsid w:val="000806F7"/>
    <w:rsid w:val="0008114A"/>
    <w:rsid w:val="0009213C"/>
    <w:rsid w:val="00094689"/>
    <w:rsid w:val="000A5BA0"/>
    <w:rsid w:val="000B0727"/>
    <w:rsid w:val="000C135D"/>
    <w:rsid w:val="000C66F1"/>
    <w:rsid w:val="000D13D0"/>
    <w:rsid w:val="000D1D43"/>
    <w:rsid w:val="000D225C"/>
    <w:rsid w:val="000D2A5C"/>
    <w:rsid w:val="000D4706"/>
    <w:rsid w:val="000E0918"/>
    <w:rsid w:val="000E6618"/>
    <w:rsid w:val="001011C3"/>
    <w:rsid w:val="001036E7"/>
    <w:rsid w:val="00110D87"/>
    <w:rsid w:val="00114DB9"/>
    <w:rsid w:val="00116087"/>
    <w:rsid w:val="0011642E"/>
    <w:rsid w:val="00130296"/>
    <w:rsid w:val="00131434"/>
    <w:rsid w:val="0013460B"/>
    <w:rsid w:val="001423B6"/>
    <w:rsid w:val="00142BEB"/>
    <w:rsid w:val="00142CA9"/>
    <w:rsid w:val="001448A7"/>
    <w:rsid w:val="00146621"/>
    <w:rsid w:val="00150F10"/>
    <w:rsid w:val="00152273"/>
    <w:rsid w:val="001542BB"/>
    <w:rsid w:val="00162325"/>
    <w:rsid w:val="00184825"/>
    <w:rsid w:val="00193C61"/>
    <w:rsid w:val="001951DA"/>
    <w:rsid w:val="001B6F2F"/>
    <w:rsid w:val="001C3269"/>
    <w:rsid w:val="001C50D0"/>
    <w:rsid w:val="001D1DB4"/>
    <w:rsid w:val="001E58DC"/>
    <w:rsid w:val="001F0374"/>
    <w:rsid w:val="0020237D"/>
    <w:rsid w:val="002046D1"/>
    <w:rsid w:val="00207939"/>
    <w:rsid w:val="00213C80"/>
    <w:rsid w:val="00217CB4"/>
    <w:rsid w:val="0023016F"/>
    <w:rsid w:val="0023558F"/>
    <w:rsid w:val="00242C16"/>
    <w:rsid w:val="00257081"/>
    <w:rsid w:val="002574F9"/>
    <w:rsid w:val="00261E2B"/>
    <w:rsid w:val="00262883"/>
    <w:rsid w:val="0027324A"/>
    <w:rsid w:val="00276811"/>
    <w:rsid w:val="00280C0E"/>
    <w:rsid w:val="00282699"/>
    <w:rsid w:val="002926DF"/>
    <w:rsid w:val="0029469C"/>
    <w:rsid w:val="00296697"/>
    <w:rsid w:val="002A10C7"/>
    <w:rsid w:val="002B0472"/>
    <w:rsid w:val="002B6B12"/>
    <w:rsid w:val="002E0C25"/>
    <w:rsid w:val="002E6140"/>
    <w:rsid w:val="002E6985"/>
    <w:rsid w:val="002E7067"/>
    <w:rsid w:val="002E71B6"/>
    <w:rsid w:val="002E7794"/>
    <w:rsid w:val="002F002E"/>
    <w:rsid w:val="002F358E"/>
    <w:rsid w:val="002F77C8"/>
    <w:rsid w:val="00304F22"/>
    <w:rsid w:val="00306C7C"/>
    <w:rsid w:val="00315198"/>
    <w:rsid w:val="00322EDD"/>
    <w:rsid w:val="00325FEE"/>
    <w:rsid w:val="00332320"/>
    <w:rsid w:val="003344B0"/>
    <w:rsid w:val="00347D72"/>
    <w:rsid w:val="003533AD"/>
    <w:rsid w:val="00357611"/>
    <w:rsid w:val="00367237"/>
    <w:rsid w:val="0037077F"/>
    <w:rsid w:val="00373882"/>
    <w:rsid w:val="0038292F"/>
    <w:rsid w:val="003843DB"/>
    <w:rsid w:val="00384C5B"/>
    <w:rsid w:val="003911D9"/>
    <w:rsid w:val="003932E3"/>
    <w:rsid w:val="00393761"/>
    <w:rsid w:val="00397D18"/>
    <w:rsid w:val="003A04E9"/>
    <w:rsid w:val="003A1B36"/>
    <w:rsid w:val="003A35BE"/>
    <w:rsid w:val="003B1454"/>
    <w:rsid w:val="003B558A"/>
    <w:rsid w:val="003C59E0"/>
    <w:rsid w:val="003C6C8D"/>
    <w:rsid w:val="003D085D"/>
    <w:rsid w:val="003D4ACF"/>
    <w:rsid w:val="003D4F95"/>
    <w:rsid w:val="003D5F42"/>
    <w:rsid w:val="003D60A9"/>
    <w:rsid w:val="003E4FD0"/>
    <w:rsid w:val="003F4C97"/>
    <w:rsid w:val="003F7FE6"/>
    <w:rsid w:val="00400193"/>
    <w:rsid w:val="00417F49"/>
    <w:rsid w:val="004212E7"/>
    <w:rsid w:val="0042254A"/>
    <w:rsid w:val="0042446D"/>
    <w:rsid w:val="00427BF8"/>
    <w:rsid w:val="00431C02"/>
    <w:rsid w:val="00431D53"/>
    <w:rsid w:val="00437395"/>
    <w:rsid w:val="00437611"/>
    <w:rsid w:val="00445047"/>
    <w:rsid w:val="00447D98"/>
    <w:rsid w:val="00452F61"/>
    <w:rsid w:val="004558C0"/>
    <w:rsid w:val="0045672C"/>
    <w:rsid w:val="00463217"/>
    <w:rsid w:val="00463E39"/>
    <w:rsid w:val="004657FC"/>
    <w:rsid w:val="004662CA"/>
    <w:rsid w:val="004733F6"/>
    <w:rsid w:val="00474E69"/>
    <w:rsid w:val="0047519D"/>
    <w:rsid w:val="00485881"/>
    <w:rsid w:val="0049158F"/>
    <w:rsid w:val="004916D2"/>
    <w:rsid w:val="0049621B"/>
    <w:rsid w:val="004A36DB"/>
    <w:rsid w:val="004A6C00"/>
    <w:rsid w:val="004B72BE"/>
    <w:rsid w:val="004C1895"/>
    <w:rsid w:val="004C6D40"/>
    <w:rsid w:val="004D37DF"/>
    <w:rsid w:val="004D3B7C"/>
    <w:rsid w:val="004D5717"/>
    <w:rsid w:val="004E36D9"/>
    <w:rsid w:val="004E5344"/>
    <w:rsid w:val="004E7071"/>
    <w:rsid w:val="004F0C3C"/>
    <w:rsid w:val="004F21EE"/>
    <w:rsid w:val="004F63FC"/>
    <w:rsid w:val="005026F8"/>
    <w:rsid w:val="00503915"/>
    <w:rsid w:val="00505A92"/>
    <w:rsid w:val="0050740C"/>
    <w:rsid w:val="005203F1"/>
    <w:rsid w:val="00521BC3"/>
    <w:rsid w:val="00522589"/>
    <w:rsid w:val="00530DD6"/>
    <w:rsid w:val="00533632"/>
    <w:rsid w:val="0054251F"/>
    <w:rsid w:val="00550618"/>
    <w:rsid w:val="005520D8"/>
    <w:rsid w:val="00556CF1"/>
    <w:rsid w:val="00572E91"/>
    <w:rsid w:val="00573986"/>
    <w:rsid w:val="005762A7"/>
    <w:rsid w:val="0058351E"/>
    <w:rsid w:val="005916D7"/>
    <w:rsid w:val="005930C9"/>
    <w:rsid w:val="005A03F0"/>
    <w:rsid w:val="005A08BA"/>
    <w:rsid w:val="005A698C"/>
    <w:rsid w:val="005B25B7"/>
    <w:rsid w:val="005C49AF"/>
    <w:rsid w:val="005D0DDF"/>
    <w:rsid w:val="005D2A63"/>
    <w:rsid w:val="005E0799"/>
    <w:rsid w:val="005E17D4"/>
    <w:rsid w:val="005F5A80"/>
    <w:rsid w:val="006044FF"/>
    <w:rsid w:val="00607CC5"/>
    <w:rsid w:val="00616189"/>
    <w:rsid w:val="006166D3"/>
    <w:rsid w:val="00624080"/>
    <w:rsid w:val="006247A9"/>
    <w:rsid w:val="0062679A"/>
    <w:rsid w:val="00633014"/>
    <w:rsid w:val="00633E9B"/>
    <w:rsid w:val="0063437B"/>
    <w:rsid w:val="00651FB5"/>
    <w:rsid w:val="0065389A"/>
    <w:rsid w:val="0066199A"/>
    <w:rsid w:val="0066295B"/>
    <w:rsid w:val="006673CA"/>
    <w:rsid w:val="00673C26"/>
    <w:rsid w:val="0067405C"/>
    <w:rsid w:val="00677E9A"/>
    <w:rsid w:val="006812AF"/>
    <w:rsid w:val="00682133"/>
    <w:rsid w:val="0068327D"/>
    <w:rsid w:val="00690893"/>
    <w:rsid w:val="00694AF0"/>
    <w:rsid w:val="00695441"/>
    <w:rsid w:val="00695E23"/>
    <w:rsid w:val="006A22DA"/>
    <w:rsid w:val="006B0E9E"/>
    <w:rsid w:val="006B157F"/>
    <w:rsid w:val="006B5AE4"/>
    <w:rsid w:val="006D2E71"/>
    <w:rsid w:val="006D3E99"/>
    <w:rsid w:val="006D4054"/>
    <w:rsid w:val="006D49AB"/>
    <w:rsid w:val="006E02EC"/>
    <w:rsid w:val="006F4D83"/>
    <w:rsid w:val="0072064B"/>
    <w:rsid w:val="007211B1"/>
    <w:rsid w:val="00726865"/>
    <w:rsid w:val="00735720"/>
    <w:rsid w:val="007446BA"/>
    <w:rsid w:val="00746187"/>
    <w:rsid w:val="00747BF9"/>
    <w:rsid w:val="0076254F"/>
    <w:rsid w:val="00766061"/>
    <w:rsid w:val="00775E22"/>
    <w:rsid w:val="007801F5"/>
    <w:rsid w:val="00782806"/>
    <w:rsid w:val="00783CA4"/>
    <w:rsid w:val="007842FB"/>
    <w:rsid w:val="00786124"/>
    <w:rsid w:val="0079514B"/>
    <w:rsid w:val="00795F93"/>
    <w:rsid w:val="007A2DC1"/>
    <w:rsid w:val="007A4EF4"/>
    <w:rsid w:val="007A7832"/>
    <w:rsid w:val="007C2125"/>
    <w:rsid w:val="007C5AEF"/>
    <w:rsid w:val="007D3319"/>
    <w:rsid w:val="007D335D"/>
    <w:rsid w:val="007D544C"/>
    <w:rsid w:val="007E1968"/>
    <w:rsid w:val="007E3314"/>
    <w:rsid w:val="007E4B03"/>
    <w:rsid w:val="007E7070"/>
    <w:rsid w:val="007F324B"/>
    <w:rsid w:val="007F3DAC"/>
    <w:rsid w:val="007F3E86"/>
    <w:rsid w:val="0080553C"/>
    <w:rsid w:val="00805B46"/>
    <w:rsid w:val="00807A5D"/>
    <w:rsid w:val="00816D10"/>
    <w:rsid w:val="00825DC2"/>
    <w:rsid w:val="00827F90"/>
    <w:rsid w:val="00832A83"/>
    <w:rsid w:val="00834AD3"/>
    <w:rsid w:val="00843795"/>
    <w:rsid w:val="00845240"/>
    <w:rsid w:val="00845B42"/>
    <w:rsid w:val="00847F0F"/>
    <w:rsid w:val="00852448"/>
    <w:rsid w:val="00861BE2"/>
    <w:rsid w:val="00865B9E"/>
    <w:rsid w:val="00881B17"/>
    <w:rsid w:val="0088258A"/>
    <w:rsid w:val="00885D71"/>
    <w:rsid w:val="00886332"/>
    <w:rsid w:val="008A05A9"/>
    <w:rsid w:val="008A26D9"/>
    <w:rsid w:val="008A4FDE"/>
    <w:rsid w:val="008B0038"/>
    <w:rsid w:val="008B1E16"/>
    <w:rsid w:val="008B5A4B"/>
    <w:rsid w:val="008C0C29"/>
    <w:rsid w:val="008D6E0D"/>
    <w:rsid w:val="008F1558"/>
    <w:rsid w:val="008F3638"/>
    <w:rsid w:val="008F6F31"/>
    <w:rsid w:val="008F74DF"/>
    <w:rsid w:val="009007DB"/>
    <w:rsid w:val="00902613"/>
    <w:rsid w:val="0090399D"/>
    <w:rsid w:val="009127BA"/>
    <w:rsid w:val="00917AAF"/>
    <w:rsid w:val="009227A6"/>
    <w:rsid w:val="009228BD"/>
    <w:rsid w:val="00924A53"/>
    <w:rsid w:val="00926079"/>
    <w:rsid w:val="0093094E"/>
    <w:rsid w:val="00933EC1"/>
    <w:rsid w:val="009530DB"/>
    <w:rsid w:val="00953676"/>
    <w:rsid w:val="00961F1B"/>
    <w:rsid w:val="009676F2"/>
    <w:rsid w:val="009705EE"/>
    <w:rsid w:val="00977927"/>
    <w:rsid w:val="0098135C"/>
    <w:rsid w:val="0098156A"/>
    <w:rsid w:val="00981C8D"/>
    <w:rsid w:val="00991BAC"/>
    <w:rsid w:val="009940B4"/>
    <w:rsid w:val="00996CD1"/>
    <w:rsid w:val="009A0715"/>
    <w:rsid w:val="009A1B90"/>
    <w:rsid w:val="009A298F"/>
    <w:rsid w:val="009A5162"/>
    <w:rsid w:val="009A6864"/>
    <w:rsid w:val="009A6EA0"/>
    <w:rsid w:val="009B5B79"/>
    <w:rsid w:val="009C113C"/>
    <w:rsid w:val="009C1335"/>
    <w:rsid w:val="009C1AB2"/>
    <w:rsid w:val="009C7251"/>
    <w:rsid w:val="009E1350"/>
    <w:rsid w:val="009E2E91"/>
    <w:rsid w:val="00A075F1"/>
    <w:rsid w:val="00A139F5"/>
    <w:rsid w:val="00A144EF"/>
    <w:rsid w:val="00A27D0E"/>
    <w:rsid w:val="00A301B2"/>
    <w:rsid w:val="00A32A01"/>
    <w:rsid w:val="00A32D05"/>
    <w:rsid w:val="00A334DB"/>
    <w:rsid w:val="00A337E2"/>
    <w:rsid w:val="00A365F4"/>
    <w:rsid w:val="00A45942"/>
    <w:rsid w:val="00A47D80"/>
    <w:rsid w:val="00A53132"/>
    <w:rsid w:val="00A563F2"/>
    <w:rsid w:val="00A566E8"/>
    <w:rsid w:val="00A6429F"/>
    <w:rsid w:val="00A67688"/>
    <w:rsid w:val="00A810F9"/>
    <w:rsid w:val="00A8559D"/>
    <w:rsid w:val="00A86ECC"/>
    <w:rsid w:val="00A86FCC"/>
    <w:rsid w:val="00AA2CE0"/>
    <w:rsid w:val="00AA710D"/>
    <w:rsid w:val="00AB317B"/>
    <w:rsid w:val="00AB6D25"/>
    <w:rsid w:val="00AC6A4B"/>
    <w:rsid w:val="00AD0B81"/>
    <w:rsid w:val="00AE1478"/>
    <w:rsid w:val="00AE1BEE"/>
    <w:rsid w:val="00AE2D4B"/>
    <w:rsid w:val="00AE4F99"/>
    <w:rsid w:val="00AE6530"/>
    <w:rsid w:val="00AE7699"/>
    <w:rsid w:val="00AF0A5D"/>
    <w:rsid w:val="00AF13AB"/>
    <w:rsid w:val="00AF17ED"/>
    <w:rsid w:val="00AF7583"/>
    <w:rsid w:val="00B119FA"/>
    <w:rsid w:val="00B14952"/>
    <w:rsid w:val="00B170D5"/>
    <w:rsid w:val="00B200BF"/>
    <w:rsid w:val="00B258CC"/>
    <w:rsid w:val="00B2679E"/>
    <w:rsid w:val="00B31E5A"/>
    <w:rsid w:val="00B45CB8"/>
    <w:rsid w:val="00B63DC1"/>
    <w:rsid w:val="00B653AB"/>
    <w:rsid w:val="00B65F9E"/>
    <w:rsid w:val="00B66928"/>
    <w:rsid w:val="00B66B19"/>
    <w:rsid w:val="00B914E9"/>
    <w:rsid w:val="00B92A17"/>
    <w:rsid w:val="00B956EE"/>
    <w:rsid w:val="00BA2BA1"/>
    <w:rsid w:val="00BB0128"/>
    <w:rsid w:val="00BB0169"/>
    <w:rsid w:val="00BB18E8"/>
    <w:rsid w:val="00BB4F09"/>
    <w:rsid w:val="00BB52BF"/>
    <w:rsid w:val="00BC6DC1"/>
    <w:rsid w:val="00BD3D40"/>
    <w:rsid w:val="00BD4289"/>
    <w:rsid w:val="00BD4E33"/>
    <w:rsid w:val="00BE2DE5"/>
    <w:rsid w:val="00BF1B79"/>
    <w:rsid w:val="00C030DE"/>
    <w:rsid w:val="00C04CF9"/>
    <w:rsid w:val="00C0620F"/>
    <w:rsid w:val="00C07A6A"/>
    <w:rsid w:val="00C10066"/>
    <w:rsid w:val="00C14A02"/>
    <w:rsid w:val="00C22105"/>
    <w:rsid w:val="00C244B6"/>
    <w:rsid w:val="00C2597B"/>
    <w:rsid w:val="00C30D2E"/>
    <w:rsid w:val="00C36067"/>
    <w:rsid w:val="00C3702F"/>
    <w:rsid w:val="00C5122A"/>
    <w:rsid w:val="00C5160D"/>
    <w:rsid w:val="00C5794F"/>
    <w:rsid w:val="00C6453E"/>
    <w:rsid w:val="00C64A37"/>
    <w:rsid w:val="00C7158E"/>
    <w:rsid w:val="00C7250B"/>
    <w:rsid w:val="00C7346B"/>
    <w:rsid w:val="00C774B6"/>
    <w:rsid w:val="00C77C0E"/>
    <w:rsid w:val="00C836A8"/>
    <w:rsid w:val="00C85C79"/>
    <w:rsid w:val="00C91687"/>
    <w:rsid w:val="00C924A8"/>
    <w:rsid w:val="00C945FE"/>
    <w:rsid w:val="00C96FAA"/>
    <w:rsid w:val="00C97A04"/>
    <w:rsid w:val="00CA107B"/>
    <w:rsid w:val="00CA484D"/>
    <w:rsid w:val="00CC5264"/>
    <w:rsid w:val="00CC739E"/>
    <w:rsid w:val="00CD45F7"/>
    <w:rsid w:val="00CD493A"/>
    <w:rsid w:val="00CD58B7"/>
    <w:rsid w:val="00CD7155"/>
    <w:rsid w:val="00CE720D"/>
    <w:rsid w:val="00CF4099"/>
    <w:rsid w:val="00D00796"/>
    <w:rsid w:val="00D2357A"/>
    <w:rsid w:val="00D24BA1"/>
    <w:rsid w:val="00D261A2"/>
    <w:rsid w:val="00D31223"/>
    <w:rsid w:val="00D40CCB"/>
    <w:rsid w:val="00D54A72"/>
    <w:rsid w:val="00D616D2"/>
    <w:rsid w:val="00D63B5F"/>
    <w:rsid w:val="00D66CC7"/>
    <w:rsid w:val="00D70EF7"/>
    <w:rsid w:val="00D753E3"/>
    <w:rsid w:val="00D8397C"/>
    <w:rsid w:val="00D94EED"/>
    <w:rsid w:val="00D96026"/>
    <w:rsid w:val="00D97005"/>
    <w:rsid w:val="00DA12B4"/>
    <w:rsid w:val="00DA7C1C"/>
    <w:rsid w:val="00DB147A"/>
    <w:rsid w:val="00DB1B7A"/>
    <w:rsid w:val="00DB24F1"/>
    <w:rsid w:val="00DB3B08"/>
    <w:rsid w:val="00DB42D7"/>
    <w:rsid w:val="00DB562E"/>
    <w:rsid w:val="00DB6482"/>
    <w:rsid w:val="00DC2623"/>
    <w:rsid w:val="00DC6708"/>
    <w:rsid w:val="00DD244D"/>
    <w:rsid w:val="00DD2C1C"/>
    <w:rsid w:val="00DE47E3"/>
    <w:rsid w:val="00DE5FD4"/>
    <w:rsid w:val="00DF6B99"/>
    <w:rsid w:val="00E00952"/>
    <w:rsid w:val="00E01436"/>
    <w:rsid w:val="00E045BD"/>
    <w:rsid w:val="00E11AEE"/>
    <w:rsid w:val="00E17B77"/>
    <w:rsid w:val="00E23337"/>
    <w:rsid w:val="00E259EA"/>
    <w:rsid w:val="00E25FC7"/>
    <w:rsid w:val="00E32061"/>
    <w:rsid w:val="00E330A1"/>
    <w:rsid w:val="00E33C2D"/>
    <w:rsid w:val="00E42FF9"/>
    <w:rsid w:val="00E4714C"/>
    <w:rsid w:val="00E51AEB"/>
    <w:rsid w:val="00E522A7"/>
    <w:rsid w:val="00E54452"/>
    <w:rsid w:val="00E60266"/>
    <w:rsid w:val="00E664C5"/>
    <w:rsid w:val="00E671A2"/>
    <w:rsid w:val="00E76D26"/>
    <w:rsid w:val="00E816C9"/>
    <w:rsid w:val="00E82CD8"/>
    <w:rsid w:val="00EA6C40"/>
    <w:rsid w:val="00EA76C4"/>
    <w:rsid w:val="00EB1390"/>
    <w:rsid w:val="00EB244C"/>
    <w:rsid w:val="00EB2C71"/>
    <w:rsid w:val="00EB4340"/>
    <w:rsid w:val="00EB4BF6"/>
    <w:rsid w:val="00EB556D"/>
    <w:rsid w:val="00EB5955"/>
    <w:rsid w:val="00EB5A7D"/>
    <w:rsid w:val="00ED3432"/>
    <w:rsid w:val="00ED55C0"/>
    <w:rsid w:val="00ED682B"/>
    <w:rsid w:val="00ED73E7"/>
    <w:rsid w:val="00EE41D5"/>
    <w:rsid w:val="00F006DC"/>
    <w:rsid w:val="00F037A4"/>
    <w:rsid w:val="00F06B8D"/>
    <w:rsid w:val="00F17DA1"/>
    <w:rsid w:val="00F228AE"/>
    <w:rsid w:val="00F23865"/>
    <w:rsid w:val="00F27C8F"/>
    <w:rsid w:val="00F32749"/>
    <w:rsid w:val="00F37172"/>
    <w:rsid w:val="00F417B1"/>
    <w:rsid w:val="00F437E1"/>
    <w:rsid w:val="00F4477E"/>
    <w:rsid w:val="00F53584"/>
    <w:rsid w:val="00F561A3"/>
    <w:rsid w:val="00F609DA"/>
    <w:rsid w:val="00F67D8F"/>
    <w:rsid w:val="00F728FF"/>
    <w:rsid w:val="00F75026"/>
    <w:rsid w:val="00F802BE"/>
    <w:rsid w:val="00F86024"/>
    <w:rsid w:val="00F8611A"/>
    <w:rsid w:val="00F92945"/>
    <w:rsid w:val="00FA5128"/>
    <w:rsid w:val="00FB42D4"/>
    <w:rsid w:val="00FB5906"/>
    <w:rsid w:val="00FB762F"/>
    <w:rsid w:val="00FC2AED"/>
    <w:rsid w:val="00FC2C67"/>
    <w:rsid w:val="00FC4846"/>
    <w:rsid w:val="00FD0C1E"/>
    <w:rsid w:val="00FD37CD"/>
    <w:rsid w:val="00FD5EA7"/>
    <w:rsid w:val="00FF1FB2"/>
    <w:rsid w:val="00FF756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5A510"/>
  <w15:chartTrackingRefBased/>
  <w15:docId w15:val="{EEC7C93A-3615-45F4-BDD3-F4FB6EE7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uiPriority w:val="99"/>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uiPriority w:val="99"/>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695E23"/>
    <w:rPr>
      <w:color w:val="954F72" w:themeColor="followedHyperlink"/>
      <w:u w:val="single"/>
    </w:rPr>
  </w:style>
  <w:style w:type="paragraph" w:customStyle="1" w:styleId="CM19">
    <w:name w:val="CM1+9"/>
    <w:basedOn w:val="Normalny"/>
    <w:next w:val="Normalny"/>
    <w:uiPriority w:val="99"/>
    <w:rsid w:val="009E1350"/>
    <w:pPr>
      <w:autoSpaceDE w:val="0"/>
      <w:autoSpaceDN w:val="0"/>
      <w:adjustRightInd w:val="0"/>
      <w:spacing w:before="200" w:after="200" w:line="240" w:lineRule="auto"/>
    </w:pPr>
    <w:rPr>
      <w:rFonts w:ascii="EUAlbertina" w:eastAsia="Times New Roman" w:hAnsi="EUAlbertina" w:cs="Times New Roman"/>
      <w:sz w:val="24"/>
      <w:szCs w:val="24"/>
      <w:lang w:eastAsia="pl-PL"/>
    </w:rPr>
  </w:style>
  <w:style w:type="character" w:styleId="Odwoaniedokomentarza">
    <w:name w:val="annotation reference"/>
    <w:basedOn w:val="Domylnaczcionkaakapitu"/>
    <w:uiPriority w:val="99"/>
    <w:rsid w:val="002F002E"/>
    <w:rPr>
      <w:rFonts w:cs="Times New Roman"/>
      <w:sz w:val="16"/>
    </w:rPr>
  </w:style>
  <w:style w:type="paragraph" w:styleId="Tekstkomentarza">
    <w:name w:val="annotation text"/>
    <w:basedOn w:val="Normalny"/>
    <w:link w:val="TekstkomentarzaZnak"/>
    <w:uiPriority w:val="99"/>
    <w:rsid w:val="002F002E"/>
    <w:rPr>
      <w:rFonts w:eastAsia="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2F002E"/>
    <w:rPr>
      <w:rFonts w:ascii="Fira Sans" w:eastAsia="Times New Roman" w:hAnsi="Fira Sans"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6199A"/>
    <w:pPr>
      <w:spacing w:line="240" w:lineRule="auto"/>
    </w:pPr>
    <w:rPr>
      <w:rFonts w:eastAsiaTheme="minorHAnsi" w:cstheme="minorBidi"/>
      <w:b/>
      <w:bCs/>
      <w:lang w:eastAsia="en-US"/>
    </w:rPr>
  </w:style>
  <w:style w:type="character" w:customStyle="1" w:styleId="TematkomentarzaZnak">
    <w:name w:val="Temat komentarza Znak"/>
    <w:basedOn w:val="TekstkomentarzaZnak"/>
    <w:link w:val="Tematkomentarza"/>
    <w:uiPriority w:val="99"/>
    <w:semiHidden/>
    <w:rsid w:val="0066199A"/>
    <w:rPr>
      <w:rFonts w:ascii="Fira Sans" w:eastAsia="Times New Roman" w:hAnsi="Fira Sans"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6379202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ec.europa.eu/eurostat/web/products-manuals-and-guidelines/-/KS-RA-11-027"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hyperlink" Target="http://eur-lex.europa.eu/legal-content/PL/TXT/?uri=CELEX:32013R0549"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c.europa.eu/eurostat/web/products-manuals-and-guidelines/-/KS-RA-11-027" TargetMode="External"/><Relationship Id="rId24"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yperlink" Target="http://eur-lex.europa.eu/legal-content/PL/TXT/?uri=CELEX:32013R0549" TargetMode="External"/><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ec.europa.eu/economy_finance/publications/european_economy/ageing_report/index_en.htm" TargetMode="External"/><Relationship Id="rId2" Type="http://schemas.openxmlformats.org/officeDocument/2006/relationships/hyperlink" Target="http://ec.europa.eu/eurostat/web/products-manuals-and-guidelines/-/KS-RA-11-027" TargetMode="External"/><Relationship Id="rId1" Type="http://schemas.openxmlformats.org/officeDocument/2006/relationships/hyperlink" Target="http://ec.europa.eu/eurostat/web/products-manuals-and-guidelines/-/KS-RA-11-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88ACA-9FE1-458C-B959-E2D15BF0DA96}">
  <ds:schemaRefs>
    <ds:schemaRef ds:uri="http://schemas.microsoft.com/sharepoint/v3/contenttype/forms"/>
  </ds:schemaRefs>
</ds:datastoreItem>
</file>

<file path=customXml/itemProps2.xml><?xml version="1.0" encoding="utf-8"?>
<ds:datastoreItem xmlns:ds="http://schemas.openxmlformats.org/officeDocument/2006/customXml" ds:itemID="{F0CA8B5C-31D1-44D8-BAA2-D57C9058BECB}">
  <ds:schemaRef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B97796EB-7793-4EAE-9008-93798DC6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2617DB3-8DEB-43B4-9048-A1D9B917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8</Pages>
  <Words>2614</Words>
  <Characters>15686</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Koniecki Krzysztof</dc:creator>
  <cp:keywords/>
  <dc:description/>
  <cp:lastModifiedBy>Tymoszuk Agnieszka</cp:lastModifiedBy>
  <cp:revision>48</cp:revision>
  <cp:lastPrinted>2018-03-27T09:15:00Z</cp:lastPrinted>
  <dcterms:created xsi:type="dcterms:W3CDTF">2018-03-27T09:17:00Z</dcterms:created>
  <dcterms:modified xsi:type="dcterms:W3CDTF">2018-04-20T06:00:00Z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