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2740" w14:textId="77777777" w:rsidR="00393761" w:rsidRPr="007F7A30" w:rsidRDefault="0000719C" w:rsidP="00C25A4A">
      <w:pPr>
        <w:pStyle w:val="Tytuinfomacjisygnalnej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039"/>
        </w:tabs>
        <w:rPr>
          <w:rFonts w:ascii="Fira Sans Condensed SemiBold" w:hAnsi="Fira Sans Condensed SemiBold"/>
        </w:rPr>
      </w:pPr>
      <w:r>
        <w:t xml:space="preserve"> </w:t>
      </w:r>
      <w:r w:rsidR="00F331A5" w:rsidRPr="00B2705B">
        <w:rPr>
          <w:rFonts w:ascii="Fira Sans Condensed SemiBold" w:hAnsi="Fira Sans Condensed SemiBold"/>
        </w:rPr>
        <w:t>Wyniki finansowe banków w 2021 r.</w:t>
      </w:r>
      <w:r w:rsidR="00364AF9" w:rsidRPr="00B2705B">
        <w:rPr>
          <w:rFonts w:ascii="Fira Sans Condensed SemiBold" w:hAnsi="Fira Sans Condensed SemiBold"/>
          <w:sz w:val="32"/>
        </w:rPr>
        <w:tab/>
      </w:r>
      <w:r w:rsidR="00C25A4A" w:rsidRPr="007F7A30">
        <w:rPr>
          <w:rFonts w:ascii="Fira Sans Condensed SemiBold" w:hAnsi="Fira Sans Condensed SemiBold"/>
          <w:sz w:val="32"/>
        </w:rPr>
        <w:tab/>
      </w:r>
    </w:p>
    <w:p w14:paraId="3103889C" w14:textId="10F7A460" w:rsidR="00DE58F1" w:rsidRPr="007D0869" w:rsidRDefault="00731D27" w:rsidP="00BF3653">
      <w:pPr>
        <w:pStyle w:val="Lead"/>
        <w:ind w:left="3686" w:hanging="3686"/>
        <w:rPr>
          <w:rFonts w:eastAsia="Times New Roman" w:cs="Times New Roman"/>
          <w:bCs/>
          <w:noProof w:val="0"/>
        </w:rPr>
      </w:pPr>
      <w:r w:rsidRPr="004B18E9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80860ED" wp14:editId="447B0D4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4085" cy="1059815"/>
                <wp:effectExtent l="0" t="0" r="5715" b="6985"/>
                <wp:wrapSquare wrapText="bothSides"/>
                <wp:docPr id="6" name="Pole tekstowe 2" descr="110,2 - Dynamika całkowitych przychodów operacyjnych, netto r/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8B8B" w14:textId="77777777" w:rsidR="005C0CAC" w:rsidRPr="007D605C" w:rsidRDefault="00DE6B58" w:rsidP="00CB6AD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 w:rsidRPr="00F049AB">
                              <w:rPr>
                                <w:rStyle w:val="WartowskanikaZnak"/>
                              </w:rPr>
                              <w:t>1</w:t>
                            </w:r>
                            <w:r w:rsidR="00937440">
                              <w:rPr>
                                <w:rStyle w:val="WartowskanikaZnak"/>
                              </w:rPr>
                              <w:t>1</w:t>
                            </w:r>
                            <w:r w:rsidRPr="00F049AB">
                              <w:rPr>
                                <w:rStyle w:val="WartowskanikaZnak"/>
                              </w:rPr>
                              <w:t>0,</w:t>
                            </w:r>
                            <w:r w:rsidR="00937440">
                              <w:rPr>
                                <w:rStyle w:val="WartowskanikaZnak"/>
                              </w:rPr>
                              <w:t>2</w:t>
                            </w:r>
                          </w:p>
                          <w:p w14:paraId="1B252000" w14:textId="77777777" w:rsidR="005C0CAC" w:rsidRPr="007D605C" w:rsidRDefault="00B03FDE" w:rsidP="00F049AB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B03FDE">
                              <w:t xml:space="preserve">Dynamika </w:t>
                            </w:r>
                            <w:r>
                              <w:t>c</w:t>
                            </w:r>
                            <w:r w:rsidRPr="00B03FDE">
                              <w:t>ałkowit</w:t>
                            </w:r>
                            <w:r>
                              <w:t>ych</w:t>
                            </w:r>
                            <w:r w:rsidRPr="00B03FDE">
                              <w:t xml:space="preserve"> przychod</w:t>
                            </w:r>
                            <w:r>
                              <w:t>ów</w:t>
                            </w:r>
                            <w:r w:rsidRPr="00B03FDE">
                              <w:t xml:space="preserve"> operacyjn</w:t>
                            </w:r>
                            <w:r>
                              <w:t>ych</w:t>
                            </w:r>
                            <w:r w:rsidRPr="00B03FDE">
                              <w:t>, netto r/r.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860ED" id="Pole tekstowe 2" o:spid="_x0000_s1026" alt="110,2 - Dynamika całkowitych przychodów operacyjnych, netto r/r." style="position:absolute;left:0;text-align:left;margin-left:0;margin-top:3.6pt;width:173.55pt;height:83.4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" fillcolor="#001d77" stroked="f">
                <v:stroke joinstyle="miter"/>
                <v:textbox>
                  <w:txbxContent>
                    <w:p w14:paraId="26FB8B8B" w14:textId="77777777" w:rsidR="005C0CAC" w:rsidRPr="007D605C" w:rsidRDefault="00DE6B58" w:rsidP="00CB6AD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 w:rsidRPr="00F049AB">
                        <w:rPr>
                          <w:rStyle w:val="WartowskanikaZnak"/>
                        </w:rPr>
                        <w:t>1</w:t>
                      </w:r>
                      <w:r w:rsidR="00937440">
                        <w:rPr>
                          <w:rStyle w:val="WartowskanikaZnak"/>
                        </w:rPr>
                        <w:t>1</w:t>
                      </w:r>
                      <w:r w:rsidRPr="00F049AB">
                        <w:rPr>
                          <w:rStyle w:val="WartowskanikaZnak"/>
                        </w:rPr>
                        <w:t>0,</w:t>
                      </w:r>
                      <w:r w:rsidR="00937440">
                        <w:rPr>
                          <w:rStyle w:val="WartowskanikaZnak"/>
                        </w:rPr>
                        <w:t>2</w:t>
                      </w:r>
                    </w:p>
                    <w:p w14:paraId="1B252000" w14:textId="77777777" w:rsidR="005C0CAC" w:rsidRPr="007D605C" w:rsidRDefault="00B03FDE" w:rsidP="00F049AB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B03FDE">
                        <w:t xml:space="preserve">Dynamika </w:t>
                      </w:r>
                      <w:r>
                        <w:t>c</w:t>
                      </w:r>
                      <w:r w:rsidRPr="00B03FDE">
                        <w:t>ałkowit</w:t>
                      </w:r>
                      <w:r>
                        <w:t>ych</w:t>
                      </w:r>
                      <w:r w:rsidRPr="00B03FDE">
                        <w:t xml:space="preserve"> przychod</w:t>
                      </w:r>
                      <w:r>
                        <w:t>ów</w:t>
                      </w:r>
                      <w:r w:rsidRPr="00B03FDE">
                        <w:t xml:space="preserve"> operacyjn</w:t>
                      </w:r>
                      <w:r>
                        <w:t>ych</w:t>
                      </w:r>
                      <w:r w:rsidRPr="00B03FDE">
                        <w:t>, netto r/r.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03FDE" w:rsidRPr="004B18E9">
        <w:t>Wynik finansowy netto sektora bankowego</w:t>
      </w:r>
      <w:r w:rsidR="00F371BA" w:rsidRPr="00537782">
        <w:rPr>
          <w:rStyle w:val="Odwoanieprzypisudolnego"/>
          <w:b w:val="0"/>
        </w:rPr>
        <w:footnoteReference w:id="1"/>
      </w:r>
      <w:r w:rsidR="00B03FDE" w:rsidRPr="004B18E9">
        <w:t xml:space="preserve">  w</w:t>
      </w:r>
      <w:r w:rsidR="003423D9" w:rsidRPr="004B18E9">
        <w:t> </w:t>
      </w:r>
      <w:r w:rsidR="00B03FDE" w:rsidRPr="004B18E9">
        <w:t>202</w:t>
      </w:r>
      <w:r w:rsidR="00427872" w:rsidRPr="004B18E9">
        <w:t>1</w:t>
      </w:r>
      <w:r w:rsidR="00B03FDE" w:rsidRPr="004B18E9">
        <w:t xml:space="preserve"> r. wyniósł </w:t>
      </w:r>
      <w:r w:rsidR="00427872" w:rsidRPr="004B18E9">
        <w:t>8</w:t>
      </w:r>
      <w:r w:rsidR="00B03FDE" w:rsidRPr="004B18E9">
        <w:t>,</w:t>
      </w:r>
      <w:r w:rsidR="00427872" w:rsidRPr="004B18E9">
        <w:t>9</w:t>
      </w:r>
      <w:r w:rsidR="00B03FDE" w:rsidRPr="004B18E9">
        <w:t xml:space="preserve"> mld zł, </w:t>
      </w:r>
      <w:r w:rsidR="00427872" w:rsidRPr="004B18E9">
        <w:t xml:space="preserve">wobec </w:t>
      </w:r>
      <w:r w:rsidR="00C3266A">
        <w:t xml:space="preserve">minus </w:t>
      </w:r>
      <w:r w:rsidR="00142C0F" w:rsidRPr="004B18E9">
        <w:t>0,3 mld zł</w:t>
      </w:r>
      <w:r w:rsidR="00B03FDE" w:rsidRPr="004B18E9">
        <w:t xml:space="preserve"> </w:t>
      </w:r>
      <w:r w:rsidR="00B943C9">
        <w:t xml:space="preserve">poprzednim </w:t>
      </w:r>
      <w:r w:rsidR="00B03FDE" w:rsidRPr="004B18E9">
        <w:t>r</w:t>
      </w:r>
      <w:r w:rsidR="004B18E9" w:rsidRPr="004B18E9">
        <w:t>ok</w:t>
      </w:r>
      <w:r w:rsidR="00B943C9">
        <w:t>u</w:t>
      </w:r>
      <w:r w:rsidR="00B03FDE" w:rsidRPr="004B18E9">
        <w:t xml:space="preserve">. Suma bilansowa banków </w:t>
      </w:r>
      <w:r w:rsidR="00BF3653">
        <w:t>ogółem w końcu 2021 r. była wyższa niż rok wcześniej</w:t>
      </w:r>
      <w:r w:rsidR="00B03FDE" w:rsidRPr="004B18E9">
        <w:t xml:space="preserve"> o </w:t>
      </w:r>
      <w:r w:rsidR="00142C0F" w:rsidRPr="004B18E9">
        <w:t>9</w:t>
      </w:r>
      <w:r w:rsidR="00B03FDE" w:rsidRPr="004B18E9">
        <w:t>,</w:t>
      </w:r>
      <w:r w:rsidR="00142C0F" w:rsidRPr="004B18E9">
        <w:t>3</w:t>
      </w:r>
      <w:r w:rsidR="00B03FDE" w:rsidRPr="004B18E9">
        <w:t xml:space="preserve">% i wyniosła 2 </w:t>
      </w:r>
      <w:r w:rsidR="00142C0F" w:rsidRPr="004B18E9">
        <w:t>556</w:t>
      </w:r>
      <w:r w:rsidR="00B03FDE" w:rsidRPr="004B18E9">
        <w:t>,</w:t>
      </w:r>
      <w:r w:rsidR="00142C0F" w:rsidRPr="004B18E9">
        <w:t>7</w:t>
      </w:r>
      <w:r w:rsidR="00B03FDE" w:rsidRPr="004B18E9">
        <w:t xml:space="preserve"> mld zł. Wartość kredytów </w:t>
      </w:r>
      <w:r w:rsidR="00A03E99" w:rsidRPr="004B18E9">
        <w:t>sektor</w:t>
      </w:r>
      <w:r w:rsidR="00A03E99">
        <w:t xml:space="preserve">a </w:t>
      </w:r>
      <w:r w:rsidR="00A03E99" w:rsidRPr="004B18E9">
        <w:t>niefinansowe</w:t>
      </w:r>
      <w:r w:rsidR="00A03E99">
        <w:t>go</w:t>
      </w:r>
      <w:r w:rsidR="00A03E99" w:rsidRPr="004B18E9">
        <w:t xml:space="preserve"> </w:t>
      </w:r>
      <w:r w:rsidR="00B03FDE" w:rsidRPr="004B18E9">
        <w:t xml:space="preserve">zwiększyła się o </w:t>
      </w:r>
      <w:r w:rsidR="00142C0F" w:rsidRPr="004B18E9">
        <w:t>4</w:t>
      </w:r>
      <w:r w:rsidR="00B03FDE" w:rsidRPr="004B18E9">
        <w:t>,</w:t>
      </w:r>
      <w:r w:rsidR="00142C0F" w:rsidRPr="004B18E9">
        <w:t>6</w:t>
      </w:r>
      <w:r w:rsidR="00B03FDE" w:rsidRPr="004B18E9">
        <w:t>% do kwoty 1</w:t>
      </w:r>
      <w:r w:rsidR="00491172">
        <w:t> </w:t>
      </w:r>
      <w:r w:rsidR="00B03FDE" w:rsidRPr="004B18E9">
        <w:t>1</w:t>
      </w:r>
      <w:r w:rsidR="00142C0F" w:rsidRPr="004B18E9">
        <w:t>86</w:t>
      </w:r>
      <w:r w:rsidR="00B03FDE" w:rsidRPr="004B18E9">
        <w:t>,</w:t>
      </w:r>
      <w:r w:rsidR="00142C0F" w:rsidRPr="004B18E9">
        <w:t>4</w:t>
      </w:r>
      <w:r w:rsidR="00B03FDE" w:rsidRPr="004B18E9">
        <w:t xml:space="preserve"> mld zł, a</w:t>
      </w:r>
      <w:r w:rsidR="003423D9" w:rsidRPr="004B18E9">
        <w:t> </w:t>
      </w:r>
      <w:r w:rsidR="00B03FDE" w:rsidRPr="004B18E9">
        <w:t>wartość depozytów sektora niefinan</w:t>
      </w:r>
      <w:r w:rsidR="00091176">
        <w:t>so</w:t>
      </w:r>
      <w:bookmarkStart w:id="0" w:name="_GoBack"/>
      <w:bookmarkEnd w:id="0"/>
      <w:r w:rsidR="00B03FDE" w:rsidRPr="004B18E9">
        <w:t xml:space="preserve">wego wzrosła o </w:t>
      </w:r>
      <w:r w:rsidR="00142C0F" w:rsidRPr="004B18E9">
        <w:t>7</w:t>
      </w:r>
      <w:r w:rsidR="00B03FDE" w:rsidRPr="004B18E9">
        <w:t>,</w:t>
      </w:r>
      <w:r w:rsidR="00142C0F" w:rsidRPr="004B18E9">
        <w:t>9</w:t>
      </w:r>
      <w:r w:rsidR="00B03FDE" w:rsidRPr="004B18E9">
        <w:t xml:space="preserve">% do 1 </w:t>
      </w:r>
      <w:r w:rsidR="00142C0F" w:rsidRPr="004B18E9">
        <w:t>537</w:t>
      </w:r>
      <w:r w:rsidR="00B03FDE" w:rsidRPr="004B18E9">
        <w:t>,</w:t>
      </w:r>
      <w:r w:rsidR="00142C0F" w:rsidRPr="004B18E9">
        <w:t>0</w:t>
      </w:r>
      <w:r w:rsidR="00B03FDE" w:rsidRPr="004B18E9">
        <w:t xml:space="preserve"> mld zł.</w:t>
      </w:r>
      <w:r w:rsidR="00DE6B58" w:rsidRPr="00D8143C">
        <w:t xml:space="preserve"> </w:t>
      </w:r>
    </w:p>
    <w:p w14:paraId="6F9C91A6" w14:textId="77777777" w:rsidR="00E95B8E" w:rsidRPr="0012406F" w:rsidRDefault="006B5BF3" w:rsidP="0012406F">
      <w:pPr>
        <w:pStyle w:val="Nagwek1"/>
        <w:spacing w:before="240"/>
        <w:rPr>
          <w:rFonts w:ascii="Fira Sans" w:hAnsi="Fira Sans"/>
          <w:b/>
          <w:color w:val="1F3864" w:themeColor="accent5" w:themeShade="80"/>
          <w:szCs w:val="19"/>
        </w:rPr>
      </w:pPr>
      <w:r>
        <w:rPr>
          <w:rFonts w:ascii="Fira Sans" w:hAnsi="Fira Sans"/>
          <w:b/>
          <w:color w:val="1F3864" w:themeColor="accent5" w:themeShade="80"/>
          <w:szCs w:val="19"/>
        </w:rPr>
        <w:t>W</w:t>
      </w:r>
      <w:r w:rsidR="0074614C" w:rsidRPr="0012406F">
        <w:rPr>
          <w:rFonts w:ascii="Fira Sans" w:hAnsi="Fira Sans"/>
          <w:b/>
          <w:color w:val="1F3864" w:themeColor="accent5" w:themeShade="80"/>
          <w:szCs w:val="19"/>
        </w:rPr>
        <w:t>ynik</w:t>
      </w:r>
      <w:r>
        <w:rPr>
          <w:rFonts w:ascii="Fira Sans" w:hAnsi="Fira Sans"/>
          <w:b/>
          <w:color w:val="1F3864" w:themeColor="accent5" w:themeShade="80"/>
          <w:szCs w:val="19"/>
        </w:rPr>
        <w:t>i</w:t>
      </w:r>
      <w:r w:rsidR="0074614C" w:rsidRPr="0012406F">
        <w:rPr>
          <w:rFonts w:ascii="Fira Sans" w:hAnsi="Fira Sans"/>
          <w:b/>
          <w:color w:val="1F3864" w:themeColor="accent5" w:themeShade="80"/>
          <w:szCs w:val="19"/>
        </w:rPr>
        <w:t xml:space="preserve"> </w:t>
      </w:r>
      <w:r w:rsidRPr="0012406F">
        <w:rPr>
          <w:rFonts w:ascii="Fira Sans" w:hAnsi="Fira Sans"/>
          <w:b/>
          <w:color w:val="1F3864" w:themeColor="accent5" w:themeShade="80"/>
          <w:szCs w:val="19"/>
        </w:rPr>
        <w:t>finansow</w:t>
      </w:r>
      <w:r>
        <w:rPr>
          <w:rFonts w:ascii="Fira Sans" w:hAnsi="Fira Sans"/>
          <w:b/>
          <w:color w:val="1F3864" w:themeColor="accent5" w:themeShade="80"/>
          <w:szCs w:val="19"/>
        </w:rPr>
        <w:t>e</w:t>
      </w:r>
      <w:r w:rsidRPr="0012406F">
        <w:rPr>
          <w:rFonts w:ascii="Fira Sans" w:hAnsi="Fira Sans"/>
          <w:b/>
          <w:color w:val="1F3864" w:themeColor="accent5" w:themeShade="80"/>
          <w:szCs w:val="19"/>
        </w:rPr>
        <w:t xml:space="preserve"> </w:t>
      </w:r>
    </w:p>
    <w:p w14:paraId="648C8A5C" w14:textId="77777777" w:rsidR="00E95B8E" w:rsidRPr="00F049AB" w:rsidRDefault="00BF3653" w:rsidP="0012406F">
      <w:pPr>
        <w:pStyle w:val="Tytutablicy"/>
        <w:spacing w:before="240"/>
      </w:pPr>
      <w:r w:rsidRPr="005C7ED9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3FBA65CB" wp14:editId="6CDFEB45">
                <wp:simplePos x="0" y="0"/>
                <wp:positionH relativeFrom="column">
                  <wp:posOffset>5257800</wp:posOffset>
                </wp:positionH>
                <wp:positionV relativeFrom="paragraph">
                  <wp:posOffset>97350</wp:posOffset>
                </wp:positionV>
                <wp:extent cx="1787525" cy="1570355"/>
                <wp:effectExtent l="0" t="0" r="0" b="0"/>
                <wp:wrapTight wrapText="bothSides">
                  <wp:wrapPolygon edited="0">
                    <wp:start x="691" y="0"/>
                    <wp:lineTo x="691" y="21224"/>
                    <wp:lineTo x="20718" y="21224"/>
                    <wp:lineTo x="20718" y="0"/>
                    <wp:lineTo x="691" y="0"/>
                  </wp:wrapPolygon>
                </wp:wrapTight>
                <wp:docPr id="3" name="Pole tekstowe 3" descr="W 2021 r. wynik finansowy netto sektora bankowego wyniósł 8,9 mld zł, na co złożyły się zyski netto o wartości 14,5 mld zł osiągnięte przez 542 banki oraz straty netto o wartości 5,5 mld zł poniesione przez 36 ban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57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02DB" w14:textId="77777777" w:rsidR="00AF5E56" w:rsidRPr="00E95B8E" w:rsidRDefault="005B1742" w:rsidP="00AF5E56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>
                              <w:t xml:space="preserve">W 2021 r. </w:t>
                            </w:r>
                            <w:r w:rsidR="00220357">
                              <w:t xml:space="preserve">wynik finansowy netto </w:t>
                            </w:r>
                            <w:r w:rsidR="00E31202">
                              <w:t xml:space="preserve">sektora bankowego </w:t>
                            </w:r>
                            <w:r w:rsidR="00220357">
                              <w:t xml:space="preserve">wyniósł 8,9 mld zł, na co złożyły się </w:t>
                            </w:r>
                            <w:r>
                              <w:t xml:space="preserve">zyski netto </w:t>
                            </w:r>
                            <w:r w:rsidR="0030535D" w:rsidRPr="0030535D">
                              <w:t xml:space="preserve">o wartości </w:t>
                            </w:r>
                            <w:r w:rsidR="0030535D">
                              <w:t>14</w:t>
                            </w:r>
                            <w:r w:rsidR="0030535D" w:rsidRPr="0030535D">
                              <w:t>,5</w:t>
                            </w:r>
                            <w:r w:rsidR="00BF3653">
                              <w:t> </w:t>
                            </w:r>
                            <w:r w:rsidR="0030535D" w:rsidRPr="0030535D">
                              <w:t xml:space="preserve">mld zł </w:t>
                            </w:r>
                            <w:r>
                              <w:t>osiągn</w:t>
                            </w:r>
                            <w:r w:rsidR="00220357">
                              <w:t>i</w:t>
                            </w:r>
                            <w:r>
                              <w:t>ę</w:t>
                            </w:r>
                            <w:r w:rsidR="00220357">
                              <w:t>te przez</w:t>
                            </w:r>
                            <w:r>
                              <w:t xml:space="preserve"> 542</w:t>
                            </w:r>
                            <w:r w:rsidR="00AF5E56" w:rsidRPr="005C7ED9">
                              <w:t xml:space="preserve"> bank</w:t>
                            </w:r>
                            <w:r>
                              <w:t>i</w:t>
                            </w:r>
                            <w:r w:rsidR="00220357">
                              <w:t xml:space="preserve"> oraz</w:t>
                            </w:r>
                            <w:r>
                              <w:t xml:space="preserve"> straty netto </w:t>
                            </w:r>
                            <w:r w:rsidR="0030535D" w:rsidRPr="0030535D">
                              <w:t>o</w:t>
                            </w:r>
                            <w:r w:rsidR="00BF3653">
                              <w:t> </w:t>
                            </w:r>
                            <w:r w:rsidR="0030535D" w:rsidRPr="0030535D">
                              <w:t xml:space="preserve">wartości 5,5 mld zł </w:t>
                            </w:r>
                            <w:r>
                              <w:t>poni</w:t>
                            </w:r>
                            <w:r w:rsidR="00220357">
                              <w:t xml:space="preserve">esione przez </w:t>
                            </w:r>
                            <w:r>
                              <w:t>36 banków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65C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alt="W 2021 r. wynik finansowy netto sektora bankowego wyniósł 8,9 mld zł, na co złożyły się zyski netto o wartości 14,5 mld zł osiągnięte przez 542 banki oraz straty netto o wartości 5,5 mld zł poniesione przez 36 banków" style="position:absolute;margin-left:414pt;margin-top:7.65pt;width:140.75pt;height:123.6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" filled="f" stroked="f">
                <v:textbox>
                  <w:txbxContent>
                    <w:p w14:paraId="6CB202DB" w14:textId="77777777" w:rsidR="00AF5E56" w:rsidRPr="00E95B8E" w:rsidRDefault="005B1742" w:rsidP="00AF5E56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>
                        <w:t xml:space="preserve">W 2021 r. </w:t>
                      </w:r>
                      <w:r w:rsidR="00220357">
                        <w:t xml:space="preserve">wynik finansowy netto </w:t>
                      </w:r>
                      <w:r w:rsidR="00E31202">
                        <w:t xml:space="preserve">sektora bankowego </w:t>
                      </w:r>
                      <w:r w:rsidR="00220357">
                        <w:t xml:space="preserve">wyniósł 8,9 mld zł, na co złożyły się </w:t>
                      </w:r>
                      <w:r>
                        <w:t xml:space="preserve">zyski netto </w:t>
                      </w:r>
                      <w:r w:rsidR="0030535D" w:rsidRPr="0030535D">
                        <w:t xml:space="preserve">o wartości </w:t>
                      </w:r>
                      <w:r w:rsidR="0030535D">
                        <w:t>14</w:t>
                      </w:r>
                      <w:r w:rsidR="0030535D" w:rsidRPr="0030535D">
                        <w:t>,5</w:t>
                      </w:r>
                      <w:r w:rsidR="00BF3653">
                        <w:t> </w:t>
                      </w:r>
                      <w:r w:rsidR="0030535D" w:rsidRPr="0030535D">
                        <w:t xml:space="preserve">mld zł </w:t>
                      </w:r>
                      <w:r>
                        <w:t>osiągn</w:t>
                      </w:r>
                      <w:r w:rsidR="00220357">
                        <w:t>i</w:t>
                      </w:r>
                      <w:r>
                        <w:t>ę</w:t>
                      </w:r>
                      <w:r w:rsidR="00220357">
                        <w:t>te przez</w:t>
                      </w:r>
                      <w:r>
                        <w:t xml:space="preserve"> 542</w:t>
                      </w:r>
                      <w:r w:rsidR="00AF5E56" w:rsidRPr="005C7ED9">
                        <w:t xml:space="preserve"> bank</w:t>
                      </w:r>
                      <w:r>
                        <w:t>i</w:t>
                      </w:r>
                      <w:r w:rsidR="00220357">
                        <w:t xml:space="preserve"> oraz</w:t>
                      </w:r>
                      <w:r>
                        <w:t xml:space="preserve"> straty netto </w:t>
                      </w:r>
                      <w:r w:rsidR="0030535D" w:rsidRPr="0030535D">
                        <w:t>o</w:t>
                      </w:r>
                      <w:r w:rsidR="00BF3653">
                        <w:t> </w:t>
                      </w:r>
                      <w:r w:rsidR="0030535D" w:rsidRPr="0030535D">
                        <w:t xml:space="preserve">wartości 5,5 mld zł </w:t>
                      </w:r>
                      <w:r>
                        <w:t>poni</w:t>
                      </w:r>
                      <w:r w:rsidR="00220357">
                        <w:t xml:space="preserve">esione przez </w:t>
                      </w:r>
                      <w:r>
                        <w:t>36 banków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B8E" w:rsidRPr="00F049AB">
        <w:t xml:space="preserve">Tablica </w:t>
      </w:r>
      <w:r w:rsidR="00D972F6" w:rsidRPr="00F049AB">
        <w:t>1</w:t>
      </w:r>
      <w:r w:rsidR="00E95B8E" w:rsidRPr="00F049AB">
        <w:t>.</w:t>
      </w:r>
      <w:r w:rsidR="00D972F6" w:rsidRPr="00F049AB">
        <w:t xml:space="preserve"> </w:t>
      </w:r>
      <w:r w:rsidR="00006B18" w:rsidRPr="00006B18">
        <w:t xml:space="preserve">Wybrane pozycje rachunku zysków i strat </w:t>
      </w:r>
    </w:p>
    <w:tbl>
      <w:tblPr>
        <w:tblW w:w="7938" w:type="dxa"/>
        <w:tblBorders>
          <w:insideH w:val="single" w:sz="2" w:space="0" w:color="001D77"/>
          <w:insideV w:val="single" w:sz="2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lica 1. Wybrane pozycje rachunku zysków i strat sektora bankowego w latach 2020-2021"/>
      </w:tblPr>
      <w:tblGrid>
        <w:gridCol w:w="4393"/>
        <w:gridCol w:w="1180"/>
        <w:gridCol w:w="1181"/>
        <w:gridCol w:w="7"/>
        <w:gridCol w:w="1177"/>
      </w:tblGrid>
      <w:tr w:rsidR="00E95B8E" w14:paraId="522C1E89" w14:textId="77777777" w:rsidTr="005B621A">
        <w:trPr>
          <w:trHeight w:val="456"/>
        </w:trPr>
        <w:tc>
          <w:tcPr>
            <w:tcW w:w="4393" w:type="dxa"/>
            <w:vMerge w:val="restart"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14:paraId="7EA4CB67" w14:textId="77777777" w:rsidR="00E95B8E" w:rsidRPr="00F049AB" w:rsidRDefault="00E95B8E" w:rsidP="005B621A">
            <w:pPr>
              <w:jc w:val="center"/>
            </w:pPr>
            <w:r w:rsidRPr="00F049AB">
              <w:t>Wyszczególnienie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  <w:hideMark/>
          </w:tcPr>
          <w:p w14:paraId="131C2269" w14:textId="77777777" w:rsidR="00E95B8E" w:rsidRDefault="00006B18" w:rsidP="005B621A">
            <w:pPr>
              <w:pStyle w:val="Tablicagwkarodek"/>
            </w:pPr>
            <w:r>
              <w:t>2020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3960D084" w14:textId="77777777" w:rsidR="00E95B8E" w:rsidRDefault="00E95B8E" w:rsidP="005B621A">
            <w:pPr>
              <w:pStyle w:val="Tablicagwkarodek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2021</w:t>
            </w:r>
          </w:p>
        </w:tc>
      </w:tr>
      <w:tr w:rsidR="00E95B8E" w14:paraId="7DD9780F" w14:textId="77777777" w:rsidTr="005B621A">
        <w:trPr>
          <w:trHeight w:val="456"/>
        </w:trPr>
        <w:tc>
          <w:tcPr>
            <w:tcW w:w="4393" w:type="dxa"/>
            <w:vMerge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019C4BA9" w14:textId="77777777" w:rsidR="00E95B8E" w:rsidRDefault="00E95B8E">
            <w:pPr>
              <w:spacing w:before="0" w:after="0" w:line="256" w:lineRule="auto"/>
              <w:rPr>
                <w:rFonts w:eastAsia="Times New Roman" w:cs="Calibri"/>
                <w:szCs w:val="19"/>
                <w:lang w:eastAsia="pl-PL"/>
              </w:rPr>
            </w:pPr>
          </w:p>
        </w:tc>
        <w:tc>
          <w:tcPr>
            <w:tcW w:w="2368" w:type="dxa"/>
            <w:gridSpan w:val="3"/>
            <w:tcBorders>
              <w:top w:val="single" w:sz="2" w:space="0" w:color="001D77"/>
              <w:left w:val="single" w:sz="4" w:space="0" w:color="001D77"/>
              <w:bottom w:val="single" w:sz="4" w:space="0" w:color="001D77"/>
              <w:right w:val="single" w:sz="4" w:space="0" w:color="auto"/>
            </w:tcBorders>
            <w:vAlign w:val="center"/>
            <w:hideMark/>
          </w:tcPr>
          <w:p w14:paraId="640F365C" w14:textId="77777777" w:rsidR="00E95B8E" w:rsidRDefault="00E95B8E" w:rsidP="005B621A">
            <w:pPr>
              <w:pStyle w:val="Tablicagwkarodek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w mln</w:t>
            </w:r>
            <w:r w:rsidR="00BF3653">
              <w:rPr>
                <w:rFonts w:eastAsia="Fira Sans Light" w:cs="Times New Roman"/>
              </w:rPr>
              <w:t xml:space="preserve"> zł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36A54875" w14:textId="77777777" w:rsidR="00E95B8E" w:rsidRDefault="00006B18" w:rsidP="005B621A">
            <w:pPr>
              <w:pStyle w:val="Tablicagwkarodek"/>
              <w:rPr>
                <w:rFonts w:eastAsia="Fira Sans Light" w:cs="Times New Roman"/>
              </w:rPr>
            </w:pPr>
            <w:r>
              <w:rPr>
                <w:rFonts w:eastAsia="Fira Sans Light" w:cs="Times New Roman"/>
              </w:rPr>
              <w:t>2020</w:t>
            </w:r>
            <w:r w:rsidR="00E95B8E">
              <w:rPr>
                <w:rFonts w:eastAsia="Fira Sans Light" w:cs="Times New Roman"/>
              </w:rPr>
              <w:t>=100</w:t>
            </w:r>
          </w:p>
        </w:tc>
      </w:tr>
      <w:tr w:rsidR="00545A27" w14:paraId="064A83B6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ADFC333" w14:textId="77777777" w:rsidR="00545A27" w:rsidRDefault="00545A27" w:rsidP="00545A27">
            <w:pPr>
              <w:pStyle w:val="Tablicaboczek"/>
            </w:pPr>
            <w:r w:rsidRPr="00D41BE6">
              <w:t>Całkowite przychody operacyjne, netto, w tym: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55036CC" w14:textId="77777777" w:rsidR="00545A27" w:rsidRDefault="00545A27" w:rsidP="00545A27">
            <w:pPr>
              <w:pStyle w:val="Tablicadanerodek"/>
            </w:pPr>
            <w:r w:rsidRPr="00C3478C">
              <w:t>61 738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152FD96" w14:textId="77777777" w:rsidR="00545A27" w:rsidRDefault="00545A27" w:rsidP="00545A27">
            <w:pPr>
              <w:pStyle w:val="Tablicadanerodek"/>
            </w:pPr>
            <w:r w:rsidRPr="00C3478C">
              <w:t>68 008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27D7364A" w14:textId="77777777" w:rsidR="00545A27" w:rsidRDefault="00545A27" w:rsidP="00545A27">
            <w:pPr>
              <w:pStyle w:val="Tablicadanerodek"/>
            </w:pPr>
            <w:r w:rsidRPr="00C3478C">
              <w:t>110,2</w:t>
            </w:r>
          </w:p>
        </w:tc>
      </w:tr>
      <w:tr w:rsidR="00BB1164" w14:paraId="35C45ACF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73AB93E3" w14:textId="77777777" w:rsidR="00BB1164" w:rsidRDefault="00BB1164" w:rsidP="005B621A">
            <w:pPr>
              <w:pStyle w:val="Tablicaboczek"/>
              <w:ind w:firstLine="176"/>
            </w:pPr>
            <w:r w:rsidRPr="00D41BE6">
              <w:t>wynik z tytułu odsetek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8556334" w14:textId="77777777" w:rsidR="00BB1164" w:rsidRDefault="00BB1164" w:rsidP="00BB1164">
            <w:pPr>
              <w:pStyle w:val="Tablicadanerodek"/>
            </w:pPr>
            <w:r w:rsidRPr="00AF030F">
              <w:t>46 932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ECB7F8F" w14:textId="77777777" w:rsidR="00BB1164" w:rsidRDefault="00BB1164" w:rsidP="00BB1164">
            <w:pPr>
              <w:pStyle w:val="Tablicadanerodek"/>
              <w:rPr>
                <w:highlight w:val="yellow"/>
              </w:rPr>
            </w:pPr>
            <w:r w:rsidRPr="00AF030F">
              <w:t>46 330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7FE9573A" w14:textId="77777777" w:rsidR="00BB1164" w:rsidRDefault="00BB1164" w:rsidP="00BB1164">
            <w:pPr>
              <w:pStyle w:val="Tablicadanerodek"/>
            </w:pPr>
            <w:r w:rsidRPr="00AF030F">
              <w:t>98,7</w:t>
            </w:r>
          </w:p>
        </w:tc>
      </w:tr>
      <w:tr w:rsidR="00BB1164" w14:paraId="4DCD8507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48DC9216" w14:textId="77777777" w:rsidR="00BB1164" w:rsidRDefault="00BB1164" w:rsidP="005B621A">
            <w:pPr>
              <w:pStyle w:val="Tablicaboczek"/>
              <w:ind w:firstLine="176"/>
            </w:pPr>
            <w:r w:rsidRPr="00D41BE6">
              <w:t>wynik z tytułu opłat i prowizji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50DD3C7E" w14:textId="77777777" w:rsidR="00BB1164" w:rsidRDefault="00BB1164" w:rsidP="00BB1164">
            <w:pPr>
              <w:pStyle w:val="Tablicadanerodek"/>
            </w:pPr>
            <w:r w:rsidRPr="00AF030F">
              <w:t>14 838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52669A32" w14:textId="77777777" w:rsidR="00BB1164" w:rsidRDefault="00BB1164" w:rsidP="00BB1164">
            <w:pPr>
              <w:pStyle w:val="Tablicadanerodek"/>
              <w:rPr>
                <w:highlight w:val="yellow"/>
              </w:rPr>
            </w:pPr>
            <w:r w:rsidRPr="00AF030F">
              <w:t>17 088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453643A2" w14:textId="77777777" w:rsidR="00BB1164" w:rsidRDefault="00BB1164" w:rsidP="00BB1164">
            <w:pPr>
              <w:pStyle w:val="Tablicadanerodek"/>
            </w:pPr>
            <w:r w:rsidRPr="00AF030F">
              <w:t>115,2</w:t>
            </w:r>
          </w:p>
        </w:tc>
      </w:tr>
      <w:tr w:rsidR="00545A27" w14:paraId="6AE24536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60753BF3" w14:textId="77777777" w:rsidR="00545A27" w:rsidRDefault="00545A27" w:rsidP="005B621A">
            <w:pPr>
              <w:pStyle w:val="Tablicaboczekwcicie2"/>
              <w:ind w:left="0"/>
              <w:rPr>
                <w:rFonts w:eastAsia="Times New Roman" w:cs="Calibri"/>
                <w:lang w:eastAsia="pl-PL"/>
              </w:rPr>
            </w:pPr>
            <w:r w:rsidRPr="00D41BE6">
              <w:t>Koszty administracyjne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C89D463" w14:textId="77777777" w:rsidR="00545A27" w:rsidRDefault="00545A27" w:rsidP="00545A27">
            <w:pPr>
              <w:pStyle w:val="Tablicadanerodek"/>
            </w:pPr>
            <w:r w:rsidRPr="00C3478C">
              <w:t>34 562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EA59E27" w14:textId="77777777" w:rsidR="00545A27" w:rsidRDefault="00545A27" w:rsidP="00545A27">
            <w:pPr>
              <w:pStyle w:val="Tablicadanerodek"/>
            </w:pPr>
            <w:r w:rsidRPr="00C3478C">
              <w:t>35 321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2B0FCE2" w14:textId="77777777" w:rsidR="00545A27" w:rsidRDefault="00545A27" w:rsidP="00545A27">
            <w:pPr>
              <w:pStyle w:val="Tablicadanerodek"/>
            </w:pPr>
            <w:r w:rsidRPr="00C3478C">
              <w:t>102,2</w:t>
            </w:r>
          </w:p>
        </w:tc>
      </w:tr>
      <w:tr w:rsidR="00545A27" w14:paraId="2B9E98BB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05862407" w14:textId="77777777" w:rsidR="00545A27" w:rsidRDefault="00545A27" w:rsidP="005B621A">
            <w:pPr>
              <w:pStyle w:val="Tablicaboczekwcicie2"/>
              <w:ind w:left="0" w:firstLine="176"/>
            </w:pPr>
            <w:r w:rsidRPr="00D41BE6">
              <w:t xml:space="preserve">koszty pracownicze 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620DA51" w14:textId="77777777" w:rsidR="00545A27" w:rsidRDefault="00545A27" w:rsidP="00545A27">
            <w:pPr>
              <w:pStyle w:val="Tablicadanerodek"/>
            </w:pPr>
            <w:r w:rsidRPr="00C3478C">
              <w:t>17 372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35640AA0" w14:textId="77777777" w:rsidR="00545A27" w:rsidRDefault="00545A27" w:rsidP="00545A27">
            <w:pPr>
              <w:pStyle w:val="Tablicadanerodek"/>
            </w:pPr>
            <w:r w:rsidRPr="00C3478C">
              <w:t>18 250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9F8749D" w14:textId="77777777" w:rsidR="00545A27" w:rsidRDefault="00545A27" w:rsidP="00545A27">
            <w:pPr>
              <w:pStyle w:val="Tablicadanerodek"/>
            </w:pPr>
            <w:r w:rsidRPr="00C3478C">
              <w:t>105,1</w:t>
            </w:r>
          </w:p>
        </w:tc>
      </w:tr>
      <w:tr w:rsidR="00545A27" w14:paraId="27598E85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7E5614C6" w14:textId="77777777" w:rsidR="00545A27" w:rsidRDefault="00545A27" w:rsidP="005B621A">
            <w:pPr>
              <w:pStyle w:val="Tablicaboczek"/>
              <w:ind w:firstLine="176"/>
            </w:pPr>
            <w:r w:rsidRPr="00D41BE6">
              <w:t>pozostałe koszty administracyjne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767DDC6" w14:textId="77777777" w:rsidR="00545A27" w:rsidRDefault="00545A27" w:rsidP="00545A27">
            <w:pPr>
              <w:pStyle w:val="Tablicadanerodek"/>
            </w:pPr>
            <w:r w:rsidRPr="00C3478C">
              <w:t>17 190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6B3D9DB" w14:textId="77777777" w:rsidR="00545A27" w:rsidRDefault="00545A27" w:rsidP="00545A27">
            <w:pPr>
              <w:pStyle w:val="Tablicadanerodek"/>
              <w:rPr>
                <w:highlight w:val="yellow"/>
              </w:rPr>
            </w:pPr>
            <w:r w:rsidRPr="00C3478C">
              <w:t>17 071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6CB99A18" w14:textId="77777777" w:rsidR="00545A27" w:rsidRDefault="00545A27" w:rsidP="00545A27">
            <w:pPr>
              <w:pStyle w:val="Tablicadanerodek"/>
            </w:pPr>
            <w:r w:rsidRPr="00C3478C">
              <w:t>99,3</w:t>
            </w:r>
          </w:p>
        </w:tc>
      </w:tr>
      <w:tr w:rsidR="00545A27" w14:paraId="7F7C445D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31BD4B46" w14:textId="77777777" w:rsidR="00545A27" w:rsidRDefault="00545A27" w:rsidP="00545A27">
            <w:pPr>
              <w:pStyle w:val="Tablicaboczek"/>
            </w:pPr>
            <w:r w:rsidRPr="00D41BE6">
              <w:t>Amortyzacja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5FD96CB" w14:textId="77777777" w:rsidR="00545A27" w:rsidRDefault="00545A27" w:rsidP="00545A27">
            <w:pPr>
              <w:pStyle w:val="Tablicadanerodek"/>
            </w:pPr>
            <w:r w:rsidRPr="00C3478C">
              <w:t>4 571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C8EC5D6" w14:textId="77777777" w:rsidR="00545A27" w:rsidRDefault="00545A27" w:rsidP="00545A27">
            <w:pPr>
              <w:pStyle w:val="Tablicadanerodek"/>
            </w:pPr>
            <w:r w:rsidRPr="00C3478C">
              <w:t>4 618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7C485F48" w14:textId="77777777" w:rsidR="00545A27" w:rsidRDefault="00545A27" w:rsidP="00545A27">
            <w:pPr>
              <w:pStyle w:val="Tablicadanerodek"/>
            </w:pPr>
            <w:r w:rsidRPr="00C3478C">
              <w:t>101,0</w:t>
            </w:r>
          </w:p>
        </w:tc>
      </w:tr>
      <w:tr w:rsidR="00545A27" w14:paraId="36C4EDFA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5D57A3B0" w14:textId="77777777" w:rsidR="00545A27" w:rsidRDefault="00545A27" w:rsidP="00545A27">
            <w:pPr>
              <w:pStyle w:val="Tablicaboczek"/>
            </w:pPr>
            <w:r w:rsidRPr="00D41BE6">
              <w:t>Rezerwy lub odwrócenie rezerw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62F732E" w14:textId="77777777" w:rsidR="00545A27" w:rsidRDefault="00545A27" w:rsidP="00545A27">
            <w:pPr>
              <w:pStyle w:val="Tablicadanerodek"/>
            </w:pPr>
            <w:r w:rsidRPr="00C3478C">
              <w:t>5 495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65624FD3" w14:textId="77777777" w:rsidR="00545A27" w:rsidRDefault="00545A27" w:rsidP="00545A27">
            <w:pPr>
              <w:pStyle w:val="Tablicadanerodek"/>
            </w:pPr>
            <w:r w:rsidRPr="00C3478C">
              <w:t>6 459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079D40A0" w14:textId="77777777" w:rsidR="00545A27" w:rsidRDefault="00545A27" w:rsidP="00545A27">
            <w:pPr>
              <w:pStyle w:val="Tablicadanerodek"/>
            </w:pPr>
            <w:r w:rsidRPr="00C3478C">
              <w:t>117,5</w:t>
            </w:r>
          </w:p>
        </w:tc>
      </w:tr>
      <w:tr w:rsidR="00545A27" w14:paraId="32D4531C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3BEA5DF9" w14:textId="77777777" w:rsidR="00545A27" w:rsidRDefault="00545A27" w:rsidP="00545A27">
            <w:pPr>
              <w:pStyle w:val="Tablicaboczek"/>
            </w:pPr>
            <w:r w:rsidRPr="00D41BE6">
              <w:t xml:space="preserve">Utrata wartości lub odwrócenie utraty wartości aktywów 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2923DE3E" w14:textId="77777777" w:rsidR="00545A27" w:rsidRDefault="00545A27" w:rsidP="00545A27">
            <w:pPr>
              <w:pStyle w:val="Tablicadanerodek"/>
            </w:pPr>
            <w:r w:rsidRPr="00C3478C">
              <w:t>12 333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6011C09F" w14:textId="77777777" w:rsidR="00545A27" w:rsidRDefault="00545A27" w:rsidP="00545A27">
            <w:pPr>
              <w:pStyle w:val="Tablicadanerodek"/>
            </w:pPr>
            <w:r w:rsidRPr="00C3478C">
              <w:t>6 702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</w:tcPr>
          <w:p w14:paraId="24177445" w14:textId="77777777" w:rsidR="00545A27" w:rsidRDefault="00545A27" w:rsidP="00545A27">
            <w:pPr>
              <w:pStyle w:val="Tablicadanerodek"/>
            </w:pPr>
            <w:r w:rsidRPr="00C3478C">
              <w:t>54,3</w:t>
            </w:r>
          </w:p>
        </w:tc>
      </w:tr>
      <w:tr w:rsidR="00545A27" w14:paraId="2E62AA08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6851D0F" w14:textId="77777777" w:rsidR="00545A27" w:rsidRDefault="00545A27" w:rsidP="005B621A">
            <w:pPr>
              <w:pStyle w:val="Tablicaboczek"/>
              <w:ind w:left="176"/>
            </w:pPr>
            <w:r w:rsidRPr="00D41BE6">
              <w:t>w tym aktywów finansowych wycenianych</w:t>
            </w:r>
            <w:r>
              <w:br/>
            </w:r>
            <w:r w:rsidRPr="00D41BE6">
              <w:t>według zamortyzowanego kosztu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0BB891A8" w14:textId="77777777" w:rsidR="00545A27" w:rsidRDefault="00545A27" w:rsidP="00545A27">
            <w:pPr>
              <w:pStyle w:val="Tablicadanerodek"/>
            </w:pPr>
            <w:r w:rsidRPr="00C3478C">
              <w:t>12 151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42B89F44" w14:textId="77777777" w:rsidR="00545A27" w:rsidRDefault="00545A27" w:rsidP="00545A27">
            <w:pPr>
              <w:pStyle w:val="Tablicadanerodek"/>
            </w:pPr>
            <w:r w:rsidRPr="00C3478C">
              <w:t>6 689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</w:tcPr>
          <w:p w14:paraId="3FC2C740" w14:textId="77777777" w:rsidR="00545A27" w:rsidRDefault="00545A27" w:rsidP="00545A27">
            <w:pPr>
              <w:pStyle w:val="Tablicadanerodek"/>
            </w:pPr>
            <w:r w:rsidRPr="00C3478C">
              <w:t>55,0</w:t>
            </w:r>
          </w:p>
        </w:tc>
      </w:tr>
      <w:tr w:rsidR="0012797F" w14:paraId="5741FDD8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A21CF33" w14:textId="77777777" w:rsidR="0012797F" w:rsidRDefault="0012797F" w:rsidP="0012797F">
            <w:pPr>
              <w:pStyle w:val="Tablicaboczek"/>
            </w:pPr>
            <w:r w:rsidRPr="00134BDB">
              <w:t>Zysk lub strata przed opodatkowaniem z tytułu działalności kontynuowanej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1E168649" w14:textId="77777777" w:rsidR="0012797F" w:rsidRPr="00675772" w:rsidRDefault="0012797F" w:rsidP="0012797F">
            <w:pPr>
              <w:pStyle w:val="Tablicadanerodek"/>
              <w:rPr>
                <w:highlight w:val="yellow"/>
              </w:rPr>
            </w:pPr>
            <w:r w:rsidRPr="0088165A">
              <w:t>3 727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612A5F2E" w14:textId="77777777" w:rsidR="0012797F" w:rsidRPr="00675772" w:rsidRDefault="0012797F" w:rsidP="0012797F">
            <w:pPr>
              <w:pStyle w:val="Tablicadanerodek"/>
              <w:rPr>
                <w:highlight w:val="yellow"/>
              </w:rPr>
            </w:pPr>
            <w:r w:rsidRPr="0088165A">
              <w:t>15 043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</w:tcPr>
          <w:p w14:paraId="31925E8C" w14:textId="77777777" w:rsidR="0012797F" w:rsidRDefault="0012797F" w:rsidP="0012797F">
            <w:pPr>
              <w:pStyle w:val="Tablicadanerodek"/>
            </w:pPr>
            <w:r w:rsidRPr="0088165A">
              <w:t>403,6</w:t>
            </w:r>
          </w:p>
        </w:tc>
      </w:tr>
      <w:tr w:rsidR="00545A27" w14:paraId="52FD7ACA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9B43145" w14:textId="77777777" w:rsidR="00545A27" w:rsidRDefault="00545A27" w:rsidP="00545A27">
            <w:pPr>
              <w:pStyle w:val="Tablicaboczek"/>
            </w:pPr>
            <w:r w:rsidRPr="00D41BE6">
              <w:t>Obciążenia lub przychody podatkowe</w:t>
            </w:r>
            <w:r>
              <w:br/>
            </w:r>
            <w:r w:rsidRPr="00D41BE6">
              <w:t>od działalności kontynuowanej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30D2E9D3" w14:textId="77777777" w:rsidR="00545A27" w:rsidRDefault="00545A27" w:rsidP="00545A27">
            <w:pPr>
              <w:pStyle w:val="Tablicadanerodek"/>
            </w:pPr>
            <w:r w:rsidRPr="00C3478C">
              <w:t>4 064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2661219D" w14:textId="77777777" w:rsidR="00545A27" w:rsidRDefault="00545A27" w:rsidP="00545A27">
            <w:pPr>
              <w:pStyle w:val="Tablicadanerodek"/>
            </w:pPr>
            <w:r w:rsidRPr="00C3478C">
              <w:t>6 110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</w:tcPr>
          <w:p w14:paraId="77535554" w14:textId="77777777" w:rsidR="00545A27" w:rsidRDefault="00545A27" w:rsidP="00545A27">
            <w:pPr>
              <w:pStyle w:val="Tablicadanerodek"/>
            </w:pPr>
            <w:r w:rsidRPr="00C3478C">
              <w:t>150,3</w:t>
            </w:r>
          </w:p>
        </w:tc>
      </w:tr>
      <w:tr w:rsidR="00545A27" w14:paraId="055FA184" w14:textId="77777777" w:rsidTr="005B621A">
        <w:trPr>
          <w:trHeight w:val="300"/>
        </w:trPr>
        <w:tc>
          <w:tcPr>
            <w:tcW w:w="4393" w:type="dxa"/>
            <w:tcBorders>
              <w:top w:val="single" w:sz="4" w:space="0" w:color="001D77"/>
              <w:left w:val="nil"/>
              <w:bottom w:val="nil"/>
              <w:right w:val="single" w:sz="2" w:space="0" w:color="001D77"/>
            </w:tcBorders>
            <w:noWrap/>
          </w:tcPr>
          <w:p w14:paraId="615C7A36" w14:textId="77777777" w:rsidR="00545A27" w:rsidRDefault="00545A27" w:rsidP="00545A27">
            <w:pPr>
              <w:pStyle w:val="Tablicaboczek"/>
            </w:pPr>
            <w:r w:rsidRPr="00D41BE6">
              <w:t>Wynik finansowy netto</w:t>
            </w:r>
          </w:p>
        </w:tc>
        <w:tc>
          <w:tcPr>
            <w:tcW w:w="1180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33C959DC" w14:textId="77777777" w:rsidR="00545A27" w:rsidRDefault="00545A27" w:rsidP="00545A27">
            <w:pPr>
              <w:pStyle w:val="Tablicadanerodek"/>
            </w:pPr>
            <w:r w:rsidRPr="00C3478C">
              <w:t>-337</w:t>
            </w:r>
          </w:p>
        </w:tc>
        <w:tc>
          <w:tcPr>
            <w:tcW w:w="1181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4E892A82" w14:textId="77777777" w:rsidR="00545A27" w:rsidRDefault="00545A27" w:rsidP="00545A27">
            <w:pPr>
              <w:pStyle w:val="Tablicadanerodek"/>
            </w:pPr>
            <w:r w:rsidRPr="00C3478C">
              <w:t>8 933</w:t>
            </w:r>
          </w:p>
        </w:tc>
        <w:tc>
          <w:tcPr>
            <w:tcW w:w="1184" w:type="dxa"/>
            <w:gridSpan w:val="2"/>
            <w:tcBorders>
              <w:top w:val="single" w:sz="4" w:space="0" w:color="001D77"/>
              <w:left w:val="single" w:sz="2" w:space="0" w:color="001D77"/>
              <w:bottom w:val="nil"/>
              <w:right w:val="nil"/>
            </w:tcBorders>
            <w:noWrap/>
          </w:tcPr>
          <w:p w14:paraId="7F30920B" w14:textId="77777777" w:rsidR="00545A27" w:rsidRDefault="00545A27" w:rsidP="00545A27">
            <w:pPr>
              <w:pStyle w:val="Tablicadanerodek"/>
            </w:pPr>
            <w:r>
              <w:t>x</w:t>
            </w:r>
          </w:p>
        </w:tc>
      </w:tr>
    </w:tbl>
    <w:p w14:paraId="40C3FF9F" w14:textId="330CBA69" w:rsidR="00AF5E56" w:rsidRDefault="00AF5E56" w:rsidP="00AF5E56">
      <w:pPr>
        <w:pStyle w:val="Tablicanotka"/>
        <w:spacing w:line="288" w:lineRule="auto"/>
        <w:rPr>
          <w:rFonts w:eastAsia="Fira Sans Light" w:cs="Times New Roman"/>
          <w:sz w:val="19"/>
          <w:szCs w:val="19"/>
        </w:rPr>
      </w:pPr>
      <w:r>
        <w:rPr>
          <w:sz w:val="19"/>
          <w:szCs w:val="19"/>
          <w:lang w:eastAsia="pl-PL"/>
        </w:rPr>
        <w:lastRenderedPageBreak/>
        <w:t>W</w:t>
      </w:r>
      <w:r w:rsidRPr="005C7ED9">
        <w:rPr>
          <w:rFonts w:eastAsia="Fira Sans Light" w:cs="Times New Roman"/>
          <w:sz w:val="19"/>
          <w:szCs w:val="19"/>
        </w:rPr>
        <w:t xml:space="preserve"> </w:t>
      </w:r>
      <w:r>
        <w:rPr>
          <w:rFonts w:eastAsia="Fira Sans Light" w:cs="Times New Roman"/>
          <w:sz w:val="19"/>
          <w:szCs w:val="19"/>
        </w:rPr>
        <w:t xml:space="preserve">sektorze bankowym </w:t>
      </w:r>
      <w:r w:rsidRPr="005C7ED9">
        <w:rPr>
          <w:rFonts w:eastAsia="Fira Sans Light" w:cs="Times New Roman"/>
          <w:sz w:val="19"/>
          <w:szCs w:val="19"/>
        </w:rPr>
        <w:t xml:space="preserve">w 2021 r. zyski netto </w:t>
      </w:r>
      <w:r w:rsidR="005B1742">
        <w:rPr>
          <w:rFonts w:eastAsia="Fira Sans Light" w:cs="Times New Roman"/>
          <w:sz w:val="19"/>
          <w:szCs w:val="19"/>
        </w:rPr>
        <w:t xml:space="preserve">na kwotę 14,5 mld zł </w:t>
      </w:r>
      <w:r>
        <w:rPr>
          <w:rFonts w:eastAsia="Fira Sans Light" w:cs="Times New Roman"/>
          <w:sz w:val="19"/>
          <w:szCs w:val="19"/>
        </w:rPr>
        <w:t xml:space="preserve">wypracowały </w:t>
      </w:r>
      <w:r w:rsidRPr="005C7ED9">
        <w:rPr>
          <w:rFonts w:eastAsia="Fira Sans Light" w:cs="Times New Roman"/>
          <w:sz w:val="19"/>
          <w:szCs w:val="19"/>
        </w:rPr>
        <w:t>542 bank</w:t>
      </w:r>
      <w:r>
        <w:rPr>
          <w:rFonts w:eastAsia="Fira Sans Light" w:cs="Times New Roman"/>
          <w:sz w:val="19"/>
          <w:szCs w:val="19"/>
        </w:rPr>
        <w:t>i</w:t>
      </w:r>
      <w:r w:rsidR="005B1742">
        <w:rPr>
          <w:rFonts w:eastAsia="Fira Sans Light" w:cs="Times New Roman"/>
          <w:sz w:val="19"/>
          <w:szCs w:val="19"/>
        </w:rPr>
        <w:t xml:space="preserve"> (</w:t>
      </w:r>
      <w:r w:rsidR="00961DF1">
        <w:rPr>
          <w:rFonts w:eastAsia="Fira Sans Light" w:cs="Times New Roman"/>
          <w:sz w:val="19"/>
          <w:szCs w:val="19"/>
        </w:rPr>
        <w:t>47</w:t>
      </w:r>
      <w:r w:rsidR="005B1742">
        <w:rPr>
          <w:rFonts w:eastAsia="Fira Sans Light" w:cs="Times New Roman"/>
          <w:sz w:val="19"/>
          <w:szCs w:val="19"/>
        </w:rPr>
        <w:t xml:space="preserve"> komercyjn</w:t>
      </w:r>
      <w:r w:rsidR="009E07CB">
        <w:rPr>
          <w:rFonts w:eastAsia="Fira Sans Light" w:cs="Times New Roman"/>
          <w:sz w:val="19"/>
          <w:szCs w:val="19"/>
        </w:rPr>
        <w:t>ych</w:t>
      </w:r>
      <w:r w:rsidR="005B1742">
        <w:rPr>
          <w:rFonts w:eastAsia="Fira Sans Light" w:cs="Times New Roman"/>
          <w:sz w:val="19"/>
          <w:szCs w:val="19"/>
        </w:rPr>
        <w:t xml:space="preserve"> i </w:t>
      </w:r>
      <w:r w:rsidR="00961DF1">
        <w:rPr>
          <w:rFonts w:eastAsia="Fira Sans Light" w:cs="Times New Roman"/>
          <w:sz w:val="19"/>
          <w:szCs w:val="19"/>
        </w:rPr>
        <w:t>495</w:t>
      </w:r>
      <w:r w:rsidR="005B1742">
        <w:rPr>
          <w:rFonts w:eastAsia="Fira Sans Light" w:cs="Times New Roman"/>
          <w:sz w:val="19"/>
          <w:szCs w:val="19"/>
        </w:rPr>
        <w:t xml:space="preserve"> spółdzielcz</w:t>
      </w:r>
      <w:r w:rsidR="009E07CB">
        <w:rPr>
          <w:rFonts w:eastAsia="Fira Sans Light" w:cs="Times New Roman"/>
          <w:sz w:val="19"/>
          <w:szCs w:val="19"/>
        </w:rPr>
        <w:t>ych</w:t>
      </w:r>
      <w:r w:rsidR="005B1742">
        <w:rPr>
          <w:rFonts w:eastAsia="Fira Sans Light" w:cs="Times New Roman"/>
          <w:sz w:val="19"/>
          <w:szCs w:val="19"/>
        </w:rPr>
        <w:t>)</w:t>
      </w:r>
      <w:r>
        <w:rPr>
          <w:rFonts w:eastAsia="Fira Sans Light" w:cs="Times New Roman"/>
          <w:sz w:val="19"/>
          <w:szCs w:val="19"/>
        </w:rPr>
        <w:t>,</w:t>
      </w:r>
      <w:r w:rsidR="00961DF1">
        <w:rPr>
          <w:rFonts w:eastAsia="Fira Sans Light" w:cs="Times New Roman"/>
          <w:sz w:val="19"/>
          <w:szCs w:val="19"/>
        </w:rPr>
        <w:t xml:space="preserve"> a</w:t>
      </w:r>
      <w:r w:rsidRPr="005C7ED9">
        <w:rPr>
          <w:rFonts w:eastAsia="Fira Sans Light" w:cs="Times New Roman"/>
          <w:sz w:val="19"/>
          <w:szCs w:val="19"/>
        </w:rPr>
        <w:t xml:space="preserve"> straty netto o wartości 5,5</w:t>
      </w:r>
      <w:r w:rsidR="00961DF1">
        <w:rPr>
          <w:rFonts w:eastAsia="Fira Sans Light" w:cs="Times New Roman"/>
          <w:sz w:val="19"/>
          <w:szCs w:val="19"/>
        </w:rPr>
        <w:t xml:space="preserve"> </w:t>
      </w:r>
      <w:r w:rsidRPr="005C7ED9">
        <w:rPr>
          <w:rFonts w:eastAsia="Fira Sans Light" w:cs="Times New Roman"/>
          <w:sz w:val="19"/>
          <w:szCs w:val="19"/>
        </w:rPr>
        <w:t>mld zł</w:t>
      </w:r>
      <w:r>
        <w:rPr>
          <w:rFonts w:eastAsia="Fira Sans Light" w:cs="Times New Roman"/>
          <w:sz w:val="19"/>
          <w:szCs w:val="19"/>
        </w:rPr>
        <w:t xml:space="preserve"> </w:t>
      </w:r>
      <w:r w:rsidR="005B1742">
        <w:rPr>
          <w:rFonts w:eastAsia="Fira Sans Light" w:cs="Times New Roman"/>
          <w:sz w:val="19"/>
          <w:szCs w:val="19"/>
        </w:rPr>
        <w:t>poniosło</w:t>
      </w:r>
      <w:r>
        <w:rPr>
          <w:rFonts w:eastAsia="Fira Sans Light" w:cs="Times New Roman"/>
          <w:sz w:val="19"/>
          <w:szCs w:val="19"/>
        </w:rPr>
        <w:t xml:space="preserve"> </w:t>
      </w:r>
      <w:r w:rsidRPr="005C7ED9">
        <w:rPr>
          <w:rFonts w:eastAsia="Fira Sans Light" w:cs="Times New Roman"/>
          <w:sz w:val="19"/>
          <w:szCs w:val="19"/>
        </w:rPr>
        <w:t>36 banków (20 komercyjnych, w tym 11 oddziałów instytucji kredytowych oraz 16 spółdzielczych).</w:t>
      </w:r>
    </w:p>
    <w:p w14:paraId="389586BF" w14:textId="2482C6C2" w:rsidR="00B16871" w:rsidRPr="00B2705B" w:rsidRDefault="00DA0DF3" w:rsidP="00172E7F">
      <w:pPr>
        <w:pStyle w:val="Tytuwykresu0"/>
        <w:spacing w:line="240" w:lineRule="exact"/>
        <w:rPr>
          <w:rFonts w:ascii="Fira Sans" w:hAnsi="Fira Sans"/>
          <w:szCs w:val="19"/>
        </w:rPr>
      </w:pPr>
      <w:r w:rsidRPr="00B2705B">
        <w:rPr>
          <w:rFonts w:ascii="Fira Sans" w:hAnsi="Fira Sans"/>
          <w:szCs w:val="19"/>
        </w:rPr>
        <w:drawing>
          <wp:anchor distT="0" distB="0" distL="114300" distR="114300" simplePos="0" relativeHeight="251766784" behindDoc="1" locked="0" layoutInCell="1" allowOverlap="1" wp14:anchorId="42D3CDC8" wp14:editId="0F2AF5B1">
            <wp:simplePos x="0" y="0"/>
            <wp:positionH relativeFrom="column">
              <wp:posOffset>25400</wp:posOffset>
            </wp:positionH>
            <wp:positionV relativeFrom="paragraph">
              <wp:posOffset>419100</wp:posOffset>
            </wp:positionV>
            <wp:extent cx="5158105" cy="2397760"/>
            <wp:effectExtent l="0" t="0" r="4445" b="2540"/>
            <wp:wrapTight wrapText="bothSides">
              <wp:wrapPolygon edited="0">
                <wp:start x="0" y="0"/>
                <wp:lineTo x="0" y="21451"/>
                <wp:lineTo x="21539" y="21451"/>
                <wp:lineTo x="21539" y="0"/>
                <wp:lineTo x="0" y="0"/>
              </wp:wrapPolygon>
            </wp:wrapTight>
            <wp:docPr id="2" name="Obraz 2" descr="Wykres 1. Struktura całkowitych przychodów operacyjnych, netto, w latach 2020-2021 (w 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71" w:rsidRPr="00B2705B">
        <w:rPr>
          <w:rFonts w:ascii="Fira Sans" w:hAnsi="Fira Sans"/>
          <w:szCs w:val="19"/>
        </w:rPr>
        <w:t xml:space="preserve">Wykres 1. </w:t>
      </w:r>
      <w:r w:rsidR="00006B18" w:rsidRPr="00B2705B">
        <w:rPr>
          <w:rFonts w:ascii="Fira Sans" w:hAnsi="Fira Sans"/>
          <w:szCs w:val="19"/>
        </w:rPr>
        <w:t>Struktura całkowitych przychodów operacyjnych, netto (w %)</w:t>
      </w:r>
    </w:p>
    <w:p w14:paraId="5B5F1936" w14:textId="480FBF0B" w:rsidR="00006B18" w:rsidRPr="00F049AB" w:rsidRDefault="003E2ABF" w:rsidP="0012406F">
      <w:pPr>
        <w:pStyle w:val="Tytutablicy"/>
        <w:spacing w:before="600"/>
        <w:ind w:left="851" w:hanging="851"/>
      </w:pPr>
      <w:r w:rsidRPr="00823593">
        <w:rPr>
          <w:b w:val="0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388EF53B" wp14:editId="55D5DE95">
                <wp:simplePos x="0" y="0"/>
                <wp:positionH relativeFrom="column">
                  <wp:posOffset>5258191</wp:posOffset>
                </wp:positionH>
                <wp:positionV relativeFrom="page">
                  <wp:posOffset>4447149</wp:posOffset>
                </wp:positionV>
                <wp:extent cx="1836420" cy="1254125"/>
                <wp:effectExtent l="0" t="0" r="0" b="3175"/>
                <wp:wrapTight wrapText="bothSides">
                  <wp:wrapPolygon edited="0">
                    <wp:start x="672" y="0"/>
                    <wp:lineTo x="672" y="21327"/>
                    <wp:lineTo x="20838" y="21327"/>
                    <wp:lineTo x="20838" y="0"/>
                    <wp:lineTo x="672" y="0"/>
                  </wp:wrapPolygon>
                </wp:wrapTight>
                <wp:docPr id="13" name="Pole tekstowe 13" descr="W końcu 2021 r. odnotowano wzrost sumy bilansowej do 2 556,7 mld zł (o 9,3%) oraz spadek kapitałów własnych do 202,6 mld zł (o 7,8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743E" w14:textId="720682A6" w:rsidR="00216634" w:rsidRPr="00E95B8E" w:rsidRDefault="003423D9" w:rsidP="00EC5211">
                            <w:pPr>
                              <w:pStyle w:val="tekstzboku"/>
                              <w:spacing w:before="240"/>
                              <w:rPr>
                                <w:bCs w:val="0"/>
                              </w:rPr>
                            </w:pPr>
                            <w:r>
                              <w:t xml:space="preserve">W </w:t>
                            </w:r>
                            <w:r w:rsidR="00220357">
                              <w:t xml:space="preserve">końcu </w:t>
                            </w:r>
                            <w:r>
                              <w:t>2021 r. odnotowano w</w:t>
                            </w:r>
                            <w:r w:rsidR="00EC5211">
                              <w:t xml:space="preserve">zrost sumy bilansowej </w:t>
                            </w:r>
                            <w:r w:rsidR="00220357">
                              <w:t>do 2 556,7 mld zł (</w:t>
                            </w:r>
                            <w:r w:rsidR="00EC5211">
                              <w:t>o</w:t>
                            </w:r>
                            <w:r w:rsidR="00463728">
                              <w:t> </w:t>
                            </w:r>
                            <w:r w:rsidR="00220357">
                              <w:t>9,3%)</w:t>
                            </w:r>
                            <w:r>
                              <w:t xml:space="preserve"> oraz spadek</w:t>
                            </w:r>
                            <w:r w:rsidR="00EC5211">
                              <w:t xml:space="preserve"> kapitałów własnych </w:t>
                            </w:r>
                            <w:r w:rsidR="00220357">
                              <w:t>do 202,6 mld zł (</w:t>
                            </w:r>
                            <w:r w:rsidR="00EC5211">
                              <w:t xml:space="preserve">o </w:t>
                            </w:r>
                            <w:r w:rsidR="00220357">
                              <w:t>7,8%)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F53B" id="Pole tekstowe 13" o:spid="_x0000_s1028" type="#_x0000_t202" alt="W końcu 2021 r. odnotowano wzrost sumy bilansowej do 2 556,7 mld zł (o 9,3%) oraz spadek kapitałów własnych do 202,6 mld zł (o 7,8%)" style="position:absolute;left:0;text-align:left;margin-left:414.05pt;margin-top:350.15pt;width:144.6pt;height:98.7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" filled="f" stroked="f">
                <v:textbox>
                  <w:txbxContent>
                    <w:p w14:paraId="7A1D743E" w14:textId="720682A6" w:rsidR="00216634" w:rsidRPr="00E95B8E" w:rsidRDefault="003423D9" w:rsidP="00EC5211">
                      <w:pPr>
                        <w:pStyle w:val="tekstzboku"/>
                        <w:spacing w:before="240"/>
                        <w:rPr>
                          <w:bCs w:val="0"/>
                        </w:rPr>
                      </w:pPr>
                      <w:r>
                        <w:t xml:space="preserve">W </w:t>
                      </w:r>
                      <w:r w:rsidR="00220357">
                        <w:t xml:space="preserve">końcu </w:t>
                      </w:r>
                      <w:r>
                        <w:t>2021 r. odnotowano w</w:t>
                      </w:r>
                      <w:r w:rsidR="00EC5211">
                        <w:t xml:space="preserve">zrost sumy bilansowej </w:t>
                      </w:r>
                      <w:r w:rsidR="00220357">
                        <w:t>do 2 556,7 mld zł (</w:t>
                      </w:r>
                      <w:r w:rsidR="00EC5211">
                        <w:t>o</w:t>
                      </w:r>
                      <w:r w:rsidR="00463728">
                        <w:t> </w:t>
                      </w:r>
                      <w:r w:rsidR="00220357">
                        <w:t>9,3%)</w:t>
                      </w:r>
                      <w:r>
                        <w:t xml:space="preserve"> oraz spadek</w:t>
                      </w:r>
                      <w:r w:rsidR="00EC5211">
                        <w:t xml:space="preserve"> kapitałów własnych </w:t>
                      </w:r>
                      <w:r w:rsidR="00220357">
                        <w:t>do 202,6 mld zł (</w:t>
                      </w:r>
                      <w:r w:rsidR="00EC5211">
                        <w:t xml:space="preserve">o </w:t>
                      </w:r>
                      <w:r w:rsidR="00220357">
                        <w:t>7,8%)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06B18" w:rsidRPr="00F049AB">
        <w:t xml:space="preserve">Tablica </w:t>
      </w:r>
      <w:r w:rsidR="00006B18">
        <w:t>2</w:t>
      </w:r>
      <w:r w:rsidR="00006B18" w:rsidRPr="00F049AB">
        <w:t xml:space="preserve">. </w:t>
      </w:r>
      <w:r w:rsidR="00006B18" w:rsidRPr="00006B18">
        <w:t xml:space="preserve">Wybrane pozycje bilansowe </w:t>
      </w:r>
      <w:r w:rsidR="004C399F">
        <w:br/>
      </w:r>
      <w:r w:rsidR="004C399F" w:rsidRPr="00DC64D9">
        <w:rPr>
          <w:b w:val="0"/>
        </w:rPr>
        <w:t>(</w:t>
      </w:r>
      <w:r w:rsidR="0012406F">
        <w:rPr>
          <w:b w:val="0"/>
        </w:rPr>
        <w:t>s</w:t>
      </w:r>
      <w:r w:rsidR="004C399F" w:rsidRPr="00DC64D9">
        <w:rPr>
          <w:b w:val="0"/>
        </w:rPr>
        <w:t>tan w dniu 31</w:t>
      </w:r>
      <w:r w:rsidR="004C399F">
        <w:rPr>
          <w:b w:val="0"/>
        </w:rPr>
        <w:t xml:space="preserve"> </w:t>
      </w:r>
      <w:r w:rsidR="0012406F">
        <w:rPr>
          <w:b w:val="0"/>
        </w:rPr>
        <w:t>XII</w:t>
      </w:r>
      <w:r w:rsidR="004C399F" w:rsidRPr="00DC64D9">
        <w:rPr>
          <w:b w:val="0"/>
        </w:rPr>
        <w:t>)</w:t>
      </w:r>
    </w:p>
    <w:tbl>
      <w:tblPr>
        <w:tblW w:w="7938" w:type="dxa"/>
        <w:tblBorders>
          <w:insideH w:val="single" w:sz="2" w:space="0" w:color="001D77"/>
          <w:insideV w:val="single" w:sz="2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2. Wybrane pozycje bilansowe sektora bankowego w latach 2020-2021 (stan w dniu 31 grudnia)"/>
      </w:tblPr>
      <w:tblGrid>
        <w:gridCol w:w="3967"/>
        <w:gridCol w:w="1324"/>
        <w:gridCol w:w="1323"/>
        <w:gridCol w:w="6"/>
        <w:gridCol w:w="1318"/>
      </w:tblGrid>
      <w:tr w:rsidR="00006B18" w14:paraId="1E8E590D" w14:textId="77777777" w:rsidTr="005B621A">
        <w:trPr>
          <w:trHeight w:val="456"/>
        </w:trPr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14:paraId="6A5725ED" w14:textId="77777777" w:rsidR="00006B18" w:rsidRPr="005B621A" w:rsidRDefault="00006B18" w:rsidP="005B621A">
            <w:pPr>
              <w:jc w:val="center"/>
            </w:pPr>
            <w:r w:rsidRPr="005B621A">
              <w:t>Wyszczególnienie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  <w:hideMark/>
          </w:tcPr>
          <w:p w14:paraId="2C56D1DC" w14:textId="77777777" w:rsidR="00006B18" w:rsidRPr="005B621A" w:rsidRDefault="00006B18" w:rsidP="005B621A">
            <w:pPr>
              <w:jc w:val="center"/>
            </w:pPr>
            <w:r w:rsidRPr="005B621A">
              <w:t>2020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19BDB9D1" w14:textId="77777777" w:rsidR="00006B18" w:rsidRPr="005B621A" w:rsidRDefault="00006B18" w:rsidP="005B621A">
            <w:pPr>
              <w:jc w:val="center"/>
            </w:pPr>
            <w:r w:rsidRPr="005B621A">
              <w:t>2021</w:t>
            </w:r>
          </w:p>
        </w:tc>
      </w:tr>
      <w:tr w:rsidR="00006B18" w14:paraId="0B4983B6" w14:textId="77777777" w:rsidTr="005B621A">
        <w:trPr>
          <w:trHeight w:val="456"/>
        </w:trPr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55FAFE32" w14:textId="77777777" w:rsidR="00006B18" w:rsidRPr="005B621A" w:rsidRDefault="00006B18" w:rsidP="00DE3A9F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single" w:sz="2" w:space="0" w:color="001D77"/>
              <w:left w:val="single" w:sz="4" w:space="0" w:color="001D77"/>
              <w:bottom w:val="single" w:sz="4" w:space="0" w:color="001D77"/>
              <w:right w:val="single" w:sz="4" w:space="0" w:color="auto"/>
            </w:tcBorders>
            <w:vAlign w:val="center"/>
            <w:hideMark/>
          </w:tcPr>
          <w:p w14:paraId="18F6A007" w14:textId="77777777" w:rsidR="00006B18" w:rsidRPr="005B621A" w:rsidRDefault="00006B18" w:rsidP="005B621A">
            <w:pPr>
              <w:jc w:val="center"/>
            </w:pPr>
            <w:r w:rsidRPr="005B621A">
              <w:t>w mln</w:t>
            </w:r>
            <w:r w:rsidR="009E07CB" w:rsidRPr="005B621A">
              <w:t xml:space="preserve"> zł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4865FA8B" w14:textId="77777777" w:rsidR="00006B18" w:rsidRPr="005B621A" w:rsidRDefault="00006B18" w:rsidP="005B621A">
            <w:pPr>
              <w:jc w:val="center"/>
            </w:pPr>
            <w:r w:rsidRPr="005B621A">
              <w:t>2020=100</w:t>
            </w:r>
          </w:p>
        </w:tc>
      </w:tr>
      <w:tr w:rsidR="00545A27" w14:paraId="1514AF6A" w14:textId="77777777" w:rsidTr="005B621A">
        <w:trPr>
          <w:trHeight w:val="300"/>
        </w:trPr>
        <w:tc>
          <w:tcPr>
            <w:tcW w:w="39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E4E8F19" w14:textId="77777777" w:rsidR="00545A27" w:rsidRDefault="00545A27" w:rsidP="005B621A">
            <w:pPr>
              <w:pStyle w:val="Tablicaboczek"/>
            </w:pPr>
            <w:r w:rsidRPr="00503146">
              <w:t xml:space="preserve">Suma bilansowa 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6D46B7A" w14:textId="77777777" w:rsidR="00545A27" w:rsidRDefault="00545A27" w:rsidP="00545A27">
            <w:pPr>
              <w:pStyle w:val="Tablicadanerodek"/>
            </w:pPr>
            <w:r w:rsidRPr="00271666">
              <w:t>2 338 356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5E2C0667" w14:textId="77777777" w:rsidR="00545A27" w:rsidRDefault="00545A27" w:rsidP="00545A27">
            <w:pPr>
              <w:pStyle w:val="Tablicadanerodek"/>
            </w:pPr>
            <w:r w:rsidRPr="00271666">
              <w:t>2 556 722</w:t>
            </w:r>
          </w:p>
        </w:tc>
        <w:tc>
          <w:tcPr>
            <w:tcW w:w="132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9FE8A83" w14:textId="77777777" w:rsidR="00545A27" w:rsidRDefault="00545A27" w:rsidP="00545A27">
            <w:pPr>
              <w:pStyle w:val="Tablicadanerodek"/>
            </w:pPr>
            <w:r w:rsidRPr="00271666">
              <w:t>109,3</w:t>
            </w:r>
          </w:p>
        </w:tc>
      </w:tr>
      <w:tr w:rsidR="00A72168" w14:paraId="53B13563" w14:textId="77777777" w:rsidTr="005B621A">
        <w:trPr>
          <w:trHeight w:val="300"/>
        </w:trPr>
        <w:tc>
          <w:tcPr>
            <w:tcW w:w="39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559A3798" w14:textId="77777777" w:rsidR="00A72168" w:rsidRDefault="00A72168" w:rsidP="005B621A">
            <w:pPr>
              <w:pStyle w:val="Tablicaboczek"/>
              <w:ind w:left="318"/>
            </w:pPr>
            <w:r w:rsidRPr="00503146">
              <w:t>w tym aktywa finansowe wyceniane</w:t>
            </w:r>
            <w:r>
              <w:br/>
            </w:r>
            <w:r w:rsidRPr="00503146">
              <w:t>wg zamortyzowanego kosztu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1853A401" w14:textId="77777777" w:rsidR="00A72168" w:rsidRDefault="00A72168" w:rsidP="00A72168">
            <w:pPr>
              <w:pStyle w:val="Tablicadanerodek"/>
            </w:pPr>
            <w:r w:rsidRPr="0062205C">
              <w:t>1 515 458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5BC76F69" w14:textId="77777777" w:rsidR="00A72168" w:rsidRDefault="00A72168" w:rsidP="00A72168">
            <w:pPr>
              <w:pStyle w:val="Tablicadanerodek"/>
              <w:rPr>
                <w:highlight w:val="yellow"/>
              </w:rPr>
            </w:pPr>
            <w:r w:rsidRPr="0062205C">
              <w:t>1 653 661</w:t>
            </w:r>
          </w:p>
        </w:tc>
        <w:tc>
          <w:tcPr>
            <w:tcW w:w="132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  <w:hideMark/>
          </w:tcPr>
          <w:p w14:paraId="0D0A0011" w14:textId="77777777" w:rsidR="00A72168" w:rsidRDefault="00A72168" w:rsidP="00A72168">
            <w:pPr>
              <w:pStyle w:val="Tablicadanerodek"/>
            </w:pPr>
            <w:r w:rsidRPr="0062205C">
              <w:t>109,1</w:t>
            </w:r>
          </w:p>
        </w:tc>
      </w:tr>
      <w:tr w:rsidR="00545A27" w14:paraId="6EFAB893" w14:textId="77777777" w:rsidTr="005B621A">
        <w:trPr>
          <w:trHeight w:val="300"/>
        </w:trPr>
        <w:tc>
          <w:tcPr>
            <w:tcW w:w="39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5059ED0F" w14:textId="77777777" w:rsidR="00545A27" w:rsidRDefault="00545A27" w:rsidP="005B621A">
            <w:pPr>
              <w:pStyle w:val="Tablicaboczek"/>
              <w:ind w:left="176"/>
            </w:pPr>
            <w:r w:rsidRPr="00503146">
              <w:t>Zobowiązania razem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4E826FA" w14:textId="77777777" w:rsidR="00545A27" w:rsidRDefault="00545A27" w:rsidP="00545A27">
            <w:pPr>
              <w:pStyle w:val="Tablicadanerodek"/>
            </w:pPr>
            <w:r w:rsidRPr="00271666">
              <w:t>2 118 714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92C0614" w14:textId="77777777" w:rsidR="00545A27" w:rsidRDefault="00545A27" w:rsidP="00545A27">
            <w:pPr>
              <w:pStyle w:val="Tablicadanerodek"/>
              <w:rPr>
                <w:highlight w:val="yellow"/>
              </w:rPr>
            </w:pPr>
            <w:r w:rsidRPr="00271666">
              <w:t>2 354 148</w:t>
            </w:r>
          </w:p>
        </w:tc>
        <w:tc>
          <w:tcPr>
            <w:tcW w:w="132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hideMark/>
          </w:tcPr>
          <w:p w14:paraId="28F2357D" w14:textId="77777777" w:rsidR="00545A27" w:rsidRDefault="00545A27" w:rsidP="00545A27">
            <w:pPr>
              <w:pStyle w:val="Tablicadanerodek"/>
            </w:pPr>
            <w:r w:rsidRPr="00271666">
              <w:t>111,1</w:t>
            </w:r>
          </w:p>
        </w:tc>
      </w:tr>
      <w:tr w:rsidR="004A3EC3" w14:paraId="38D46FC9" w14:textId="77777777" w:rsidTr="005B621A">
        <w:trPr>
          <w:trHeight w:val="300"/>
        </w:trPr>
        <w:tc>
          <w:tcPr>
            <w:tcW w:w="3968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2387DA23" w14:textId="77777777" w:rsidR="004A3EC3" w:rsidRDefault="004A3EC3" w:rsidP="005B621A">
            <w:pPr>
              <w:pStyle w:val="Tablicaboczekwcicie1"/>
              <w:ind w:left="318" w:firstLine="0"/>
              <w:rPr>
                <w:rFonts w:eastAsia="Times New Roman" w:cs="Calibri"/>
                <w:lang w:eastAsia="pl-PL"/>
              </w:rPr>
            </w:pPr>
            <w:r w:rsidRPr="00503146">
              <w:t>w tym zobowiązania finansowe wyceniane</w:t>
            </w:r>
            <w:r>
              <w:t xml:space="preserve"> </w:t>
            </w:r>
            <w:r w:rsidRPr="00503146">
              <w:t>wg zamortyzowanego kosztu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2DC83893" w14:textId="77777777" w:rsidR="004A3EC3" w:rsidRDefault="004A3EC3" w:rsidP="004A3EC3">
            <w:pPr>
              <w:pStyle w:val="Tablicadanerodek"/>
            </w:pPr>
            <w:r w:rsidRPr="009B3D7E">
              <w:t>2 022 036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vAlign w:val="bottom"/>
          </w:tcPr>
          <w:p w14:paraId="752F1A4B" w14:textId="77777777" w:rsidR="004A3EC3" w:rsidRDefault="004A3EC3" w:rsidP="004A3EC3">
            <w:pPr>
              <w:pStyle w:val="Tablicadanerodek"/>
            </w:pPr>
            <w:r w:rsidRPr="009B3D7E">
              <w:t>2 227 949</w:t>
            </w:r>
          </w:p>
        </w:tc>
        <w:tc>
          <w:tcPr>
            <w:tcW w:w="1324" w:type="dxa"/>
            <w:gridSpan w:val="2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vAlign w:val="bottom"/>
          </w:tcPr>
          <w:p w14:paraId="2B10A69C" w14:textId="77777777" w:rsidR="004A3EC3" w:rsidRDefault="004A3EC3" w:rsidP="004A3EC3">
            <w:pPr>
              <w:pStyle w:val="Tablicadanerodek"/>
            </w:pPr>
            <w:r w:rsidRPr="009B3D7E">
              <w:t>110,2</w:t>
            </w:r>
          </w:p>
        </w:tc>
      </w:tr>
      <w:tr w:rsidR="00545A27" w14:paraId="46964B28" w14:textId="77777777" w:rsidTr="005B621A">
        <w:trPr>
          <w:trHeight w:val="300"/>
        </w:trPr>
        <w:tc>
          <w:tcPr>
            <w:tcW w:w="3968" w:type="dxa"/>
            <w:tcBorders>
              <w:top w:val="single" w:sz="4" w:space="0" w:color="001D77"/>
              <w:left w:val="nil"/>
              <w:bottom w:val="nil"/>
              <w:right w:val="single" w:sz="2" w:space="0" w:color="001D77"/>
            </w:tcBorders>
            <w:noWrap/>
            <w:hideMark/>
          </w:tcPr>
          <w:p w14:paraId="48D145F0" w14:textId="77777777" w:rsidR="00545A27" w:rsidRDefault="00545A27" w:rsidP="005B621A">
            <w:pPr>
              <w:pStyle w:val="Tablicaboczek"/>
              <w:ind w:left="176"/>
            </w:pPr>
            <w:r w:rsidRPr="00503146">
              <w:t>Kapitały własne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1F74F2D0" w14:textId="77777777" w:rsidR="00545A27" w:rsidRDefault="00545A27" w:rsidP="00545A27">
            <w:pPr>
              <w:pStyle w:val="Tablicadanerodek"/>
            </w:pPr>
            <w:r w:rsidRPr="00271666">
              <w:t>219 642</w:t>
            </w:r>
          </w:p>
        </w:tc>
        <w:tc>
          <w:tcPr>
            <w:tcW w:w="1323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6493DB3E" w14:textId="77777777" w:rsidR="00545A27" w:rsidRDefault="00545A27" w:rsidP="00545A27">
            <w:pPr>
              <w:pStyle w:val="Tablicadanerodek"/>
              <w:rPr>
                <w:highlight w:val="yellow"/>
              </w:rPr>
            </w:pPr>
            <w:r w:rsidRPr="00271666">
              <w:t>202 574</w:t>
            </w:r>
          </w:p>
        </w:tc>
        <w:tc>
          <w:tcPr>
            <w:tcW w:w="1324" w:type="dxa"/>
            <w:gridSpan w:val="2"/>
            <w:tcBorders>
              <w:top w:val="single" w:sz="4" w:space="0" w:color="001D77"/>
              <w:left w:val="single" w:sz="2" w:space="0" w:color="001D77"/>
              <w:bottom w:val="nil"/>
              <w:right w:val="nil"/>
            </w:tcBorders>
            <w:noWrap/>
            <w:hideMark/>
          </w:tcPr>
          <w:p w14:paraId="174ED6E2" w14:textId="77777777" w:rsidR="00545A27" w:rsidRDefault="00545A27" w:rsidP="00545A27">
            <w:pPr>
              <w:pStyle w:val="Tablicadanerodek"/>
            </w:pPr>
            <w:r w:rsidRPr="00271666">
              <w:t>92,2</w:t>
            </w:r>
          </w:p>
        </w:tc>
      </w:tr>
    </w:tbl>
    <w:p w14:paraId="0ECE1A12" w14:textId="1A0E35B5" w:rsidR="00EB4021" w:rsidRDefault="00E85789" w:rsidP="003E2ABF">
      <w:pPr>
        <w:spacing w:before="360" w:after="0" w:line="288" w:lineRule="auto"/>
        <w:rPr>
          <w:rFonts w:eastAsia="Times New Roman" w:cs="Times New Roman"/>
          <w:szCs w:val="19"/>
          <w:lang w:eastAsia="pl-PL"/>
        </w:rPr>
      </w:pPr>
      <w:r w:rsidRPr="00E85789">
        <w:rPr>
          <w:rFonts w:eastAsia="Times New Roman" w:cs="Times New Roman"/>
          <w:szCs w:val="19"/>
          <w:lang w:eastAsia="pl-PL"/>
        </w:rPr>
        <w:t>Według stanu w dniu 31 grudnia 202</w:t>
      </w:r>
      <w:r>
        <w:rPr>
          <w:rFonts w:eastAsia="Times New Roman" w:cs="Times New Roman"/>
          <w:szCs w:val="19"/>
          <w:lang w:eastAsia="pl-PL"/>
        </w:rPr>
        <w:t>1</w:t>
      </w:r>
      <w:r w:rsidRPr="00E85789">
        <w:rPr>
          <w:rFonts w:eastAsia="Times New Roman" w:cs="Times New Roman"/>
          <w:szCs w:val="19"/>
          <w:lang w:eastAsia="pl-PL"/>
        </w:rPr>
        <w:t xml:space="preserve"> r. największą pozycją aktywów sektora bankowego były aktywa finansowe wyceniane według zamortyzowanego kosztu</w:t>
      </w:r>
      <w:r w:rsidR="00177C9F">
        <w:rPr>
          <w:rFonts w:eastAsia="Times New Roman" w:cs="Times New Roman"/>
          <w:szCs w:val="19"/>
          <w:lang w:eastAsia="pl-PL"/>
        </w:rPr>
        <w:t>.</w:t>
      </w:r>
      <w:r w:rsidR="007E32BC">
        <w:rPr>
          <w:rFonts w:eastAsia="Times New Roman" w:cs="Times New Roman"/>
          <w:szCs w:val="19"/>
          <w:lang w:eastAsia="pl-PL"/>
        </w:rPr>
        <w:t xml:space="preserve"> </w:t>
      </w:r>
      <w:r w:rsidR="00177C9F">
        <w:rPr>
          <w:rFonts w:eastAsia="Times New Roman" w:cs="Times New Roman"/>
          <w:szCs w:val="19"/>
          <w:lang w:eastAsia="pl-PL"/>
        </w:rPr>
        <w:t>S</w:t>
      </w:r>
      <w:r w:rsidRPr="00E85789">
        <w:rPr>
          <w:rFonts w:eastAsia="Times New Roman" w:cs="Times New Roman"/>
          <w:szCs w:val="19"/>
          <w:lang w:eastAsia="pl-PL"/>
        </w:rPr>
        <w:t>tanowiły one 64,</w:t>
      </w:r>
      <w:r w:rsidR="00A72168">
        <w:rPr>
          <w:rFonts w:eastAsia="Times New Roman" w:cs="Times New Roman"/>
          <w:szCs w:val="19"/>
          <w:lang w:eastAsia="pl-PL"/>
        </w:rPr>
        <w:t>7</w:t>
      </w:r>
      <w:r w:rsidRPr="00E85789">
        <w:rPr>
          <w:rFonts w:eastAsia="Times New Roman" w:cs="Times New Roman"/>
          <w:szCs w:val="19"/>
          <w:lang w:eastAsia="pl-PL"/>
        </w:rPr>
        <w:t xml:space="preserve">% </w:t>
      </w:r>
      <w:r w:rsidR="00B92A6D">
        <w:rPr>
          <w:rFonts w:eastAsia="Times New Roman" w:cs="Times New Roman"/>
          <w:szCs w:val="19"/>
          <w:lang w:eastAsia="pl-PL"/>
        </w:rPr>
        <w:t xml:space="preserve">wszystkich </w:t>
      </w:r>
      <w:r w:rsidRPr="00E85789">
        <w:rPr>
          <w:rFonts w:eastAsia="Times New Roman" w:cs="Times New Roman"/>
          <w:szCs w:val="19"/>
          <w:lang w:eastAsia="pl-PL"/>
        </w:rPr>
        <w:t>aktywów</w:t>
      </w:r>
      <w:r w:rsidR="007E32BC">
        <w:rPr>
          <w:rFonts w:eastAsia="Times New Roman" w:cs="Times New Roman"/>
          <w:szCs w:val="19"/>
          <w:lang w:eastAsia="pl-PL"/>
        </w:rPr>
        <w:t xml:space="preserve">. </w:t>
      </w:r>
      <w:r w:rsidRPr="00E85789">
        <w:rPr>
          <w:rFonts w:eastAsia="Times New Roman" w:cs="Times New Roman"/>
          <w:szCs w:val="19"/>
          <w:lang w:eastAsia="pl-PL"/>
        </w:rPr>
        <w:t>Po stronie pasywów dominującą pozycją były zobowiązania finansowe wyceniane według zamortyzowanego kosztu, które stanowiły 8</w:t>
      </w:r>
      <w:r w:rsidR="00A72168">
        <w:rPr>
          <w:rFonts w:eastAsia="Times New Roman" w:cs="Times New Roman"/>
          <w:szCs w:val="19"/>
          <w:lang w:eastAsia="pl-PL"/>
        </w:rPr>
        <w:t>7</w:t>
      </w:r>
      <w:r w:rsidRPr="00E85789">
        <w:rPr>
          <w:rFonts w:eastAsia="Times New Roman" w:cs="Times New Roman"/>
          <w:szCs w:val="19"/>
          <w:lang w:eastAsia="pl-PL"/>
        </w:rPr>
        <w:t>,</w:t>
      </w:r>
      <w:r w:rsidR="00A72168">
        <w:rPr>
          <w:rFonts w:eastAsia="Times New Roman" w:cs="Times New Roman"/>
          <w:szCs w:val="19"/>
          <w:lang w:eastAsia="pl-PL"/>
        </w:rPr>
        <w:t>1</w:t>
      </w:r>
      <w:r w:rsidRPr="00E85789">
        <w:rPr>
          <w:rFonts w:eastAsia="Times New Roman" w:cs="Times New Roman"/>
          <w:szCs w:val="19"/>
          <w:lang w:eastAsia="pl-PL"/>
        </w:rPr>
        <w:t xml:space="preserve">% </w:t>
      </w:r>
      <w:r w:rsidR="00A72168" w:rsidRPr="00E85789">
        <w:rPr>
          <w:rFonts w:eastAsia="Times New Roman" w:cs="Times New Roman"/>
          <w:szCs w:val="19"/>
          <w:lang w:eastAsia="pl-PL"/>
        </w:rPr>
        <w:t>pasywów</w:t>
      </w:r>
      <w:r w:rsidRPr="00E85789">
        <w:rPr>
          <w:rFonts w:eastAsia="Times New Roman" w:cs="Times New Roman"/>
          <w:szCs w:val="19"/>
          <w:lang w:eastAsia="pl-PL"/>
        </w:rPr>
        <w:t>.</w:t>
      </w:r>
      <w:r w:rsidR="00B556F3">
        <w:rPr>
          <w:rFonts w:eastAsia="Times New Roman" w:cs="Times New Roman"/>
          <w:szCs w:val="19"/>
          <w:lang w:eastAsia="pl-PL"/>
        </w:rPr>
        <w:t xml:space="preserve"> </w:t>
      </w:r>
      <w:r w:rsidRPr="00E85789">
        <w:rPr>
          <w:rFonts w:eastAsia="Times New Roman" w:cs="Times New Roman"/>
          <w:szCs w:val="19"/>
          <w:lang w:eastAsia="pl-PL"/>
        </w:rPr>
        <w:t xml:space="preserve">Udział kapitałów własnych w pasywach wyniósł </w:t>
      </w:r>
      <w:r w:rsidR="00A72168" w:rsidRPr="00E85789">
        <w:rPr>
          <w:rFonts w:eastAsia="Times New Roman" w:cs="Times New Roman"/>
          <w:szCs w:val="19"/>
          <w:lang w:eastAsia="pl-PL"/>
        </w:rPr>
        <w:t>7</w:t>
      </w:r>
      <w:r w:rsidRPr="00E85789">
        <w:rPr>
          <w:rFonts w:eastAsia="Times New Roman" w:cs="Times New Roman"/>
          <w:szCs w:val="19"/>
          <w:lang w:eastAsia="pl-PL"/>
        </w:rPr>
        <w:t>,</w:t>
      </w:r>
      <w:r w:rsidR="00A72168" w:rsidRPr="00E85789">
        <w:rPr>
          <w:rFonts w:eastAsia="Times New Roman" w:cs="Times New Roman"/>
          <w:szCs w:val="19"/>
          <w:lang w:eastAsia="pl-PL"/>
        </w:rPr>
        <w:t>9</w:t>
      </w:r>
      <w:r w:rsidRPr="00E85789">
        <w:rPr>
          <w:rFonts w:eastAsia="Times New Roman" w:cs="Times New Roman"/>
          <w:szCs w:val="19"/>
          <w:lang w:eastAsia="pl-PL"/>
        </w:rPr>
        <w:t>%.</w:t>
      </w:r>
    </w:p>
    <w:p w14:paraId="13CAE488" w14:textId="77777777" w:rsidR="00EB4021" w:rsidRDefault="00EB4021">
      <w:pPr>
        <w:spacing w:before="0" w:after="160" w:line="259" w:lineRule="auto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br w:type="page"/>
      </w:r>
    </w:p>
    <w:p w14:paraId="507E2FC1" w14:textId="787769D2" w:rsidR="006B5BF3" w:rsidRDefault="003B1123" w:rsidP="006B5BF3">
      <w:pPr>
        <w:pStyle w:val="Nagwek1"/>
        <w:rPr>
          <w:rFonts w:ascii="Fira Sans" w:hAnsi="Fira Sans"/>
          <w:b/>
          <w:szCs w:val="19"/>
        </w:rPr>
      </w:pPr>
      <w:r w:rsidRPr="00823593">
        <w:rPr>
          <w:b/>
          <w:noProof/>
          <w:spacing w:val="-2"/>
        </w:rPr>
        <w:lastRenderedPageBreak/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53EDD0D" wp14:editId="67C92B06">
                <wp:simplePos x="0" y="0"/>
                <wp:positionH relativeFrom="column">
                  <wp:posOffset>5221849</wp:posOffset>
                </wp:positionH>
                <wp:positionV relativeFrom="page">
                  <wp:posOffset>782955</wp:posOffset>
                </wp:positionV>
                <wp:extent cx="1812925" cy="2496820"/>
                <wp:effectExtent l="0" t="0" r="0" b="0"/>
                <wp:wrapTight wrapText="bothSides">
                  <wp:wrapPolygon edited="0">
                    <wp:start x="681" y="0"/>
                    <wp:lineTo x="681" y="21424"/>
                    <wp:lineTo x="20881" y="21424"/>
                    <wp:lineTo x="20881" y="0"/>
                    <wp:lineTo x="681" y="0"/>
                  </wp:wrapPolygon>
                </wp:wrapTight>
                <wp:docPr id="16" name="Pole tekstowe 16" descr="W porównaniu ze stanem na koniec poprzedniego roku, wartość kredytów brutto dla sektora niefinansowego zwiększyła się w 2021 r. do 1 186,4 mld zł (o 4,6%), przy wzroście kredytów dla gospodarstw domowych do 793,1 mld zł (o 4,5%) i kredytów dla dużych przedsiębiorstw do 196,3 mld zł (o 16,0%) i jednoczesnym spadku kredytów dla MŚP do 188,6 mld zł (o 4,5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49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29C5" w14:textId="77777777" w:rsidR="007961E0" w:rsidRPr="00E95B8E" w:rsidRDefault="00E31202" w:rsidP="007961E0">
                            <w:pPr>
                              <w:pStyle w:val="tekstzboku"/>
                              <w:spacing w:before="240"/>
                              <w:rPr>
                                <w:bCs w:val="0"/>
                              </w:rPr>
                            </w:pPr>
                            <w:r w:rsidRPr="00E31202">
                              <w:t>W porównaniu z</w:t>
                            </w:r>
                            <w:r w:rsidR="00BF3653">
                              <w:t xml:space="preserve">e stanem na koniec </w:t>
                            </w:r>
                            <w:r w:rsidRPr="00E31202">
                              <w:t>poprzedni</w:t>
                            </w:r>
                            <w:r w:rsidR="00BF3653">
                              <w:t>ego</w:t>
                            </w:r>
                            <w:r w:rsidRPr="00E31202">
                              <w:t xml:space="preserve"> rok</w:t>
                            </w:r>
                            <w:r w:rsidR="00BF3653">
                              <w:t>u</w:t>
                            </w:r>
                            <w:r>
                              <w:t>,</w:t>
                            </w:r>
                            <w:r w:rsidRPr="00E31202">
                              <w:t xml:space="preserve"> </w:t>
                            </w:r>
                            <w:r>
                              <w:t>w</w:t>
                            </w:r>
                            <w:r w:rsidR="00EC5211" w:rsidRPr="00EC5211">
                              <w:t xml:space="preserve">artość kredytów </w:t>
                            </w:r>
                            <w:r w:rsidR="00220357">
                              <w:t xml:space="preserve">brutto </w:t>
                            </w:r>
                            <w:r w:rsidR="00EC5211" w:rsidRPr="00EC5211">
                              <w:t xml:space="preserve">dla sektora niefinansowego zwiększyła się </w:t>
                            </w:r>
                            <w:r>
                              <w:t xml:space="preserve">w 2021 r. </w:t>
                            </w:r>
                            <w:r w:rsidR="00220357">
                              <w:t>do 1</w:t>
                            </w:r>
                            <w:r w:rsidR="00A03E99">
                              <w:t> </w:t>
                            </w:r>
                            <w:r w:rsidR="00220357">
                              <w:t>186</w:t>
                            </w:r>
                            <w:r w:rsidR="00A03E99">
                              <w:t>,</w:t>
                            </w:r>
                            <w:r w:rsidR="00220357">
                              <w:t>4 mld zł (</w:t>
                            </w:r>
                            <w:r w:rsidR="00EC5211" w:rsidRPr="00EC5211">
                              <w:t xml:space="preserve">o </w:t>
                            </w:r>
                            <w:r w:rsidR="00220357">
                              <w:t>4</w:t>
                            </w:r>
                            <w:r w:rsidR="00EC5211" w:rsidRPr="00EC5211">
                              <w:t>,</w:t>
                            </w:r>
                            <w:r w:rsidR="00220357">
                              <w:t>6%),</w:t>
                            </w:r>
                            <w:r w:rsidR="00EC5211" w:rsidRPr="00EC5211">
                              <w:t xml:space="preserve"> przy wzroście kredytów dla gospodarstw domowych </w:t>
                            </w:r>
                            <w:r w:rsidR="00220357">
                              <w:t>do 793,1 mld zł (</w:t>
                            </w:r>
                            <w:r w:rsidR="00EC5211" w:rsidRPr="00EC5211">
                              <w:t>o</w:t>
                            </w:r>
                            <w:r w:rsidR="00BF3653">
                              <w:t> </w:t>
                            </w:r>
                            <w:r w:rsidR="00EC5211" w:rsidRPr="00EC5211">
                              <w:t>4,</w:t>
                            </w:r>
                            <w:r w:rsidR="00220357">
                              <w:t>5%)</w:t>
                            </w:r>
                            <w:r w:rsidR="00EC5211" w:rsidRPr="00EC5211">
                              <w:t xml:space="preserve"> i kredytów dla </w:t>
                            </w:r>
                            <w:r w:rsidR="00BC6937">
                              <w:t xml:space="preserve">dużych </w:t>
                            </w:r>
                            <w:r w:rsidR="00EC5211" w:rsidRPr="00EC5211">
                              <w:t xml:space="preserve">przedsiębiorstw </w:t>
                            </w:r>
                            <w:r w:rsidR="00220357">
                              <w:t>do 196,3 mld zł (</w:t>
                            </w:r>
                            <w:r w:rsidR="00EC5211" w:rsidRPr="00EC5211">
                              <w:t xml:space="preserve">o </w:t>
                            </w:r>
                            <w:r w:rsidR="00220357">
                              <w:t>16,0%)</w:t>
                            </w:r>
                            <w:r w:rsidR="00BC6937" w:rsidRPr="00BC6937">
                              <w:t xml:space="preserve"> </w:t>
                            </w:r>
                            <w:r w:rsidR="00BC6937">
                              <w:t xml:space="preserve">i </w:t>
                            </w:r>
                            <w:r w:rsidR="00BC6937" w:rsidRPr="00EC5211">
                              <w:t>jednoczesnym spadku</w:t>
                            </w:r>
                            <w:r w:rsidR="00BC6937" w:rsidRPr="00BC6937">
                              <w:t xml:space="preserve"> kredytów</w:t>
                            </w:r>
                            <w:r w:rsidR="00BC6937">
                              <w:t xml:space="preserve"> dla MŚP </w:t>
                            </w:r>
                            <w:r w:rsidR="00220357">
                              <w:t>do 188,6 mld zł (</w:t>
                            </w:r>
                            <w:r w:rsidR="00BC6937">
                              <w:t xml:space="preserve">o </w:t>
                            </w:r>
                            <w:r w:rsidR="00220357">
                              <w:t>4,5%</w:t>
                            </w:r>
                            <w:r w:rsidR="00BF365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DD0D" id="Pole tekstowe 16" o:spid="_x0000_s1029" type="#_x0000_t202" alt="W porównaniu ze stanem na koniec poprzedniego roku, wartość kredytów brutto dla sektora niefinansowego zwiększyła się w 2021 r. do 1 186,4 mld zł (o 4,6%), przy wzroście kredytów dla gospodarstw domowych do 793,1 mld zł (o 4,5%) i kredytów dla dużych przedsiębiorstw do 196,3 mld zł (o 16,0%) i jednoczesnym spadku kredytów dla MŚP do 188,6 mld zł (o 4,5%)" style="position:absolute;margin-left:411.15pt;margin-top:61.65pt;width:142.75pt;height:196.6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" filled="f" stroked="f">
                <v:textbox>
                  <w:txbxContent>
                    <w:p w14:paraId="6A0229C5" w14:textId="77777777" w:rsidR="007961E0" w:rsidRPr="00E95B8E" w:rsidRDefault="00E31202" w:rsidP="007961E0">
                      <w:pPr>
                        <w:pStyle w:val="tekstzboku"/>
                        <w:spacing w:before="240"/>
                        <w:rPr>
                          <w:bCs w:val="0"/>
                        </w:rPr>
                      </w:pPr>
                      <w:r w:rsidRPr="00E31202">
                        <w:t>W porównaniu z</w:t>
                      </w:r>
                      <w:r w:rsidR="00BF3653">
                        <w:t xml:space="preserve">e stanem na koniec </w:t>
                      </w:r>
                      <w:r w:rsidRPr="00E31202">
                        <w:t>poprzedni</w:t>
                      </w:r>
                      <w:r w:rsidR="00BF3653">
                        <w:t>ego</w:t>
                      </w:r>
                      <w:r w:rsidRPr="00E31202">
                        <w:t xml:space="preserve"> rok</w:t>
                      </w:r>
                      <w:r w:rsidR="00BF3653">
                        <w:t>u</w:t>
                      </w:r>
                      <w:r>
                        <w:t>,</w:t>
                      </w:r>
                      <w:r w:rsidRPr="00E31202">
                        <w:t xml:space="preserve"> </w:t>
                      </w:r>
                      <w:r>
                        <w:t>w</w:t>
                      </w:r>
                      <w:r w:rsidR="00EC5211" w:rsidRPr="00EC5211">
                        <w:t xml:space="preserve">artość kredytów </w:t>
                      </w:r>
                      <w:r w:rsidR="00220357">
                        <w:t xml:space="preserve">brutto </w:t>
                      </w:r>
                      <w:r w:rsidR="00EC5211" w:rsidRPr="00EC5211">
                        <w:t xml:space="preserve">dla sektora niefinansowego zwiększyła się </w:t>
                      </w:r>
                      <w:r>
                        <w:t xml:space="preserve">w 2021 r. </w:t>
                      </w:r>
                      <w:r w:rsidR="00220357">
                        <w:t>do 1</w:t>
                      </w:r>
                      <w:r w:rsidR="00A03E99">
                        <w:t> </w:t>
                      </w:r>
                      <w:r w:rsidR="00220357">
                        <w:t>186</w:t>
                      </w:r>
                      <w:r w:rsidR="00A03E99">
                        <w:t>,</w:t>
                      </w:r>
                      <w:r w:rsidR="00220357">
                        <w:t>4 mld zł (</w:t>
                      </w:r>
                      <w:r w:rsidR="00EC5211" w:rsidRPr="00EC5211">
                        <w:t xml:space="preserve">o </w:t>
                      </w:r>
                      <w:r w:rsidR="00220357">
                        <w:t>4</w:t>
                      </w:r>
                      <w:r w:rsidR="00EC5211" w:rsidRPr="00EC5211">
                        <w:t>,</w:t>
                      </w:r>
                      <w:r w:rsidR="00220357">
                        <w:t>6%),</w:t>
                      </w:r>
                      <w:r w:rsidR="00EC5211" w:rsidRPr="00EC5211">
                        <w:t xml:space="preserve"> przy wzroście kredytów dla gospodarstw domowych </w:t>
                      </w:r>
                      <w:r w:rsidR="00220357">
                        <w:t>do 793,1 mld zł (</w:t>
                      </w:r>
                      <w:r w:rsidR="00EC5211" w:rsidRPr="00EC5211">
                        <w:t>o</w:t>
                      </w:r>
                      <w:r w:rsidR="00BF3653">
                        <w:t> </w:t>
                      </w:r>
                      <w:r w:rsidR="00EC5211" w:rsidRPr="00EC5211">
                        <w:t>4,</w:t>
                      </w:r>
                      <w:r w:rsidR="00220357">
                        <w:t>5%)</w:t>
                      </w:r>
                      <w:r w:rsidR="00EC5211" w:rsidRPr="00EC5211">
                        <w:t xml:space="preserve"> i kredytów dla </w:t>
                      </w:r>
                      <w:r w:rsidR="00BC6937">
                        <w:t xml:space="preserve">dużych </w:t>
                      </w:r>
                      <w:r w:rsidR="00EC5211" w:rsidRPr="00EC5211">
                        <w:t xml:space="preserve">przedsiębiorstw </w:t>
                      </w:r>
                      <w:r w:rsidR="00220357">
                        <w:t>do 196,3 mld zł (</w:t>
                      </w:r>
                      <w:r w:rsidR="00EC5211" w:rsidRPr="00EC5211">
                        <w:t xml:space="preserve">o </w:t>
                      </w:r>
                      <w:r w:rsidR="00220357">
                        <w:t>16,0%)</w:t>
                      </w:r>
                      <w:r w:rsidR="00BC6937" w:rsidRPr="00BC6937">
                        <w:t xml:space="preserve"> </w:t>
                      </w:r>
                      <w:r w:rsidR="00BC6937">
                        <w:t xml:space="preserve">i </w:t>
                      </w:r>
                      <w:r w:rsidR="00BC6937" w:rsidRPr="00EC5211">
                        <w:t>jednoczesnym spadku</w:t>
                      </w:r>
                      <w:r w:rsidR="00BC6937" w:rsidRPr="00BC6937">
                        <w:t xml:space="preserve"> kredytów</w:t>
                      </w:r>
                      <w:r w:rsidR="00BC6937">
                        <w:t xml:space="preserve"> dla MŚP </w:t>
                      </w:r>
                      <w:r w:rsidR="00220357">
                        <w:t>do 188,6 mld zł (</w:t>
                      </w:r>
                      <w:r w:rsidR="00BC6937">
                        <w:t xml:space="preserve">o </w:t>
                      </w:r>
                      <w:r w:rsidR="00220357">
                        <w:t>4,5%</w:t>
                      </w:r>
                      <w:r w:rsidR="00BF3653">
                        <w:t>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B5BF3">
        <w:rPr>
          <w:rFonts w:ascii="Fira Sans" w:hAnsi="Fira Sans"/>
          <w:b/>
          <w:color w:val="1F3864" w:themeColor="accent5" w:themeShade="80"/>
          <w:szCs w:val="19"/>
        </w:rPr>
        <w:t>K</w:t>
      </w:r>
      <w:r w:rsidR="006B5BF3" w:rsidRPr="00CE2009">
        <w:rPr>
          <w:rFonts w:ascii="Fira Sans" w:hAnsi="Fira Sans"/>
          <w:b/>
          <w:color w:val="1F3864" w:themeColor="accent5" w:themeShade="80"/>
          <w:szCs w:val="19"/>
        </w:rPr>
        <w:t>redyty i depozyty</w:t>
      </w:r>
    </w:p>
    <w:p w14:paraId="13FAE58B" w14:textId="37EF7565" w:rsidR="00006B18" w:rsidRPr="00F049AB" w:rsidRDefault="00006B18" w:rsidP="0000719C">
      <w:pPr>
        <w:pStyle w:val="Tytutablicy"/>
        <w:ind w:left="851" w:hanging="851"/>
      </w:pPr>
      <w:r w:rsidRPr="00F049AB">
        <w:t xml:space="preserve">Tablica </w:t>
      </w:r>
      <w:r>
        <w:t>3</w:t>
      </w:r>
      <w:r w:rsidRPr="00F049AB">
        <w:t xml:space="preserve">. </w:t>
      </w:r>
      <w:r w:rsidRPr="00006B18">
        <w:t>Kredyty</w:t>
      </w:r>
      <w:r w:rsidR="00006042" w:rsidRPr="00760C47">
        <w:rPr>
          <w:rStyle w:val="Odwoanieprzypisudolnego"/>
          <w:b w:val="0"/>
        </w:rPr>
        <w:footnoteReference w:id="2"/>
      </w:r>
      <w:r w:rsidRPr="00006B18">
        <w:t xml:space="preserve"> dla sektora niefinansowego oraz instytucji rządowych i samorządowych</w:t>
      </w:r>
      <w:r w:rsidR="004C399F">
        <w:br/>
      </w:r>
      <w:r w:rsidR="004C399F" w:rsidRPr="00DC64D9">
        <w:rPr>
          <w:b w:val="0"/>
        </w:rPr>
        <w:t>(</w:t>
      </w:r>
      <w:r w:rsidR="0012406F">
        <w:rPr>
          <w:b w:val="0"/>
        </w:rPr>
        <w:t>s</w:t>
      </w:r>
      <w:r w:rsidR="004C399F" w:rsidRPr="00DC64D9">
        <w:rPr>
          <w:b w:val="0"/>
        </w:rPr>
        <w:t>tan w dniu 31</w:t>
      </w:r>
      <w:r w:rsidR="004C399F">
        <w:rPr>
          <w:b w:val="0"/>
        </w:rPr>
        <w:t xml:space="preserve"> </w:t>
      </w:r>
      <w:r w:rsidR="0012406F">
        <w:rPr>
          <w:b w:val="0"/>
        </w:rPr>
        <w:t>XII</w:t>
      </w:r>
      <w:r w:rsidR="004C399F" w:rsidRPr="00DC64D9">
        <w:rPr>
          <w:b w:val="0"/>
        </w:rPr>
        <w:t>)</w:t>
      </w:r>
    </w:p>
    <w:tbl>
      <w:tblPr>
        <w:tblW w:w="7938" w:type="dxa"/>
        <w:tblBorders>
          <w:insideH w:val="single" w:sz="2" w:space="0" w:color="001D77"/>
          <w:insideV w:val="single" w:sz="2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3. Kredyty  dla sektora niefinansowego oraz instytucji rządowych i samorządowych w latach 2020-2021 (stan w dniu 31 grudnia)"/>
      </w:tblPr>
      <w:tblGrid>
        <w:gridCol w:w="4111"/>
        <w:gridCol w:w="1275"/>
        <w:gridCol w:w="1276"/>
        <w:gridCol w:w="1276"/>
      </w:tblGrid>
      <w:tr w:rsidR="00006B18" w14:paraId="2F76EFE5" w14:textId="77777777" w:rsidTr="005B621A">
        <w:trPr>
          <w:trHeight w:val="456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14:paraId="1B44C497" w14:textId="77777777" w:rsidR="00006B18" w:rsidRPr="005B621A" w:rsidRDefault="00006B18" w:rsidP="005B621A">
            <w:pPr>
              <w:jc w:val="center"/>
            </w:pPr>
            <w:r w:rsidRPr="005B621A">
              <w:t>Wyszczególnienie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  <w:hideMark/>
          </w:tcPr>
          <w:p w14:paraId="38368616" w14:textId="77777777" w:rsidR="00006B18" w:rsidRPr="005B621A" w:rsidRDefault="00006B18" w:rsidP="005B621A">
            <w:pPr>
              <w:jc w:val="center"/>
            </w:pPr>
            <w:r w:rsidRPr="005B621A"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1EC2BA6F" w14:textId="77777777" w:rsidR="00006B18" w:rsidRPr="005B621A" w:rsidRDefault="00006B18" w:rsidP="005B621A">
            <w:pPr>
              <w:jc w:val="center"/>
            </w:pPr>
            <w:r w:rsidRPr="005B621A">
              <w:t>2021</w:t>
            </w:r>
          </w:p>
        </w:tc>
      </w:tr>
      <w:tr w:rsidR="00006B18" w14:paraId="1BA5EF61" w14:textId="77777777" w:rsidTr="005B621A">
        <w:trPr>
          <w:trHeight w:val="456"/>
        </w:trPr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00DDE72E" w14:textId="77777777" w:rsidR="00006B18" w:rsidRPr="005B621A" w:rsidRDefault="00006B18" w:rsidP="00DE3A9F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2" w:space="0" w:color="001D77"/>
              <w:left w:val="single" w:sz="4" w:space="0" w:color="001D77"/>
              <w:bottom w:val="single" w:sz="4" w:space="0" w:color="001D77"/>
              <w:right w:val="single" w:sz="4" w:space="0" w:color="auto"/>
            </w:tcBorders>
            <w:vAlign w:val="center"/>
            <w:hideMark/>
          </w:tcPr>
          <w:p w14:paraId="5BFA9205" w14:textId="77777777" w:rsidR="00006B18" w:rsidRPr="005B621A" w:rsidRDefault="00006B18" w:rsidP="005B621A">
            <w:pPr>
              <w:jc w:val="center"/>
            </w:pPr>
            <w:r w:rsidRPr="005B621A">
              <w:t>w mln</w:t>
            </w:r>
            <w:r w:rsidR="009E07CB" w:rsidRPr="005B621A"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36C0C081" w14:textId="77777777" w:rsidR="00006B18" w:rsidRPr="005B621A" w:rsidRDefault="00006B18" w:rsidP="005B621A">
            <w:pPr>
              <w:jc w:val="center"/>
            </w:pPr>
            <w:r w:rsidRPr="005B621A">
              <w:t>2020=100</w:t>
            </w:r>
          </w:p>
        </w:tc>
      </w:tr>
      <w:tr w:rsidR="00EA702C" w14:paraId="4F367BCD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47DD1FE6" w14:textId="77777777" w:rsidR="00EA702C" w:rsidRDefault="00EA702C" w:rsidP="005B621A">
            <w:pPr>
              <w:pStyle w:val="Tablicaboczek"/>
            </w:pPr>
            <w:r w:rsidRPr="00692D53">
              <w:t>Sektor niefinansowy, w tym: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91D9539" w14:textId="77777777" w:rsidR="00EA702C" w:rsidRDefault="00EA702C" w:rsidP="00EA702C">
            <w:pPr>
              <w:pStyle w:val="Tablicadanerodek"/>
            </w:pPr>
            <w:r w:rsidRPr="00A9352E">
              <w:t>1 133 946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EF256F1" w14:textId="77777777" w:rsidR="00EA702C" w:rsidRDefault="00EA702C" w:rsidP="00EA702C">
            <w:pPr>
              <w:pStyle w:val="Tablicadanerodek"/>
            </w:pPr>
            <w:r w:rsidRPr="00A9352E">
              <w:t>1 186 398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41FE2DF9" w14:textId="77777777" w:rsidR="00EA702C" w:rsidRDefault="00EA702C" w:rsidP="00EA702C">
            <w:pPr>
              <w:pStyle w:val="Tablicadanerodek"/>
            </w:pPr>
            <w:r w:rsidRPr="00A9352E">
              <w:t>104,6</w:t>
            </w:r>
          </w:p>
        </w:tc>
      </w:tr>
      <w:tr w:rsidR="00EA702C" w14:paraId="6B3B999C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78385936" w14:textId="77777777" w:rsidR="00EA702C" w:rsidRDefault="00EA702C" w:rsidP="005B621A">
            <w:pPr>
              <w:pStyle w:val="Tablicaboczek"/>
              <w:ind w:left="176"/>
            </w:pPr>
            <w:r w:rsidRPr="00692D53">
              <w:t>Przedsiębiorstwa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4C3627B" w14:textId="77777777" w:rsidR="00EA702C" w:rsidRDefault="00EA702C" w:rsidP="00EA702C">
            <w:pPr>
              <w:pStyle w:val="Tablicadanerodek"/>
            </w:pPr>
            <w:r w:rsidRPr="00A9352E">
              <w:t>366 938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6A5D7E1" w14:textId="77777777" w:rsidR="00EA702C" w:rsidRDefault="00EA702C" w:rsidP="00EA702C">
            <w:pPr>
              <w:pStyle w:val="Tablicadanerodek"/>
              <w:rPr>
                <w:highlight w:val="yellow"/>
              </w:rPr>
            </w:pPr>
            <w:r w:rsidRPr="00A9352E">
              <w:t>384 963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hideMark/>
          </w:tcPr>
          <w:p w14:paraId="5357D2B7" w14:textId="77777777" w:rsidR="00EA702C" w:rsidRDefault="00EA702C" w:rsidP="00EA702C">
            <w:pPr>
              <w:pStyle w:val="Tablicadanerodek"/>
            </w:pPr>
            <w:r w:rsidRPr="00A9352E">
              <w:t>104,9</w:t>
            </w:r>
          </w:p>
        </w:tc>
      </w:tr>
      <w:tr w:rsidR="00EA702C" w14:paraId="6359D1B9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6880DB6C" w14:textId="77777777" w:rsidR="00EA702C" w:rsidRDefault="00EA702C" w:rsidP="005B621A">
            <w:pPr>
              <w:pStyle w:val="Tablicaboczek"/>
              <w:ind w:left="318"/>
            </w:pPr>
            <w:r w:rsidRPr="00692D53">
              <w:t>Duże przedsiębiorstwa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326EB1DA" w14:textId="77777777" w:rsidR="00EA702C" w:rsidRDefault="00EA702C" w:rsidP="00EA702C">
            <w:pPr>
              <w:pStyle w:val="Tablicadanerodek"/>
            </w:pPr>
            <w:r w:rsidRPr="00A9352E">
              <w:t>169 310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5BA9B616" w14:textId="77777777" w:rsidR="00EA702C" w:rsidRDefault="00EA702C" w:rsidP="00EA702C">
            <w:pPr>
              <w:pStyle w:val="Tablicadanerodek"/>
              <w:rPr>
                <w:highlight w:val="yellow"/>
              </w:rPr>
            </w:pPr>
            <w:r w:rsidRPr="00A9352E">
              <w:t>196 324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hideMark/>
          </w:tcPr>
          <w:p w14:paraId="18BB452F" w14:textId="77777777" w:rsidR="00EA702C" w:rsidRDefault="00EA702C" w:rsidP="00EA702C">
            <w:pPr>
              <w:pStyle w:val="Tablicadanerodek"/>
            </w:pPr>
            <w:r w:rsidRPr="00A9352E">
              <w:t>116,0</w:t>
            </w:r>
          </w:p>
        </w:tc>
      </w:tr>
      <w:tr w:rsidR="00EA702C" w14:paraId="5E583AD3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07CF8226" w14:textId="77777777" w:rsidR="00EA702C" w:rsidRDefault="00EA702C" w:rsidP="005B621A">
            <w:pPr>
              <w:pStyle w:val="Tablicaboczekwcicie1"/>
              <w:ind w:left="318" w:firstLine="0"/>
              <w:rPr>
                <w:rFonts w:eastAsia="Times New Roman" w:cs="Calibri"/>
                <w:lang w:eastAsia="pl-PL"/>
              </w:rPr>
            </w:pPr>
            <w:r w:rsidRPr="00692D53">
              <w:t>MŚP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3EC09A69" w14:textId="77777777" w:rsidR="00EA702C" w:rsidRDefault="00EA702C" w:rsidP="00EA702C">
            <w:pPr>
              <w:pStyle w:val="Tablicadanerodek"/>
            </w:pPr>
            <w:r w:rsidRPr="00A9352E">
              <w:t>197 627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DF0873B" w14:textId="77777777" w:rsidR="00EA702C" w:rsidRDefault="00EA702C" w:rsidP="00EA702C">
            <w:pPr>
              <w:pStyle w:val="Tablicadanerodek"/>
            </w:pPr>
            <w:r w:rsidRPr="00A9352E">
              <w:t>188 639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0F80E184" w14:textId="77777777" w:rsidR="00EA702C" w:rsidRDefault="00EA702C" w:rsidP="00EA702C">
            <w:pPr>
              <w:pStyle w:val="Tablicadanerodek"/>
            </w:pPr>
            <w:r w:rsidRPr="00A9352E">
              <w:t>95,5</w:t>
            </w:r>
          </w:p>
        </w:tc>
      </w:tr>
      <w:tr w:rsidR="00EA702C" w14:paraId="424BC1BD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79D5A17E" w14:textId="413A3367" w:rsidR="00EA702C" w:rsidRDefault="00EA702C" w:rsidP="005B621A">
            <w:pPr>
              <w:pStyle w:val="Tablicaboczekwcicie2"/>
              <w:ind w:left="176"/>
              <w:rPr>
                <w:rFonts w:eastAsia="Times New Roman" w:cs="Calibri"/>
                <w:lang w:eastAsia="pl-PL"/>
              </w:rPr>
            </w:pPr>
            <w:r w:rsidRPr="00692D53">
              <w:t>Gospodarstwa domowe, w tym</w:t>
            </w:r>
            <w:r w:rsidR="005B621A">
              <w:t xml:space="preserve"> kredyty</w:t>
            </w:r>
            <w:r w:rsidRPr="00692D53">
              <w:t>: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3A14DBF" w14:textId="77777777" w:rsidR="00EA702C" w:rsidRDefault="00EA702C" w:rsidP="00EA702C">
            <w:pPr>
              <w:pStyle w:val="Tablicadanerodek"/>
            </w:pPr>
            <w:r w:rsidRPr="00A9352E">
              <w:t>759 047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E304C50" w14:textId="77777777" w:rsidR="00EA702C" w:rsidRDefault="00EA702C" w:rsidP="00EA702C">
            <w:pPr>
              <w:pStyle w:val="Tablicadanerodek"/>
            </w:pPr>
            <w:r w:rsidRPr="00A9352E">
              <w:t>793 107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0DEC6E2F" w14:textId="77777777" w:rsidR="00EA702C" w:rsidRDefault="00EA702C" w:rsidP="00EA702C">
            <w:pPr>
              <w:pStyle w:val="Tablicadanerodek"/>
            </w:pPr>
            <w:r w:rsidRPr="00A9352E">
              <w:t>104,5</w:t>
            </w:r>
          </w:p>
        </w:tc>
      </w:tr>
      <w:tr w:rsidR="00EA702C" w14:paraId="0F7410F8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6F544021" w14:textId="77777777" w:rsidR="00EA702C" w:rsidRDefault="00EA702C" w:rsidP="00EA702C">
            <w:pPr>
              <w:pStyle w:val="Tablicaboczekwcicie2"/>
            </w:pPr>
            <w:r w:rsidRPr="00692D53">
              <w:t>mieszkaniowe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E2D3557" w14:textId="77777777" w:rsidR="00EA702C" w:rsidRDefault="00EA702C" w:rsidP="00EA702C">
            <w:pPr>
              <w:pStyle w:val="Tablicadanerodek"/>
            </w:pPr>
            <w:r w:rsidRPr="00A9352E">
              <w:t>472 016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7640E1D" w14:textId="77777777" w:rsidR="00EA702C" w:rsidRDefault="00EA702C" w:rsidP="00EA702C">
            <w:pPr>
              <w:pStyle w:val="Tablicadanerodek"/>
            </w:pPr>
            <w:r w:rsidRPr="00A9352E">
              <w:t>502 525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47E61A0" w14:textId="77777777" w:rsidR="00EA702C" w:rsidRDefault="00EA702C" w:rsidP="00EA702C">
            <w:pPr>
              <w:pStyle w:val="Tablicadanerodek"/>
            </w:pPr>
            <w:r w:rsidRPr="00A9352E">
              <w:t>106,5</w:t>
            </w:r>
          </w:p>
        </w:tc>
      </w:tr>
      <w:tr w:rsidR="00EA702C" w14:paraId="156D7791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72BBA566" w14:textId="77777777" w:rsidR="00EA702C" w:rsidRDefault="00EA702C" w:rsidP="00EA702C">
            <w:pPr>
              <w:pStyle w:val="Tablicaboczekwcicie2"/>
            </w:pPr>
            <w:r w:rsidRPr="00692D53">
              <w:t>konsumpcyjne dla osób prywatnych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3C539CF" w14:textId="77777777" w:rsidR="00EA702C" w:rsidRDefault="00EA702C" w:rsidP="00EA702C">
            <w:pPr>
              <w:pStyle w:val="Tablicadanerodek"/>
            </w:pPr>
            <w:r w:rsidRPr="00A9352E">
              <w:t>166 092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6047887F" w14:textId="77777777" w:rsidR="00EA702C" w:rsidRDefault="00EA702C" w:rsidP="00EA702C">
            <w:pPr>
              <w:pStyle w:val="Tablicadanerodek"/>
            </w:pPr>
            <w:r w:rsidRPr="00A9352E">
              <w:t>172 515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334C6939" w14:textId="77777777" w:rsidR="00EA702C" w:rsidRDefault="00EA702C" w:rsidP="00EA702C">
            <w:pPr>
              <w:pStyle w:val="Tablicadanerodek"/>
            </w:pPr>
            <w:r w:rsidRPr="00A9352E">
              <w:t>103,9</w:t>
            </w:r>
          </w:p>
        </w:tc>
      </w:tr>
      <w:tr w:rsidR="00EA702C" w14:paraId="4E106D92" w14:textId="77777777" w:rsidTr="005B621A">
        <w:trPr>
          <w:trHeight w:val="300"/>
        </w:trPr>
        <w:tc>
          <w:tcPr>
            <w:tcW w:w="4111" w:type="dxa"/>
            <w:tcBorders>
              <w:top w:val="single" w:sz="4" w:space="0" w:color="001D77"/>
              <w:left w:val="nil"/>
              <w:bottom w:val="nil"/>
              <w:right w:val="single" w:sz="2" w:space="0" w:color="001D77"/>
            </w:tcBorders>
            <w:noWrap/>
            <w:hideMark/>
          </w:tcPr>
          <w:p w14:paraId="2390B092" w14:textId="77777777" w:rsidR="00EA702C" w:rsidRDefault="00EA702C" w:rsidP="005B621A">
            <w:pPr>
              <w:pStyle w:val="Tablicaboczek"/>
            </w:pPr>
            <w:r w:rsidRPr="00692D53">
              <w:t>Sektor instytucji rządowych i samorządowych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00D2A20A" w14:textId="77777777" w:rsidR="00EA702C" w:rsidRDefault="00EA702C" w:rsidP="00EA702C">
            <w:pPr>
              <w:pStyle w:val="Tablicadanerodek"/>
            </w:pPr>
            <w:r w:rsidRPr="00A9352E">
              <w:t>94 041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2B9F1AAC" w14:textId="77777777" w:rsidR="00EA702C" w:rsidRDefault="00EA702C" w:rsidP="00EA702C">
            <w:pPr>
              <w:pStyle w:val="Tablicadanerodek"/>
              <w:rPr>
                <w:highlight w:val="yellow"/>
              </w:rPr>
            </w:pPr>
            <w:r w:rsidRPr="00A9352E">
              <w:t>94 022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2" w:space="0" w:color="001D77"/>
              <w:bottom w:val="nil"/>
              <w:right w:val="nil"/>
            </w:tcBorders>
            <w:noWrap/>
            <w:hideMark/>
          </w:tcPr>
          <w:p w14:paraId="11CF0571" w14:textId="77777777" w:rsidR="00EA702C" w:rsidRDefault="00EA702C" w:rsidP="00EA702C">
            <w:pPr>
              <w:pStyle w:val="Tablicadanerodek"/>
            </w:pPr>
            <w:r w:rsidRPr="00A9352E">
              <w:t>100,0</w:t>
            </w:r>
          </w:p>
        </w:tc>
      </w:tr>
    </w:tbl>
    <w:p w14:paraId="67484DFF" w14:textId="72F96ED5" w:rsidR="00006B18" w:rsidRDefault="00AA2083" w:rsidP="00D77728">
      <w:pPr>
        <w:spacing w:before="240" w:line="288" w:lineRule="auto"/>
        <w:rPr>
          <w:rFonts w:eastAsia="Times New Roman" w:cs="Times New Roman"/>
          <w:szCs w:val="19"/>
          <w:lang w:eastAsia="pl-PL"/>
        </w:rPr>
      </w:pPr>
      <w:r w:rsidRPr="00823593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1344E98" wp14:editId="395E29AF">
                <wp:simplePos x="0" y="0"/>
                <wp:positionH relativeFrom="column">
                  <wp:posOffset>5273675</wp:posOffset>
                </wp:positionH>
                <wp:positionV relativeFrom="page">
                  <wp:posOffset>6209877</wp:posOffset>
                </wp:positionV>
                <wp:extent cx="1725295" cy="1845945"/>
                <wp:effectExtent l="0" t="0" r="0" b="1905"/>
                <wp:wrapTight wrapText="bothSides">
                  <wp:wrapPolygon edited="0">
                    <wp:start x="715" y="0"/>
                    <wp:lineTo x="715" y="21399"/>
                    <wp:lineTo x="20749" y="21399"/>
                    <wp:lineTo x="20749" y="0"/>
                    <wp:lineTo x="715" y="0"/>
                  </wp:wrapPolygon>
                </wp:wrapTight>
                <wp:docPr id="18" name="Pole tekstowe 18" descr="W porównaniu ze stanem na koniec poprzedniego roku, wartość depozytów sektora niefinansowego zwiększyła się w 2021 r. do 1 537,0 mld zł (o7,9%), a depozytów sektora instytucji rządowych i samorządowych do 179,5 mld zł (o 49,2%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4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0F18" w14:textId="77777777" w:rsidR="007961E0" w:rsidRPr="00220357" w:rsidRDefault="00E31202" w:rsidP="007961E0">
                            <w:pPr>
                              <w:pStyle w:val="tekstzboku"/>
                              <w:spacing w:before="240"/>
                            </w:pPr>
                            <w:r>
                              <w:t>W porównaniu z</w:t>
                            </w:r>
                            <w:r w:rsidR="00BF3653">
                              <w:t>e stanem na koniec</w:t>
                            </w:r>
                            <w:r>
                              <w:t xml:space="preserve"> poprzedni</w:t>
                            </w:r>
                            <w:r w:rsidR="00BF3653">
                              <w:t>ego</w:t>
                            </w:r>
                            <w:r>
                              <w:t xml:space="preserve"> rok</w:t>
                            </w:r>
                            <w:r w:rsidR="00BF3653">
                              <w:t>u</w:t>
                            </w:r>
                            <w:r>
                              <w:t>, w</w:t>
                            </w:r>
                            <w:r w:rsidR="007961E0" w:rsidRPr="007961E0">
                              <w:t xml:space="preserve">artość depozytów sektora niefinansowego zwiększyła się </w:t>
                            </w:r>
                            <w:r>
                              <w:t xml:space="preserve">w 2021 r. </w:t>
                            </w:r>
                            <w:r w:rsidR="00220357">
                              <w:t>do 1</w:t>
                            </w:r>
                            <w:r w:rsidR="00BF3653">
                              <w:t> 537,0</w:t>
                            </w:r>
                            <w:r w:rsidR="00220357">
                              <w:t xml:space="preserve"> mld zł (</w:t>
                            </w:r>
                            <w:r w:rsidR="007961E0" w:rsidRPr="007961E0">
                              <w:t xml:space="preserve">o </w:t>
                            </w:r>
                            <w:r w:rsidR="00220357">
                              <w:t>7,9%)</w:t>
                            </w:r>
                            <w:r w:rsidR="007961E0" w:rsidRPr="007961E0">
                              <w:t>, a depozytów sektora instytucji rządowych i samorządowych</w:t>
                            </w:r>
                            <w:r w:rsidR="00BF3653">
                              <w:t xml:space="preserve"> </w:t>
                            </w:r>
                            <w:r w:rsidR="00220357">
                              <w:t>do 179,5 mld zł (</w:t>
                            </w:r>
                            <w:r w:rsidR="007961E0" w:rsidRPr="007961E0">
                              <w:t xml:space="preserve">o </w:t>
                            </w:r>
                            <w:r w:rsidR="00220357">
                              <w:t>49,2%)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4E98" id="Pole tekstowe 18" o:spid="_x0000_s1030" type="#_x0000_t202" alt="W porównaniu ze stanem na koniec poprzedniego roku, wartość depozytów sektora niefinansowego zwiększyła się w 2021 r. do 1 537,0 mld zł (o7,9%), a depozytów sektora instytucji rządowych i samorządowych do 179,5 mld zł (o 49,2%)&#10;" style="position:absolute;margin-left:415.25pt;margin-top:488.95pt;width:135.85pt;height:145.3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" filled="f" stroked="f">
                <v:textbox>
                  <w:txbxContent>
                    <w:p w14:paraId="326C0F18" w14:textId="77777777" w:rsidR="007961E0" w:rsidRPr="00220357" w:rsidRDefault="00E31202" w:rsidP="007961E0">
                      <w:pPr>
                        <w:pStyle w:val="tekstzboku"/>
                        <w:spacing w:before="240"/>
                      </w:pPr>
                      <w:r>
                        <w:t>W porównaniu z</w:t>
                      </w:r>
                      <w:r w:rsidR="00BF3653">
                        <w:t>e stanem na koniec</w:t>
                      </w:r>
                      <w:r>
                        <w:t xml:space="preserve"> poprzedni</w:t>
                      </w:r>
                      <w:r w:rsidR="00BF3653">
                        <w:t>ego</w:t>
                      </w:r>
                      <w:r>
                        <w:t xml:space="preserve"> rok</w:t>
                      </w:r>
                      <w:r w:rsidR="00BF3653">
                        <w:t>u</w:t>
                      </w:r>
                      <w:r>
                        <w:t>, w</w:t>
                      </w:r>
                      <w:r w:rsidR="007961E0" w:rsidRPr="007961E0">
                        <w:t xml:space="preserve">artość depozytów sektora niefinansowego zwiększyła się </w:t>
                      </w:r>
                      <w:r>
                        <w:t xml:space="preserve">w 2021 r. </w:t>
                      </w:r>
                      <w:r w:rsidR="00220357">
                        <w:t>do 1</w:t>
                      </w:r>
                      <w:r w:rsidR="00BF3653">
                        <w:t> 537,0</w:t>
                      </w:r>
                      <w:r w:rsidR="00220357">
                        <w:t xml:space="preserve"> mld zł (</w:t>
                      </w:r>
                      <w:r w:rsidR="007961E0" w:rsidRPr="007961E0">
                        <w:t xml:space="preserve">o </w:t>
                      </w:r>
                      <w:r w:rsidR="00220357">
                        <w:t>7,9%)</w:t>
                      </w:r>
                      <w:r w:rsidR="007961E0" w:rsidRPr="007961E0">
                        <w:t>, a depozytów sektora instytucji rządowych i samorządowych</w:t>
                      </w:r>
                      <w:r w:rsidR="00BF3653">
                        <w:t xml:space="preserve"> </w:t>
                      </w:r>
                      <w:r w:rsidR="00220357">
                        <w:t>do 179,5 mld zł (</w:t>
                      </w:r>
                      <w:r w:rsidR="007961E0" w:rsidRPr="007961E0">
                        <w:t xml:space="preserve">o </w:t>
                      </w:r>
                      <w:r w:rsidR="00220357">
                        <w:t>49,2%)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85789" w:rsidRPr="00E85789">
        <w:rPr>
          <w:rFonts w:eastAsia="Times New Roman" w:cs="Times New Roman"/>
          <w:szCs w:val="19"/>
          <w:lang w:eastAsia="pl-PL"/>
        </w:rPr>
        <w:t>Według stanu w dniu 31 grudnia 202</w:t>
      </w:r>
      <w:r w:rsidR="008020C8">
        <w:rPr>
          <w:rFonts w:eastAsia="Times New Roman" w:cs="Times New Roman"/>
          <w:szCs w:val="19"/>
          <w:lang w:eastAsia="pl-PL"/>
        </w:rPr>
        <w:t>1</w:t>
      </w:r>
      <w:r w:rsidR="00E85789" w:rsidRPr="00E85789">
        <w:rPr>
          <w:rFonts w:eastAsia="Times New Roman" w:cs="Times New Roman"/>
          <w:szCs w:val="19"/>
          <w:lang w:eastAsia="pl-PL"/>
        </w:rPr>
        <w:t xml:space="preserve"> r. </w:t>
      </w:r>
      <w:r w:rsidR="00114A45">
        <w:rPr>
          <w:rFonts w:eastAsia="Times New Roman" w:cs="Times New Roman"/>
          <w:szCs w:val="19"/>
          <w:lang w:eastAsia="pl-PL"/>
        </w:rPr>
        <w:t xml:space="preserve">wartość kredytów </w:t>
      </w:r>
      <w:r w:rsidR="00C761F3">
        <w:rPr>
          <w:rFonts w:eastAsia="Times New Roman" w:cs="Times New Roman"/>
          <w:szCs w:val="19"/>
          <w:lang w:eastAsia="pl-PL"/>
        </w:rPr>
        <w:t>sektor</w:t>
      </w:r>
      <w:r w:rsidR="00A03E99">
        <w:rPr>
          <w:rFonts w:eastAsia="Times New Roman" w:cs="Times New Roman"/>
          <w:szCs w:val="19"/>
          <w:lang w:eastAsia="pl-PL"/>
        </w:rPr>
        <w:t>a</w:t>
      </w:r>
      <w:r w:rsidR="00C761F3">
        <w:rPr>
          <w:rFonts w:eastAsia="Times New Roman" w:cs="Times New Roman"/>
          <w:szCs w:val="19"/>
          <w:lang w:eastAsia="pl-PL"/>
        </w:rPr>
        <w:t xml:space="preserve"> niefinansowe</w:t>
      </w:r>
      <w:r w:rsidR="00A03E99">
        <w:rPr>
          <w:rFonts w:eastAsia="Times New Roman" w:cs="Times New Roman"/>
          <w:szCs w:val="19"/>
          <w:lang w:eastAsia="pl-PL"/>
        </w:rPr>
        <w:t>go</w:t>
      </w:r>
      <w:r w:rsidR="00C761F3">
        <w:rPr>
          <w:rFonts w:eastAsia="Times New Roman" w:cs="Times New Roman"/>
          <w:szCs w:val="19"/>
          <w:lang w:eastAsia="pl-PL"/>
        </w:rPr>
        <w:t xml:space="preserve"> </w:t>
      </w:r>
      <w:r w:rsidR="00A03E99">
        <w:rPr>
          <w:rFonts w:eastAsia="Times New Roman" w:cs="Times New Roman"/>
          <w:szCs w:val="19"/>
          <w:lang w:eastAsia="pl-PL"/>
        </w:rPr>
        <w:t>oraz</w:t>
      </w:r>
      <w:r w:rsidR="00C761F3">
        <w:rPr>
          <w:rFonts w:eastAsia="Times New Roman" w:cs="Times New Roman"/>
          <w:szCs w:val="19"/>
          <w:lang w:eastAsia="pl-PL"/>
        </w:rPr>
        <w:t xml:space="preserve"> sektorow</w:t>
      </w:r>
      <w:r w:rsidR="00A03E99">
        <w:rPr>
          <w:rFonts w:eastAsia="Times New Roman" w:cs="Times New Roman"/>
          <w:szCs w:val="19"/>
          <w:lang w:eastAsia="pl-PL"/>
        </w:rPr>
        <w:t>a</w:t>
      </w:r>
      <w:r w:rsidR="00C761F3">
        <w:rPr>
          <w:rFonts w:eastAsia="Times New Roman" w:cs="Times New Roman"/>
          <w:szCs w:val="19"/>
          <w:lang w:eastAsia="pl-PL"/>
        </w:rPr>
        <w:t xml:space="preserve"> instytucji rządowych i samorządowych wyniosła </w:t>
      </w:r>
      <w:r w:rsidR="00C761F3" w:rsidRPr="0000719C">
        <w:t>1</w:t>
      </w:r>
      <w:r w:rsidR="00FB58E1">
        <w:t> </w:t>
      </w:r>
      <w:r w:rsidR="00C761F3" w:rsidRPr="0000719C">
        <w:t>280</w:t>
      </w:r>
      <w:r w:rsidR="00BF2CB1">
        <w:t>,4</w:t>
      </w:r>
      <w:r w:rsidR="00C761F3">
        <w:rPr>
          <w:rFonts w:eastAsia="Times New Roman" w:cs="Times New Roman"/>
          <w:szCs w:val="19"/>
          <w:lang w:eastAsia="pl-PL"/>
        </w:rPr>
        <w:t xml:space="preserve"> mld zł</w:t>
      </w:r>
      <w:r w:rsidR="0030535D">
        <w:rPr>
          <w:rFonts w:eastAsia="Times New Roman" w:cs="Times New Roman"/>
          <w:szCs w:val="19"/>
          <w:lang w:eastAsia="pl-PL"/>
        </w:rPr>
        <w:t xml:space="preserve"> (wzrost o 4,3%)</w:t>
      </w:r>
      <w:r w:rsidR="00B92A6D">
        <w:rPr>
          <w:rFonts w:eastAsia="Times New Roman" w:cs="Times New Roman"/>
          <w:szCs w:val="19"/>
          <w:lang w:eastAsia="pl-PL"/>
        </w:rPr>
        <w:t>, z czego</w:t>
      </w:r>
      <w:r w:rsidR="006E7988">
        <w:rPr>
          <w:rFonts w:eastAsia="Times New Roman" w:cs="Times New Roman"/>
          <w:szCs w:val="19"/>
          <w:lang w:eastAsia="pl-PL"/>
        </w:rPr>
        <w:t xml:space="preserve"> </w:t>
      </w:r>
      <w:r w:rsidR="00B92A6D">
        <w:rPr>
          <w:rFonts w:eastAsia="Times New Roman" w:cs="Times New Roman"/>
          <w:szCs w:val="19"/>
          <w:lang w:eastAsia="pl-PL"/>
        </w:rPr>
        <w:t xml:space="preserve">92,7% </w:t>
      </w:r>
      <w:r w:rsidR="006E7988">
        <w:rPr>
          <w:rFonts w:eastAsia="Times New Roman" w:cs="Times New Roman"/>
          <w:szCs w:val="19"/>
          <w:lang w:eastAsia="pl-PL"/>
        </w:rPr>
        <w:t xml:space="preserve">należało do </w:t>
      </w:r>
      <w:r w:rsidR="00B92A6D">
        <w:rPr>
          <w:rFonts w:eastAsia="Times New Roman" w:cs="Times New Roman"/>
          <w:szCs w:val="19"/>
          <w:lang w:eastAsia="pl-PL"/>
        </w:rPr>
        <w:t>sektor</w:t>
      </w:r>
      <w:r w:rsidR="006E7988">
        <w:rPr>
          <w:rFonts w:eastAsia="Times New Roman" w:cs="Times New Roman"/>
          <w:szCs w:val="19"/>
          <w:lang w:eastAsia="pl-PL"/>
        </w:rPr>
        <w:t>a</w:t>
      </w:r>
      <w:r w:rsidR="00B92A6D">
        <w:rPr>
          <w:rFonts w:eastAsia="Times New Roman" w:cs="Times New Roman"/>
          <w:szCs w:val="19"/>
          <w:lang w:eastAsia="pl-PL"/>
        </w:rPr>
        <w:t xml:space="preserve"> niefinansowe</w:t>
      </w:r>
      <w:r w:rsidR="006E7988">
        <w:rPr>
          <w:rFonts w:eastAsia="Times New Roman" w:cs="Times New Roman"/>
          <w:szCs w:val="19"/>
          <w:lang w:eastAsia="pl-PL"/>
        </w:rPr>
        <w:t>go</w:t>
      </w:r>
      <w:r w:rsidR="00B92A6D">
        <w:rPr>
          <w:rFonts w:eastAsia="Times New Roman" w:cs="Times New Roman"/>
          <w:szCs w:val="19"/>
          <w:lang w:eastAsia="pl-PL"/>
        </w:rPr>
        <w:t xml:space="preserve">, a 7,3% </w:t>
      </w:r>
      <w:r w:rsidR="006E7988">
        <w:rPr>
          <w:rFonts w:eastAsia="Times New Roman" w:cs="Times New Roman"/>
          <w:szCs w:val="19"/>
          <w:lang w:eastAsia="pl-PL"/>
        </w:rPr>
        <w:t xml:space="preserve">do </w:t>
      </w:r>
      <w:r w:rsidR="00B92A6D">
        <w:rPr>
          <w:rFonts w:eastAsia="Times New Roman" w:cs="Times New Roman"/>
          <w:szCs w:val="19"/>
          <w:lang w:eastAsia="pl-PL"/>
        </w:rPr>
        <w:t>instytucj</w:t>
      </w:r>
      <w:r w:rsidR="006E7988">
        <w:rPr>
          <w:rFonts w:eastAsia="Times New Roman" w:cs="Times New Roman"/>
          <w:szCs w:val="19"/>
          <w:lang w:eastAsia="pl-PL"/>
        </w:rPr>
        <w:t>i</w:t>
      </w:r>
      <w:r w:rsidR="00B92A6D">
        <w:rPr>
          <w:rFonts w:eastAsia="Times New Roman" w:cs="Times New Roman"/>
          <w:szCs w:val="19"/>
          <w:lang w:eastAsia="pl-PL"/>
        </w:rPr>
        <w:t xml:space="preserve"> rządowy</w:t>
      </w:r>
      <w:r w:rsidR="006E7988">
        <w:rPr>
          <w:rFonts w:eastAsia="Times New Roman" w:cs="Times New Roman"/>
          <w:szCs w:val="19"/>
          <w:lang w:eastAsia="pl-PL"/>
        </w:rPr>
        <w:t>ch</w:t>
      </w:r>
      <w:r w:rsidR="00B92A6D">
        <w:rPr>
          <w:rFonts w:eastAsia="Times New Roman" w:cs="Times New Roman"/>
          <w:szCs w:val="19"/>
          <w:lang w:eastAsia="pl-PL"/>
        </w:rPr>
        <w:t xml:space="preserve"> i samorządowy</w:t>
      </w:r>
      <w:r w:rsidR="006E7988">
        <w:rPr>
          <w:rFonts w:eastAsia="Times New Roman" w:cs="Times New Roman"/>
          <w:szCs w:val="19"/>
          <w:lang w:eastAsia="pl-PL"/>
        </w:rPr>
        <w:t>ch</w:t>
      </w:r>
      <w:r w:rsidR="00B92A6D">
        <w:rPr>
          <w:rFonts w:eastAsia="Times New Roman" w:cs="Times New Roman"/>
          <w:szCs w:val="19"/>
          <w:lang w:eastAsia="pl-PL"/>
        </w:rPr>
        <w:t>.</w:t>
      </w:r>
      <w:r w:rsidR="00961DF1">
        <w:rPr>
          <w:rFonts w:eastAsia="Times New Roman" w:cs="Times New Roman"/>
          <w:szCs w:val="19"/>
          <w:lang w:eastAsia="pl-PL"/>
        </w:rPr>
        <w:t xml:space="preserve"> </w:t>
      </w:r>
      <w:r w:rsidR="002939E2">
        <w:rPr>
          <w:rFonts w:eastAsia="Times New Roman" w:cs="Times New Roman"/>
          <w:szCs w:val="19"/>
          <w:lang w:eastAsia="pl-PL"/>
        </w:rPr>
        <w:t xml:space="preserve">W sektorze niefinansowym </w:t>
      </w:r>
      <w:r w:rsidR="0000719C">
        <w:rPr>
          <w:rFonts w:eastAsia="Times New Roman" w:cs="Times New Roman"/>
          <w:szCs w:val="19"/>
          <w:lang w:eastAsia="pl-PL"/>
        </w:rPr>
        <w:t>przeważały</w:t>
      </w:r>
      <w:r w:rsidR="002939E2">
        <w:rPr>
          <w:rFonts w:eastAsia="Times New Roman" w:cs="Times New Roman"/>
          <w:szCs w:val="19"/>
          <w:lang w:eastAsia="pl-PL"/>
        </w:rPr>
        <w:t xml:space="preserve"> kredyt</w:t>
      </w:r>
      <w:r w:rsidR="0000719C">
        <w:rPr>
          <w:rFonts w:eastAsia="Times New Roman" w:cs="Times New Roman"/>
          <w:szCs w:val="19"/>
          <w:lang w:eastAsia="pl-PL"/>
        </w:rPr>
        <w:t>y</w:t>
      </w:r>
      <w:r w:rsidR="002939E2">
        <w:rPr>
          <w:rFonts w:eastAsia="Times New Roman" w:cs="Times New Roman"/>
          <w:szCs w:val="19"/>
          <w:lang w:eastAsia="pl-PL"/>
        </w:rPr>
        <w:t xml:space="preserve"> udzielon</w:t>
      </w:r>
      <w:r w:rsidR="0000719C">
        <w:rPr>
          <w:rFonts w:eastAsia="Times New Roman" w:cs="Times New Roman"/>
          <w:szCs w:val="19"/>
          <w:lang w:eastAsia="pl-PL"/>
        </w:rPr>
        <w:t>e</w:t>
      </w:r>
      <w:r w:rsidR="002939E2">
        <w:rPr>
          <w:rFonts w:eastAsia="Times New Roman" w:cs="Times New Roman"/>
          <w:szCs w:val="19"/>
          <w:lang w:eastAsia="pl-PL"/>
        </w:rPr>
        <w:t xml:space="preserve"> gospodarstwom domowym (66,8%), </w:t>
      </w:r>
      <w:r w:rsidR="006E7988">
        <w:rPr>
          <w:rFonts w:eastAsia="Times New Roman" w:cs="Times New Roman"/>
          <w:szCs w:val="19"/>
          <w:lang w:eastAsia="pl-PL"/>
        </w:rPr>
        <w:t>w</w:t>
      </w:r>
      <w:r w:rsidR="002939E2">
        <w:rPr>
          <w:rFonts w:eastAsia="Times New Roman" w:cs="Times New Roman"/>
          <w:szCs w:val="19"/>
          <w:lang w:eastAsia="pl-PL"/>
        </w:rPr>
        <w:t xml:space="preserve"> </w:t>
      </w:r>
      <w:r w:rsidR="006E7988">
        <w:rPr>
          <w:rFonts w:eastAsia="Times New Roman" w:cs="Times New Roman"/>
          <w:szCs w:val="19"/>
          <w:lang w:eastAsia="pl-PL"/>
        </w:rPr>
        <w:t>których</w:t>
      </w:r>
      <w:r w:rsidR="002939E2">
        <w:rPr>
          <w:rFonts w:eastAsia="Times New Roman" w:cs="Times New Roman"/>
          <w:szCs w:val="19"/>
          <w:lang w:eastAsia="pl-PL"/>
        </w:rPr>
        <w:t xml:space="preserve"> 63,4% stanowiły kredyty </w:t>
      </w:r>
      <w:r w:rsidR="009A0316">
        <w:rPr>
          <w:rFonts w:eastAsia="Times New Roman" w:cs="Times New Roman"/>
          <w:szCs w:val="19"/>
          <w:lang w:eastAsia="pl-PL"/>
        </w:rPr>
        <w:t xml:space="preserve">przeznaczone na nieruchomości </w:t>
      </w:r>
      <w:r w:rsidR="002939E2">
        <w:rPr>
          <w:rFonts w:eastAsia="Times New Roman" w:cs="Times New Roman"/>
          <w:szCs w:val="19"/>
          <w:lang w:eastAsia="pl-PL"/>
        </w:rPr>
        <w:t>mieszkaniowe</w:t>
      </w:r>
      <w:r w:rsidR="009A0316">
        <w:rPr>
          <w:rFonts w:eastAsia="Times New Roman" w:cs="Times New Roman"/>
          <w:szCs w:val="19"/>
          <w:lang w:eastAsia="pl-PL"/>
        </w:rPr>
        <w:t xml:space="preserve">. Udział kredytów </w:t>
      </w:r>
      <w:r w:rsidR="009A0316" w:rsidRPr="009A0316">
        <w:rPr>
          <w:rFonts w:eastAsia="Times New Roman" w:cs="Times New Roman"/>
          <w:szCs w:val="19"/>
          <w:lang w:eastAsia="pl-PL"/>
        </w:rPr>
        <w:t>mieszkaniow</w:t>
      </w:r>
      <w:r w:rsidR="009A0316">
        <w:rPr>
          <w:rFonts w:eastAsia="Times New Roman" w:cs="Times New Roman"/>
          <w:szCs w:val="19"/>
          <w:lang w:eastAsia="pl-PL"/>
        </w:rPr>
        <w:t>ych</w:t>
      </w:r>
      <w:r w:rsidR="002939E2">
        <w:rPr>
          <w:rFonts w:eastAsia="Times New Roman" w:cs="Times New Roman"/>
          <w:szCs w:val="19"/>
          <w:lang w:eastAsia="pl-PL"/>
        </w:rPr>
        <w:t xml:space="preserve"> </w:t>
      </w:r>
      <w:r w:rsidR="009A0316" w:rsidRPr="00E85789">
        <w:rPr>
          <w:rFonts w:eastAsia="Times New Roman" w:cs="Times New Roman"/>
          <w:szCs w:val="19"/>
          <w:lang w:eastAsia="pl-PL"/>
        </w:rPr>
        <w:t>powiązan</w:t>
      </w:r>
      <w:r w:rsidR="009A0316">
        <w:rPr>
          <w:rFonts w:eastAsia="Times New Roman" w:cs="Times New Roman"/>
          <w:szCs w:val="19"/>
          <w:lang w:eastAsia="pl-PL"/>
        </w:rPr>
        <w:t>ych</w:t>
      </w:r>
      <w:r w:rsidR="009A0316" w:rsidRPr="00E85789">
        <w:rPr>
          <w:rFonts w:eastAsia="Times New Roman" w:cs="Times New Roman"/>
          <w:szCs w:val="19"/>
          <w:lang w:eastAsia="pl-PL"/>
        </w:rPr>
        <w:t xml:space="preserve"> z kursem CHF/PLN </w:t>
      </w:r>
      <w:r w:rsidR="009A0316">
        <w:rPr>
          <w:rFonts w:eastAsia="Times New Roman" w:cs="Times New Roman"/>
          <w:szCs w:val="19"/>
          <w:lang w:eastAsia="pl-PL"/>
        </w:rPr>
        <w:t xml:space="preserve">w </w:t>
      </w:r>
      <w:r w:rsidR="00770860">
        <w:rPr>
          <w:rFonts w:eastAsia="Times New Roman" w:cs="Times New Roman"/>
          <w:szCs w:val="19"/>
          <w:lang w:eastAsia="pl-PL"/>
        </w:rPr>
        <w:t xml:space="preserve">całości </w:t>
      </w:r>
      <w:r w:rsidR="009A0316">
        <w:rPr>
          <w:rFonts w:eastAsia="Times New Roman" w:cs="Times New Roman"/>
          <w:szCs w:val="19"/>
          <w:lang w:eastAsia="pl-PL"/>
        </w:rPr>
        <w:t>kredyt</w:t>
      </w:r>
      <w:r w:rsidR="00770860">
        <w:rPr>
          <w:rFonts w:eastAsia="Times New Roman" w:cs="Times New Roman"/>
          <w:szCs w:val="19"/>
          <w:lang w:eastAsia="pl-PL"/>
        </w:rPr>
        <w:t>ów</w:t>
      </w:r>
      <w:r w:rsidR="009A0316">
        <w:rPr>
          <w:rFonts w:eastAsia="Times New Roman" w:cs="Times New Roman"/>
          <w:szCs w:val="19"/>
          <w:lang w:eastAsia="pl-PL"/>
        </w:rPr>
        <w:t xml:space="preserve"> mieszkaniowych gospodarstw domowych wyniósł </w:t>
      </w:r>
      <w:r w:rsidR="0070085F">
        <w:rPr>
          <w:rFonts w:eastAsia="Times New Roman" w:cs="Times New Roman"/>
          <w:szCs w:val="19"/>
          <w:lang w:eastAsia="pl-PL"/>
        </w:rPr>
        <w:t>15</w:t>
      </w:r>
      <w:r w:rsidR="002939E2">
        <w:rPr>
          <w:rFonts w:eastAsia="Times New Roman" w:cs="Times New Roman"/>
          <w:szCs w:val="19"/>
          <w:lang w:eastAsia="pl-PL"/>
        </w:rPr>
        <w:t>,</w:t>
      </w:r>
      <w:r w:rsidR="0070085F">
        <w:rPr>
          <w:rFonts w:eastAsia="Times New Roman" w:cs="Times New Roman"/>
          <w:szCs w:val="19"/>
          <w:lang w:eastAsia="pl-PL"/>
        </w:rPr>
        <w:t>5</w:t>
      </w:r>
      <w:r w:rsidR="009A0316">
        <w:rPr>
          <w:rFonts w:eastAsia="Times New Roman" w:cs="Times New Roman"/>
          <w:szCs w:val="19"/>
          <w:lang w:eastAsia="pl-PL"/>
        </w:rPr>
        <w:t>%</w:t>
      </w:r>
      <w:r w:rsidR="002939E2">
        <w:rPr>
          <w:rFonts w:eastAsia="Times New Roman" w:cs="Times New Roman"/>
          <w:szCs w:val="19"/>
          <w:lang w:eastAsia="pl-PL"/>
        </w:rPr>
        <w:t xml:space="preserve">. </w:t>
      </w:r>
      <w:r w:rsidR="00BF2CB1">
        <w:rPr>
          <w:rFonts w:eastAsia="Times New Roman" w:cs="Times New Roman"/>
          <w:szCs w:val="19"/>
          <w:lang w:eastAsia="pl-PL"/>
        </w:rPr>
        <w:t xml:space="preserve">Kredyty </w:t>
      </w:r>
      <w:r w:rsidR="00E85789" w:rsidRPr="00E85789">
        <w:rPr>
          <w:rFonts w:eastAsia="Times New Roman" w:cs="Times New Roman"/>
          <w:szCs w:val="19"/>
          <w:lang w:eastAsia="pl-PL"/>
        </w:rPr>
        <w:t xml:space="preserve">dla przedsiębiorstw </w:t>
      </w:r>
      <w:r w:rsidR="00177C9F">
        <w:rPr>
          <w:rFonts w:eastAsia="Times New Roman" w:cs="Times New Roman"/>
          <w:szCs w:val="19"/>
          <w:lang w:eastAsia="pl-PL"/>
        </w:rPr>
        <w:t>należały</w:t>
      </w:r>
      <w:r w:rsidR="00B556F3">
        <w:rPr>
          <w:rFonts w:eastAsia="Times New Roman" w:cs="Times New Roman"/>
          <w:szCs w:val="19"/>
          <w:lang w:eastAsia="pl-PL"/>
        </w:rPr>
        <w:t xml:space="preserve"> </w:t>
      </w:r>
      <w:r w:rsidR="00E85789" w:rsidRPr="00E85789">
        <w:rPr>
          <w:rFonts w:eastAsia="Times New Roman" w:cs="Times New Roman"/>
          <w:szCs w:val="19"/>
          <w:lang w:eastAsia="pl-PL"/>
        </w:rPr>
        <w:t xml:space="preserve">w większości </w:t>
      </w:r>
      <w:r w:rsidR="00177C9F">
        <w:rPr>
          <w:rFonts w:eastAsia="Times New Roman" w:cs="Times New Roman"/>
          <w:szCs w:val="19"/>
          <w:lang w:eastAsia="pl-PL"/>
        </w:rPr>
        <w:t xml:space="preserve">do </w:t>
      </w:r>
      <w:r w:rsidR="008020C8">
        <w:rPr>
          <w:rFonts w:eastAsia="Times New Roman" w:cs="Times New Roman"/>
          <w:szCs w:val="19"/>
          <w:lang w:eastAsia="pl-PL"/>
        </w:rPr>
        <w:t>duży</w:t>
      </w:r>
      <w:r w:rsidR="00177C9F">
        <w:rPr>
          <w:rFonts w:eastAsia="Times New Roman" w:cs="Times New Roman"/>
          <w:szCs w:val="19"/>
          <w:lang w:eastAsia="pl-PL"/>
        </w:rPr>
        <w:t>ch</w:t>
      </w:r>
      <w:r w:rsidR="008020C8">
        <w:rPr>
          <w:rFonts w:eastAsia="Times New Roman" w:cs="Times New Roman"/>
          <w:szCs w:val="19"/>
          <w:lang w:eastAsia="pl-PL"/>
        </w:rPr>
        <w:t xml:space="preserve"> przedsiębiorstw</w:t>
      </w:r>
      <w:r w:rsidR="00BF2CB1">
        <w:rPr>
          <w:rFonts w:eastAsia="Times New Roman" w:cs="Times New Roman"/>
          <w:szCs w:val="19"/>
          <w:lang w:eastAsia="pl-PL"/>
        </w:rPr>
        <w:t xml:space="preserve"> (51</w:t>
      </w:r>
      <w:r w:rsidR="00B943C9">
        <w:rPr>
          <w:rFonts w:eastAsia="Times New Roman" w:cs="Times New Roman"/>
          <w:szCs w:val="19"/>
          <w:lang w:eastAsia="pl-PL"/>
        </w:rPr>
        <w:t>,0</w:t>
      </w:r>
      <w:r w:rsidR="00BF2CB1">
        <w:rPr>
          <w:rFonts w:eastAsia="Times New Roman" w:cs="Times New Roman"/>
          <w:szCs w:val="19"/>
          <w:lang w:eastAsia="pl-PL"/>
        </w:rPr>
        <w:t xml:space="preserve">% </w:t>
      </w:r>
      <w:r w:rsidR="00770860">
        <w:rPr>
          <w:rFonts w:eastAsia="Times New Roman" w:cs="Times New Roman"/>
          <w:szCs w:val="19"/>
          <w:lang w:eastAsia="pl-PL"/>
        </w:rPr>
        <w:t xml:space="preserve">całości </w:t>
      </w:r>
      <w:r w:rsidR="00BF2CB1">
        <w:rPr>
          <w:rFonts w:eastAsia="Times New Roman" w:cs="Times New Roman"/>
          <w:szCs w:val="19"/>
          <w:lang w:eastAsia="pl-PL"/>
        </w:rPr>
        <w:t>kredytów dla przedsiębiorstw, o 4,9 p. proc. więcej niż rok wcześniej</w:t>
      </w:r>
      <w:r w:rsidR="00045F18">
        <w:rPr>
          <w:rFonts w:eastAsia="Times New Roman" w:cs="Times New Roman"/>
          <w:szCs w:val="19"/>
          <w:lang w:eastAsia="pl-PL"/>
        </w:rPr>
        <w:t>)</w:t>
      </w:r>
      <w:r w:rsidR="00E85789" w:rsidRPr="00E85789">
        <w:rPr>
          <w:rFonts w:eastAsia="Times New Roman" w:cs="Times New Roman"/>
          <w:szCs w:val="19"/>
          <w:lang w:eastAsia="pl-PL"/>
        </w:rPr>
        <w:t xml:space="preserve">. </w:t>
      </w:r>
    </w:p>
    <w:p w14:paraId="5BE50A99" w14:textId="2BBFAA6A" w:rsidR="00006B18" w:rsidRPr="00F049AB" w:rsidRDefault="00006B18" w:rsidP="00C4540E">
      <w:pPr>
        <w:pStyle w:val="Tytutablicy"/>
        <w:ind w:left="851" w:hanging="851"/>
      </w:pPr>
      <w:r w:rsidRPr="00F049AB">
        <w:t xml:space="preserve">Tablica </w:t>
      </w:r>
      <w:r>
        <w:t>4</w:t>
      </w:r>
      <w:r w:rsidRPr="00F049AB">
        <w:t xml:space="preserve">. </w:t>
      </w:r>
      <w:r w:rsidRPr="00006B18">
        <w:t>Depozyty sektora niefinansowego oraz sektora instytucji rządowych i samorządowych</w:t>
      </w:r>
      <w:r w:rsidR="004C399F">
        <w:t xml:space="preserve"> </w:t>
      </w:r>
      <w:r w:rsidR="004C399F" w:rsidRPr="004C399F">
        <w:rPr>
          <w:b w:val="0"/>
        </w:rPr>
        <w:t>(</w:t>
      </w:r>
      <w:r w:rsidR="0000719C">
        <w:rPr>
          <w:b w:val="0"/>
        </w:rPr>
        <w:t>s</w:t>
      </w:r>
      <w:r w:rsidR="004C399F" w:rsidRPr="004C399F">
        <w:rPr>
          <w:b w:val="0"/>
        </w:rPr>
        <w:t xml:space="preserve">tan w dniu 31 </w:t>
      </w:r>
      <w:r w:rsidR="0000719C">
        <w:rPr>
          <w:b w:val="0"/>
        </w:rPr>
        <w:t>XII</w:t>
      </w:r>
      <w:r w:rsidR="004C399F" w:rsidRPr="004C399F">
        <w:rPr>
          <w:b w:val="0"/>
        </w:rPr>
        <w:t>)</w:t>
      </w:r>
    </w:p>
    <w:tbl>
      <w:tblPr>
        <w:tblW w:w="7938" w:type="dxa"/>
        <w:tblBorders>
          <w:insideH w:val="single" w:sz="2" w:space="0" w:color="001D77"/>
          <w:insideV w:val="single" w:sz="2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4. Depozyty sektora niefinansowego oraz sektora instytucji rządowych i samorządowych w latach 2020-2021 (stan w dniu 31 grudnia)"/>
      </w:tblPr>
      <w:tblGrid>
        <w:gridCol w:w="4253"/>
        <w:gridCol w:w="1228"/>
        <w:gridCol w:w="1228"/>
        <w:gridCol w:w="1229"/>
      </w:tblGrid>
      <w:tr w:rsidR="00006B18" w14:paraId="0CCDBFEA" w14:textId="77777777" w:rsidTr="005B621A">
        <w:trPr>
          <w:trHeight w:val="456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14:paraId="7CD47D0D" w14:textId="77777777" w:rsidR="00006B18" w:rsidRPr="005B621A" w:rsidRDefault="00006B18" w:rsidP="005B621A">
            <w:pPr>
              <w:jc w:val="center"/>
            </w:pPr>
            <w:r w:rsidRPr="005B621A">
              <w:t>Wyszczególnienie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  <w:hideMark/>
          </w:tcPr>
          <w:p w14:paraId="7ECE4405" w14:textId="77777777" w:rsidR="00006B18" w:rsidRPr="005B621A" w:rsidRDefault="00006B18" w:rsidP="005B621A">
            <w:pPr>
              <w:jc w:val="center"/>
            </w:pPr>
            <w:r w:rsidRPr="005B621A">
              <w:t>2020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4A146E06" w14:textId="77777777" w:rsidR="00006B18" w:rsidRPr="005B621A" w:rsidRDefault="00006B18" w:rsidP="005B621A">
            <w:pPr>
              <w:jc w:val="center"/>
            </w:pPr>
            <w:r w:rsidRPr="005B621A">
              <w:t>2021</w:t>
            </w:r>
          </w:p>
        </w:tc>
      </w:tr>
      <w:tr w:rsidR="00006B18" w14:paraId="7E90F87C" w14:textId="77777777" w:rsidTr="005B621A">
        <w:trPr>
          <w:trHeight w:val="456"/>
        </w:trPr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4C481E6B" w14:textId="77777777" w:rsidR="00006B18" w:rsidRPr="005B621A" w:rsidRDefault="00006B18" w:rsidP="00DE3A9F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single" w:sz="2" w:space="0" w:color="001D77"/>
              <w:left w:val="single" w:sz="4" w:space="0" w:color="001D77"/>
              <w:bottom w:val="single" w:sz="4" w:space="0" w:color="001D77"/>
              <w:right w:val="single" w:sz="4" w:space="0" w:color="auto"/>
            </w:tcBorders>
            <w:vAlign w:val="center"/>
            <w:hideMark/>
          </w:tcPr>
          <w:p w14:paraId="05C3C15F" w14:textId="77777777" w:rsidR="00006B18" w:rsidRPr="005B621A" w:rsidRDefault="00006B18" w:rsidP="005B621A">
            <w:pPr>
              <w:jc w:val="center"/>
            </w:pPr>
            <w:r w:rsidRPr="005B621A">
              <w:t>w mln</w:t>
            </w:r>
            <w:r w:rsidR="009E07CB" w:rsidRPr="005B621A">
              <w:t xml:space="preserve"> zł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41DE0C77" w14:textId="77777777" w:rsidR="00006B18" w:rsidRPr="005B621A" w:rsidRDefault="00006B18" w:rsidP="005B621A">
            <w:pPr>
              <w:jc w:val="center"/>
            </w:pPr>
            <w:r w:rsidRPr="005B621A">
              <w:t>2020=100</w:t>
            </w:r>
          </w:p>
        </w:tc>
      </w:tr>
      <w:tr w:rsidR="00EA702C" w14:paraId="09883C48" w14:textId="77777777" w:rsidTr="005B621A">
        <w:trPr>
          <w:trHeight w:val="300"/>
        </w:trPr>
        <w:tc>
          <w:tcPr>
            <w:tcW w:w="42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A99A349" w14:textId="77777777" w:rsidR="00EA702C" w:rsidRDefault="00EA702C" w:rsidP="005B621A">
            <w:pPr>
              <w:pStyle w:val="Tablicaboczekwcicie1"/>
              <w:ind w:firstLine="0"/>
              <w:rPr>
                <w:rFonts w:eastAsia="Times New Roman" w:cs="Calibri"/>
                <w:lang w:eastAsia="pl-PL"/>
              </w:rPr>
            </w:pPr>
            <w:r w:rsidRPr="00E54379">
              <w:t xml:space="preserve">Sektor niefinansowy 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1319F346" w14:textId="77777777" w:rsidR="00EA702C" w:rsidRDefault="00EA702C" w:rsidP="00EA702C">
            <w:pPr>
              <w:pStyle w:val="Tablicadanerodek"/>
            </w:pPr>
            <w:r w:rsidRPr="008E57AA">
              <w:t>1 424 337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65969068" w14:textId="77777777" w:rsidR="00EA702C" w:rsidRDefault="00EA702C" w:rsidP="00EA702C">
            <w:pPr>
              <w:pStyle w:val="Tablicadanerodek"/>
            </w:pPr>
            <w:r w:rsidRPr="008E57AA">
              <w:t>1 536 976</w:t>
            </w:r>
          </w:p>
        </w:tc>
        <w:tc>
          <w:tcPr>
            <w:tcW w:w="122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C2EC6AA" w14:textId="77777777" w:rsidR="00EA702C" w:rsidRDefault="00EA702C" w:rsidP="00EA702C">
            <w:pPr>
              <w:pStyle w:val="Tablicadanerodek"/>
            </w:pPr>
            <w:r w:rsidRPr="008E57AA">
              <w:t>107,9</w:t>
            </w:r>
          </w:p>
        </w:tc>
      </w:tr>
      <w:tr w:rsidR="00EA702C" w14:paraId="1B4E7D4B" w14:textId="77777777" w:rsidTr="005B621A">
        <w:trPr>
          <w:trHeight w:val="300"/>
        </w:trPr>
        <w:tc>
          <w:tcPr>
            <w:tcW w:w="42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4A7D4570" w14:textId="77777777" w:rsidR="00EA702C" w:rsidRDefault="00EA702C" w:rsidP="005B621A">
            <w:pPr>
              <w:pStyle w:val="Tablicaboczekwcicie2"/>
              <w:ind w:left="176"/>
              <w:rPr>
                <w:rFonts w:eastAsia="Times New Roman" w:cs="Calibri"/>
                <w:lang w:eastAsia="pl-PL"/>
              </w:rPr>
            </w:pPr>
            <w:r w:rsidRPr="00E54379">
              <w:t>bieżące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2DDA4C4" w14:textId="77777777" w:rsidR="00EA702C" w:rsidRDefault="00EA702C" w:rsidP="00EA702C">
            <w:pPr>
              <w:pStyle w:val="Tablicadanerodek"/>
            </w:pPr>
            <w:r w:rsidRPr="008E57AA">
              <w:t>1 122 481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4C06CD31" w14:textId="77777777" w:rsidR="00EA702C" w:rsidRDefault="00EA702C" w:rsidP="00EA702C">
            <w:pPr>
              <w:pStyle w:val="Tablicadanerodek"/>
            </w:pPr>
            <w:r w:rsidRPr="008E57AA">
              <w:t>1 273 394</w:t>
            </w:r>
          </w:p>
        </w:tc>
        <w:tc>
          <w:tcPr>
            <w:tcW w:w="122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3BFAB069" w14:textId="77777777" w:rsidR="00EA702C" w:rsidRDefault="00EA702C" w:rsidP="00EA702C">
            <w:pPr>
              <w:pStyle w:val="Tablicadanerodek"/>
            </w:pPr>
            <w:r w:rsidRPr="008E57AA">
              <w:t>113,4</w:t>
            </w:r>
          </w:p>
        </w:tc>
      </w:tr>
      <w:tr w:rsidR="00EA702C" w14:paraId="0E64BE3C" w14:textId="77777777" w:rsidTr="005B621A">
        <w:trPr>
          <w:trHeight w:val="300"/>
        </w:trPr>
        <w:tc>
          <w:tcPr>
            <w:tcW w:w="42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2D297539" w14:textId="77777777" w:rsidR="00EA702C" w:rsidRDefault="00EA702C" w:rsidP="005B621A">
            <w:pPr>
              <w:pStyle w:val="Tablicaboczekwcicie2"/>
              <w:ind w:left="176"/>
            </w:pPr>
            <w:r w:rsidRPr="00E54379">
              <w:t>terminowe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A82D06B" w14:textId="77777777" w:rsidR="00EA702C" w:rsidRDefault="00EA702C" w:rsidP="00EA702C">
            <w:pPr>
              <w:pStyle w:val="Tablicadanerodek"/>
            </w:pPr>
            <w:r w:rsidRPr="008E57AA">
              <w:t>301 856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778261FF" w14:textId="77777777" w:rsidR="00EA702C" w:rsidRDefault="00EA702C" w:rsidP="00EA702C">
            <w:pPr>
              <w:pStyle w:val="Tablicadanerodek"/>
            </w:pPr>
            <w:r w:rsidRPr="008E57AA">
              <w:t>263 582</w:t>
            </w:r>
          </w:p>
        </w:tc>
        <w:tc>
          <w:tcPr>
            <w:tcW w:w="122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5FF67EA1" w14:textId="77777777" w:rsidR="00EA702C" w:rsidRDefault="00EA702C" w:rsidP="00EA702C">
            <w:pPr>
              <w:pStyle w:val="Tablicadanerodek"/>
            </w:pPr>
            <w:r w:rsidRPr="008E57AA">
              <w:t>87,3</w:t>
            </w:r>
          </w:p>
        </w:tc>
      </w:tr>
      <w:tr w:rsidR="00EA702C" w14:paraId="4FC86177" w14:textId="77777777" w:rsidTr="005B621A">
        <w:trPr>
          <w:trHeight w:val="300"/>
        </w:trPr>
        <w:tc>
          <w:tcPr>
            <w:tcW w:w="4253" w:type="dxa"/>
            <w:tcBorders>
              <w:top w:val="single" w:sz="4" w:space="0" w:color="001D77"/>
              <w:left w:val="nil"/>
              <w:bottom w:val="nil"/>
              <w:right w:val="single" w:sz="2" w:space="0" w:color="001D77"/>
            </w:tcBorders>
            <w:noWrap/>
          </w:tcPr>
          <w:p w14:paraId="49E2ABCF" w14:textId="77777777" w:rsidR="00EA702C" w:rsidRDefault="00EA702C" w:rsidP="005B621A">
            <w:pPr>
              <w:pStyle w:val="Tablicaboczekwcicie2"/>
              <w:ind w:left="0"/>
            </w:pPr>
            <w:r w:rsidRPr="00E54379">
              <w:t>Sektor instytucji rządowych i samorządowych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17E5FDE4" w14:textId="77777777" w:rsidR="00EA702C" w:rsidRDefault="00EA702C" w:rsidP="00EA702C">
            <w:pPr>
              <w:pStyle w:val="Tablicadanerodek"/>
            </w:pPr>
            <w:r w:rsidRPr="008E57AA">
              <w:t>120 308</w:t>
            </w:r>
          </w:p>
        </w:tc>
        <w:tc>
          <w:tcPr>
            <w:tcW w:w="1228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</w:tcPr>
          <w:p w14:paraId="6D49D790" w14:textId="77777777" w:rsidR="00EA702C" w:rsidRDefault="00EA702C" w:rsidP="00EA702C">
            <w:pPr>
              <w:pStyle w:val="Tablicadanerodek"/>
            </w:pPr>
            <w:r w:rsidRPr="008E57AA">
              <w:t>179 453</w:t>
            </w:r>
          </w:p>
        </w:tc>
        <w:tc>
          <w:tcPr>
            <w:tcW w:w="1229" w:type="dxa"/>
            <w:tcBorders>
              <w:top w:val="single" w:sz="4" w:space="0" w:color="001D77"/>
              <w:left w:val="single" w:sz="2" w:space="0" w:color="001D77"/>
              <w:bottom w:val="nil"/>
              <w:right w:val="nil"/>
            </w:tcBorders>
            <w:noWrap/>
          </w:tcPr>
          <w:p w14:paraId="44DF90F2" w14:textId="77777777" w:rsidR="00EA702C" w:rsidRDefault="00EA702C" w:rsidP="00EA702C">
            <w:pPr>
              <w:pStyle w:val="Tablicadanerodek"/>
            </w:pPr>
            <w:r w:rsidRPr="008E57AA">
              <w:t>149,2</w:t>
            </w:r>
          </w:p>
        </w:tc>
      </w:tr>
    </w:tbl>
    <w:p w14:paraId="554FEBFE" w14:textId="1CAAEF03" w:rsidR="00006B18" w:rsidRPr="008A6FF5" w:rsidRDefault="00C17653" w:rsidP="00D77728">
      <w:pPr>
        <w:spacing w:before="240" w:line="288" w:lineRule="auto"/>
        <w:rPr>
          <w:rFonts w:eastAsia="Times New Roman" w:cs="Times New Roman"/>
          <w:strike/>
          <w:szCs w:val="19"/>
          <w:lang w:eastAsia="pl-PL"/>
        </w:rPr>
      </w:pPr>
      <w:r w:rsidRPr="00C17653">
        <w:rPr>
          <w:rFonts w:eastAsia="Times New Roman" w:cs="Times New Roman"/>
          <w:szCs w:val="19"/>
          <w:lang w:eastAsia="pl-PL"/>
        </w:rPr>
        <w:t>Według stanu w dniu 31 grudnia 2021 r</w:t>
      </w:r>
      <w:r>
        <w:rPr>
          <w:rFonts w:eastAsia="Times New Roman" w:cs="Times New Roman"/>
          <w:szCs w:val="19"/>
          <w:lang w:eastAsia="pl-PL"/>
        </w:rPr>
        <w:t xml:space="preserve">. </w:t>
      </w:r>
      <w:r w:rsidR="00BF2CB1">
        <w:rPr>
          <w:rFonts w:eastAsia="Times New Roman" w:cs="Times New Roman"/>
          <w:szCs w:val="19"/>
          <w:lang w:eastAsia="pl-PL"/>
        </w:rPr>
        <w:t>wartość d</w:t>
      </w:r>
      <w:r w:rsidR="00BF2CB1" w:rsidRPr="00BF2CB1">
        <w:rPr>
          <w:rFonts w:eastAsia="Times New Roman" w:cs="Times New Roman"/>
          <w:szCs w:val="19"/>
          <w:lang w:eastAsia="pl-PL"/>
        </w:rPr>
        <w:t>e</w:t>
      </w:r>
      <w:r w:rsidR="00BF2CB1">
        <w:rPr>
          <w:rFonts w:eastAsia="Times New Roman" w:cs="Times New Roman"/>
          <w:szCs w:val="19"/>
          <w:lang w:eastAsia="pl-PL"/>
        </w:rPr>
        <w:t>poz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ytów </w:t>
      </w:r>
      <w:r w:rsidR="00BF2CB1">
        <w:rPr>
          <w:rFonts w:eastAsia="Times New Roman" w:cs="Times New Roman"/>
          <w:szCs w:val="19"/>
          <w:lang w:eastAsia="pl-PL"/>
        </w:rPr>
        <w:t>s</w:t>
      </w:r>
      <w:r w:rsidR="00BF2CB1" w:rsidRPr="00BF2CB1">
        <w:rPr>
          <w:rFonts w:eastAsia="Times New Roman" w:cs="Times New Roman"/>
          <w:szCs w:val="19"/>
          <w:lang w:eastAsia="pl-PL"/>
        </w:rPr>
        <w:t>ektor</w:t>
      </w:r>
      <w:r w:rsidR="00BF2CB1">
        <w:rPr>
          <w:rFonts w:eastAsia="Times New Roman" w:cs="Times New Roman"/>
          <w:szCs w:val="19"/>
          <w:lang w:eastAsia="pl-PL"/>
        </w:rPr>
        <w:t>a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niefinansowe</w:t>
      </w:r>
      <w:r w:rsidR="00BF2CB1">
        <w:rPr>
          <w:rFonts w:eastAsia="Times New Roman" w:cs="Times New Roman"/>
          <w:szCs w:val="19"/>
          <w:lang w:eastAsia="pl-PL"/>
        </w:rPr>
        <w:t>go oraz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sektor</w:t>
      </w:r>
      <w:r w:rsidR="00BF2CB1">
        <w:rPr>
          <w:rFonts w:eastAsia="Times New Roman" w:cs="Times New Roman"/>
          <w:szCs w:val="19"/>
          <w:lang w:eastAsia="pl-PL"/>
        </w:rPr>
        <w:t>a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instytucji rządowych i samorządowych wyniosła 1</w:t>
      </w:r>
      <w:r w:rsidR="00FB58E1">
        <w:rPr>
          <w:rFonts w:eastAsia="Times New Roman" w:cs="Times New Roman"/>
          <w:szCs w:val="19"/>
          <w:lang w:eastAsia="pl-PL"/>
        </w:rPr>
        <w:t> </w:t>
      </w:r>
      <w:r w:rsidR="00BF2CB1">
        <w:rPr>
          <w:rFonts w:eastAsia="Times New Roman" w:cs="Times New Roman"/>
          <w:szCs w:val="19"/>
          <w:lang w:eastAsia="pl-PL"/>
        </w:rPr>
        <w:t>716,4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mld zł</w:t>
      </w:r>
      <w:r w:rsidR="0030535D">
        <w:rPr>
          <w:rFonts w:eastAsia="Times New Roman" w:cs="Times New Roman"/>
          <w:szCs w:val="19"/>
          <w:lang w:eastAsia="pl-PL"/>
        </w:rPr>
        <w:t xml:space="preserve"> (</w:t>
      </w:r>
      <w:r w:rsidR="00E31202">
        <w:rPr>
          <w:rFonts w:eastAsia="Times New Roman" w:cs="Times New Roman"/>
          <w:szCs w:val="19"/>
          <w:lang w:eastAsia="pl-PL"/>
        </w:rPr>
        <w:t xml:space="preserve">o 11,1% </w:t>
      </w:r>
      <w:r w:rsidR="0030535D">
        <w:rPr>
          <w:rFonts w:eastAsia="Times New Roman" w:cs="Times New Roman"/>
          <w:szCs w:val="19"/>
          <w:lang w:eastAsia="pl-PL"/>
        </w:rPr>
        <w:t>więcej</w:t>
      </w:r>
      <w:r w:rsidR="00E31202">
        <w:rPr>
          <w:rFonts w:eastAsia="Times New Roman" w:cs="Times New Roman"/>
          <w:szCs w:val="19"/>
          <w:lang w:eastAsia="pl-PL"/>
        </w:rPr>
        <w:t xml:space="preserve"> niż rok wcześniej</w:t>
      </w:r>
      <w:r w:rsidR="0030535D">
        <w:rPr>
          <w:rFonts w:eastAsia="Times New Roman" w:cs="Times New Roman"/>
          <w:szCs w:val="19"/>
          <w:lang w:eastAsia="pl-PL"/>
        </w:rPr>
        <w:t>)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, z czego </w:t>
      </w:r>
      <w:r w:rsidR="00BF2CB1">
        <w:rPr>
          <w:rFonts w:eastAsia="Times New Roman" w:cs="Times New Roman"/>
          <w:szCs w:val="19"/>
          <w:lang w:eastAsia="pl-PL"/>
        </w:rPr>
        <w:t>8</w:t>
      </w:r>
      <w:r w:rsidR="00BF2CB1" w:rsidRPr="00BF2CB1">
        <w:rPr>
          <w:rFonts w:eastAsia="Times New Roman" w:cs="Times New Roman"/>
          <w:szCs w:val="19"/>
          <w:lang w:eastAsia="pl-PL"/>
        </w:rPr>
        <w:t>9,</w:t>
      </w:r>
      <w:r w:rsidR="00BF2CB1">
        <w:rPr>
          <w:rFonts w:eastAsia="Times New Roman" w:cs="Times New Roman"/>
          <w:szCs w:val="19"/>
          <w:lang w:eastAsia="pl-PL"/>
        </w:rPr>
        <w:t>5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% </w:t>
      </w:r>
      <w:r w:rsidR="00BF2CB1">
        <w:rPr>
          <w:rFonts w:eastAsia="Times New Roman" w:cs="Times New Roman"/>
          <w:szCs w:val="19"/>
          <w:lang w:eastAsia="pl-PL"/>
        </w:rPr>
        <w:t xml:space="preserve">należało do </w:t>
      </w:r>
      <w:r w:rsidR="00BF2CB1" w:rsidRPr="00BF2CB1">
        <w:rPr>
          <w:rFonts w:eastAsia="Times New Roman" w:cs="Times New Roman"/>
          <w:szCs w:val="19"/>
          <w:lang w:eastAsia="pl-PL"/>
        </w:rPr>
        <w:t>sektor</w:t>
      </w:r>
      <w:r w:rsidR="00BF2CB1">
        <w:rPr>
          <w:rFonts w:eastAsia="Times New Roman" w:cs="Times New Roman"/>
          <w:szCs w:val="19"/>
          <w:lang w:eastAsia="pl-PL"/>
        </w:rPr>
        <w:t>a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niefinansowe</w:t>
      </w:r>
      <w:r w:rsidR="00BF2CB1">
        <w:rPr>
          <w:rFonts w:eastAsia="Times New Roman" w:cs="Times New Roman"/>
          <w:szCs w:val="19"/>
          <w:lang w:eastAsia="pl-PL"/>
        </w:rPr>
        <w:t>go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, a </w:t>
      </w:r>
      <w:r w:rsidR="00BF2CB1">
        <w:rPr>
          <w:rFonts w:eastAsia="Times New Roman" w:cs="Times New Roman"/>
          <w:szCs w:val="19"/>
          <w:lang w:eastAsia="pl-PL"/>
        </w:rPr>
        <w:t>10</w:t>
      </w:r>
      <w:r w:rsidR="00BF2CB1" w:rsidRPr="00BF2CB1">
        <w:rPr>
          <w:rFonts w:eastAsia="Times New Roman" w:cs="Times New Roman"/>
          <w:szCs w:val="19"/>
          <w:lang w:eastAsia="pl-PL"/>
        </w:rPr>
        <w:t>,</w:t>
      </w:r>
      <w:r w:rsidR="00BF2CB1">
        <w:rPr>
          <w:rFonts w:eastAsia="Times New Roman" w:cs="Times New Roman"/>
          <w:szCs w:val="19"/>
          <w:lang w:eastAsia="pl-PL"/>
        </w:rPr>
        <w:t>5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% </w:t>
      </w:r>
      <w:r w:rsidR="00BF2CB1">
        <w:rPr>
          <w:rFonts w:eastAsia="Times New Roman" w:cs="Times New Roman"/>
          <w:szCs w:val="19"/>
          <w:lang w:eastAsia="pl-PL"/>
        </w:rPr>
        <w:t xml:space="preserve">do sektora </w:t>
      </w:r>
      <w:r w:rsidR="00BF2CB1" w:rsidRPr="00BF2CB1">
        <w:rPr>
          <w:rFonts w:eastAsia="Times New Roman" w:cs="Times New Roman"/>
          <w:szCs w:val="19"/>
          <w:lang w:eastAsia="pl-PL"/>
        </w:rPr>
        <w:t>instytucj</w:t>
      </w:r>
      <w:r w:rsidR="00BF2CB1">
        <w:rPr>
          <w:rFonts w:eastAsia="Times New Roman" w:cs="Times New Roman"/>
          <w:szCs w:val="19"/>
          <w:lang w:eastAsia="pl-PL"/>
        </w:rPr>
        <w:t>i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rządowy</w:t>
      </w:r>
      <w:r w:rsidR="00BF2CB1">
        <w:rPr>
          <w:rFonts w:eastAsia="Times New Roman" w:cs="Times New Roman"/>
          <w:szCs w:val="19"/>
          <w:lang w:eastAsia="pl-PL"/>
        </w:rPr>
        <w:t>ch</w:t>
      </w:r>
      <w:r w:rsidR="00BF2CB1" w:rsidRPr="00BF2CB1">
        <w:rPr>
          <w:rFonts w:eastAsia="Times New Roman" w:cs="Times New Roman"/>
          <w:szCs w:val="19"/>
          <w:lang w:eastAsia="pl-PL"/>
        </w:rPr>
        <w:t xml:space="preserve"> i samorządowy</w:t>
      </w:r>
      <w:r w:rsidR="00BF2CB1">
        <w:rPr>
          <w:rFonts w:eastAsia="Times New Roman" w:cs="Times New Roman"/>
          <w:szCs w:val="19"/>
          <w:lang w:eastAsia="pl-PL"/>
        </w:rPr>
        <w:t>ch</w:t>
      </w:r>
      <w:r w:rsidR="00BF2CB1" w:rsidRPr="00BF2CB1">
        <w:rPr>
          <w:rFonts w:eastAsia="Times New Roman" w:cs="Times New Roman"/>
          <w:szCs w:val="19"/>
          <w:lang w:eastAsia="pl-PL"/>
        </w:rPr>
        <w:t>.</w:t>
      </w:r>
      <w:r w:rsidR="00E8126B">
        <w:rPr>
          <w:rFonts w:eastAsia="Times New Roman" w:cs="Times New Roman"/>
          <w:szCs w:val="19"/>
          <w:lang w:eastAsia="pl-PL"/>
        </w:rPr>
        <w:t xml:space="preserve"> </w:t>
      </w:r>
      <w:r w:rsidR="00BF2CB1">
        <w:rPr>
          <w:rFonts w:eastAsia="Times New Roman" w:cs="Times New Roman"/>
          <w:szCs w:val="19"/>
          <w:lang w:eastAsia="pl-PL"/>
        </w:rPr>
        <w:t xml:space="preserve">W </w:t>
      </w:r>
      <w:r w:rsidR="009E07CB">
        <w:rPr>
          <w:rFonts w:eastAsia="Times New Roman" w:cs="Times New Roman"/>
          <w:szCs w:val="19"/>
          <w:lang w:eastAsia="pl-PL"/>
        </w:rPr>
        <w:t xml:space="preserve">strukturze </w:t>
      </w:r>
      <w:r w:rsidR="00BF2CB1" w:rsidRPr="008A6FF5">
        <w:rPr>
          <w:rFonts w:eastAsia="Times New Roman" w:cs="Times New Roman"/>
          <w:szCs w:val="19"/>
          <w:lang w:eastAsia="pl-PL"/>
        </w:rPr>
        <w:t>depozyt</w:t>
      </w:r>
      <w:r w:rsidR="009E07CB">
        <w:rPr>
          <w:rFonts w:eastAsia="Times New Roman" w:cs="Times New Roman"/>
          <w:szCs w:val="19"/>
          <w:lang w:eastAsia="pl-PL"/>
        </w:rPr>
        <w:t>ów</w:t>
      </w:r>
      <w:r w:rsidR="00BF2CB1" w:rsidRPr="008A6FF5">
        <w:rPr>
          <w:rFonts w:eastAsia="Times New Roman" w:cs="Times New Roman"/>
          <w:szCs w:val="19"/>
          <w:lang w:eastAsia="pl-PL"/>
        </w:rPr>
        <w:t xml:space="preserve"> sektora niefinansowego </w:t>
      </w:r>
      <w:r w:rsidR="009E07CB">
        <w:rPr>
          <w:rFonts w:eastAsia="Times New Roman" w:cs="Times New Roman"/>
          <w:szCs w:val="19"/>
          <w:lang w:eastAsia="pl-PL"/>
        </w:rPr>
        <w:t>82,9% stanowiły depozyty bieżące</w:t>
      </w:r>
      <w:r w:rsidR="009411C7">
        <w:rPr>
          <w:rFonts w:eastAsia="Times New Roman" w:cs="Times New Roman"/>
          <w:szCs w:val="19"/>
          <w:lang w:eastAsia="pl-PL"/>
        </w:rPr>
        <w:t>, a</w:t>
      </w:r>
      <w:r w:rsidR="009E07CB">
        <w:rPr>
          <w:rFonts w:eastAsia="Times New Roman" w:cs="Times New Roman"/>
          <w:szCs w:val="19"/>
          <w:lang w:eastAsia="pl-PL"/>
        </w:rPr>
        <w:t xml:space="preserve"> </w:t>
      </w:r>
      <w:r w:rsidR="009411C7">
        <w:rPr>
          <w:rFonts w:eastAsia="Times New Roman" w:cs="Times New Roman"/>
          <w:szCs w:val="19"/>
          <w:lang w:eastAsia="pl-PL"/>
        </w:rPr>
        <w:t>u</w:t>
      </w:r>
      <w:r w:rsidR="00772F6C" w:rsidRPr="008A6FF5">
        <w:rPr>
          <w:rFonts w:eastAsia="Times New Roman" w:cs="Times New Roman"/>
          <w:szCs w:val="19"/>
          <w:lang w:eastAsia="pl-PL"/>
        </w:rPr>
        <w:t xml:space="preserve">dział depozytów terminowych obniżył się </w:t>
      </w:r>
      <w:r w:rsidR="00772F6C" w:rsidRPr="002A226A">
        <w:rPr>
          <w:rFonts w:eastAsia="Times New Roman" w:cs="Times New Roman"/>
          <w:szCs w:val="19"/>
          <w:lang w:eastAsia="pl-PL"/>
        </w:rPr>
        <w:t>do 17,1%</w:t>
      </w:r>
      <w:r w:rsidR="00772F6C" w:rsidRPr="008A6FF5">
        <w:rPr>
          <w:rFonts w:eastAsia="Times New Roman" w:cs="Times New Roman"/>
          <w:szCs w:val="19"/>
          <w:lang w:eastAsia="pl-PL"/>
        </w:rPr>
        <w:t xml:space="preserve"> </w:t>
      </w:r>
      <w:r w:rsidR="00772F6C" w:rsidRPr="002A226A">
        <w:rPr>
          <w:rFonts w:eastAsia="Times New Roman" w:cs="Times New Roman"/>
          <w:szCs w:val="19"/>
          <w:lang w:eastAsia="pl-PL"/>
        </w:rPr>
        <w:t>(</w:t>
      </w:r>
      <w:r w:rsidR="00772F6C" w:rsidRPr="008A6FF5">
        <w:rPr>
          <w:rFonts w:eastAsia="Times New Roman" w:cs="Times New Roman"/>
          <w:szCs w:val="19"/>
          <w:lang w:eastAsia="pl-PL"/>
        </w:rPr>
        <w:t>o 4,0 p.</w:t>
      </w:r>
      <w:r w:rsidR="00772F6C">
        <w:rPr>
          <w:rFonts w:eastAsia="Times New Roman" w:cs="Times New Roman"/>
          <w:szCs w:val="19"/>
          <w:lang w:eastAsia="pl-PL"/>
        </w:rPr>
        <w:t> </w:t>
      </w:r>
      <w:r w:rsidR="00772F6C" w:rsidRPr="008A6FF5">
        <w:rPr>
          <w:rFonts w:eastAsia="Times New Roman" w:cs="Times New Roman"/>
          <w:szCs w:val="19"/>
          <w:lang w:eastAsia="pl-PL"/>
        </w:rPr>
        <w:t>proc.</w:t>
      </w:r>
      <w:r w:rsidR="00772F6C" w:rsidRPr="002A226A">
        <w:rPr>
          <w:rFonts w:eastAsia="Times New Roman" w:cs="Times New Roman"/>
          <w:szCs w:val="19"/>
          <w:lang w:eastAsia="pl-PL"/>
        </w:rPr>
        <w:t>)</w:t>
      </w:r>
      <w:r w:rsidR="00772F6C">
        <w:rPr>
          <w:rFonts w:eastAsia="Times New Roman" w:cs="Times New Roman"/>
          <w:szCs w:val="19"/>
          <w:lang w:eastAsia="pl-PL"/>
        </w:rPr>
        <w:t xml:space="preserve">. </w:t>
      </w:r>
    </w:p>
    <w:p w14:paraId="761D6056" w14:textId="3B5B27E6" w:rsidR="00006B18" w:rsidRPr="001E7F57" w:rsidRDefault="002C7535" w:rsidP="00172E7F">
      <w:pPr>
        <w:pStyle w:val="Tytuwykresu0"/>
        <w:spacing w:line="240" w:lineRule="exact"/>
        <w:ind w:left="851" w:hanging="851"/>
        <w:rPr>
          <w:rFonts w:ascii="Fira Sans" w:hAnsi="Fira Sans"/>
          <w:szCs w:val="19"/>
        </w:rPr>
      </w:pPr>
      <w:r w:rsidRPr="001E7F57">
        <w:rPr>
          <w:szCs w:val="19"/>
        </w:rPr>
        <w:lastRenderedPageBreak/>
        <w:drawing>
          <wp:anchor distT="0" distB="0" distL="114300" distR="114300" simplePos="0" relativeHeight="251761664" behindDoc="1" locked="0" layoutInCell="1" allowOverlap="1" wp14:anchorId="792DBFE4" wp14:editId="7D64C641">
            <wp:simplePos x="0" y="0"/>
            <wp:positionH relativeFrom="margin">
              <wp:align>left</wp:align>
            </wp:positionH>
            <wp:positionV relativeFrom="paragraph">
              <wp:posOffset>670560</wp:posOffset>
            </wp:positionV>
            <wp:extent cx="518287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15" y="21455"/>
                <wp:lineTo x="21515" y="0"/>
                <wp:lineTo x="0" y="0"/>
              </wp:wrapPolygon>
            </wp:wrapTight>
            <wp:docPr id="17" name="Obraz 17" descr="Wykres 2. Różnica między wartością należności (w tym z tytułu kredytów), a zobowiązaniami (w tym z tytułu depozytów) sektora bankowego wobec sektora niefinansowego oraz sektora instytucji rządowych i samorządowych w latach 2010-2021 (wg stanu w końcu kwartał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8" b="7742"/>
                    <a:stretch/>
                  </pic:blipFill>
                  <pic:spPr bwMode="auto">
                    <a:xfrm>
                      <a:off x="0" y="0"/>
                      <a:ext cx="51828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6B18" w:rsidRPr="001E7F57">
        <w:rPr>
          <w:rFonts w:ascii="Fira Sans" w:hAnsi="Fira Sans"/>
          <w:szCs w:val="19"/>
        </w:rPr>
        <w:t xml:space="preserve">Wykres 2. </w:t>
      </w:r>
      <w:r w:rsidR="004621BA" w:rsidRPr="001E7F57">
        <w:rPr>
          <w:rFonts w:ascii="Fira Sans" w:hAnsi="Fira Sans"/>
          <w:szCs w:val="19"/>
        </w:rPr>
        <w:t>Różnica między wartością należności (w tym z tytułu kredytów), a zobowiązaniami (w</w:t>
      </w:r>
      <w:r w:rsidR="007E7C1D" w:rsidRPr="001E7F57">
        <w:rPr>
          <w:rFonts w:ascii="Fira Sans" w:hAnsi="Fira Sans"/>
          <w:szCs w:val="19"/>
        </w:rPr>
        <w:t> </w:t>
      </w:r>
      <w:r w:rsidR="004621BA" w:rsidRPr="001E7F57">
        <w:rPr>
          <w:rFonts w:ascii="Fira Sans" w:hAnsi="Fira Sans"/>
          <w:szCs w:val="19"/>
        </w:rPr>
        <w:t xml:space="preserve">tym z tytułu depozytów) sektora bankowego wobec sektora niefinansowego oraz sektora instytucji rządowych i samorządowych </w:t>
      </w:r>
      <w:r w:rsidR="004621BA" w:rsidRPr="001E7F57">
        <w:rPr>
          <w:rFonts w:ascii="Fira Sans" w:hAnsi="Fira Sans"/>
          <w:b w:val="0"/>
          <w:szCs w:val="19"/>
        </w:rPr>
        <w:t>(stanu w końcu kwartału)</w:t>
      </w:r>
    </w:p>
    <w:p w14:paraId="58B497BF" w14:textId="2F46F59C" w:rsidR="001467E3" w:rsidRPr="002B018B" w:rsidRDefault="003E2ABF" w:rsidP="0012406F">
      <w:pPr>
        <w:pStyle w:val="Nagwek1"/>
        <w:spacing w:before="480"/>
        <w:rPr>
          <w:rFonts w:ascii="Fira Sans" w:hAnsi="Fira Sans"/>
          <w:b/>
          <w:color w:val="1F3864" w:themeColor="accent5" w:themeShade="80"/>
        </w:rPr>
      </w:pPr>
      <w:r w:rsidRPr="002B018B">
        <w:rPr>
          <w:rFonts w:ascii="Fira Sans" w:hAnsi="Fira Sans"/>
          <w:b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664FE85C" wp14:editId="58D0648B">
                <wp:simplePos x="0" y="0"/>
                <wp:positionH relativeFrom="column">
                  <wp:posOffset>5247005</wp:posOffset>
                </wp:positionH>
                <wp:positionV relativeFrom="page">
                  <wp:posOffset>4471035</wp:posOffset>
                </wp:positionV>
                <wp:extent cx="1812925" cy="1640840"/>
                <wp:effectExtent l="0" t="0" r="0" b="0"/>
                <wp:wrapTight wrapText="bothSides">
                  <wp:wrapPolygon edited="0">
                    <wp:start x="681" y="0"/>
                    <wp:lineTo x="681" y="21316"/>
                    <wp:lineTo x="20881" y="21316"/>
                    <wp:lineTo x="20881" y="0"/>
                    <wp:lineTo x="681" y="0"/>
                  </wp:wrapPolygon>
                </wp:wrapTight>
                <wp:docPr id="7" name="Pole tekstowe 7" descr="W 2021 nastąpiło zmniejszenie liczby banków działających w Polsce do 578 banków, tj. o 18, przy wzroście liczby banków komercyjnych do 67 (o 1 bank) i zmniejszeniu liczby banków spółdzielczych do 511 (o 19 banków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270C" w14:textId="6D019402" w:rsidR="00220357" w:rsidRPr="00220357" w:rsidRDefault="00220357" w:rsidP="00220357">
                            <w:pPr>
                              <w:pStyle w:val="tekstzboku"/>
                              <w:spacing w:before="240"/>
                            </w:pPr>
                            <w:r>
                              <w:t>W 2021 nastąpiło zmniejszenie liczby banków działających w Polsce do 578 banków, tj. o 18</w:t>
                            </w:r>
                            <w:r w:rsidR="00E31202">
                              <w:t>, przy wzroście liczby banków komercyjnych do 67 (o</w:t>
                            </w:r>
                            <w:r w:rsidR="00BF3653">
                              <w:t> </w:t>
                            </w:r>
                            <w:r w:rsidR="00E31202">
                              <w:t>1 bank) i zmniejszeniu liczby banków spółdzielczych do 511 (o 19 banków)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E85C" id="Pole tekstowe 7" o:spid="_x0000_s1031" type="#_x0000_t202" alt="W 2021 nastąpiło zmniejszenie liczby banków działających w Polsce do 578 banków, tj. o 18, przy wzroście liczby banków komercyjnych do 67 (o 1 bank) i zmniejszeniu liczby banków spółdzielczych do 511 (o 19 banków)" style="position:absolute;margin-left:413.15pt;margin-top:352.05pt;width:142.75pt;height:129.2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" filled="f" stroked="f">
                <v:textbox>
                  <w:txbxContent>
                    <w:p w14:paraId="70C7270C" w14:textId="6D019402" w:rsidR="00220357" w:rsidRPr="00220357" w:rsidRDefault="00220357" w:rsidP="00220357">
                      <w:pPr>
                        <w:pStyle w:val="tekstzboku"/>
                        <w:spacing w:before="240"/>
                      </w:pPr>
                      <w:r>
                        <w:t>W 2021 nastąpiło zmniejszenie liczby banków działających w Polsce do 578 banków, tj. o 18</w:t>
                      </w:r>
                      <w:r w:rsidR="00E31202">
                        <w:t>, przy wzroście liczby banków komercyjnych do 67 (o</w:t>
                      </w:r>
                      <w:r w:rsidR="00BF3653">
                        <w:t> </w:t>
                      </w:r>
                      <w:r w:rsidR="00E31202">
                        <w:t>1 bank) i zmniejszeniu liczby banków spółdzielczych do 511 (o 19 banków)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467E3" w:rsidRPr="002B018B">
        <w:rPr>
          <w:rFonts w:ascii="Fira Sans" w:hAnsi="Fira Sans"/>
          <w:b/>
          <w:color w:val="1F3864" w:themeColor="accent5" w:themeShade="80"/>
        </w:rPr>
        <w:t xml:space="preserve">Charakterystyka </w:t>
      </w:r>
      <w:r w:rsidR="00BF2CB1" w:rsidRPr="002B018B">
        <w:rPr>
          <w:rFonts w:ascii="Fira Sans" w:hAnsi="Fira Sans"/>
          <w:b/>
          <w:color w:val="1F3864" w:themeColor="accent5" w:themeShade="80"/>
        </w:rPr>
        <w:t xml:space="preserve">struktury </w:t>
      </w:r>
      <w:r w:rsidR="00720717" w:rsidRPr="002B018B">
        <w:rPr>
          <w:rFonts w:ascii="Fira Sans" w:hAnsi="Fira Sans"/>
          <w:b/>
          <w:color w:val="1F3864" w:themeColor="accent5" w:themeShade="80"/>
        </w:rPr>
        <w:t>podmiot</w:t>
      </w:r>
      <w:r w:rsidR="00BF2CB1" w:rsidRPr="002B018B">
        <w:rPr>
          <w:rFonts w:ascii="Fira Sans" w:hAnsi="Fira Sans"/>
          <w:b/>
          <w:color w:val="1F3864" w:themeColor="accent5" w:themeShade="80"/>
        </w:rPr>
        <w:t>o</w:t>
      </w:r>
      <w:r w:rsidR="00720717" w:rsidRPr="002B018B">
        <w:rPr>
          <w:rFonts w:ascii="Fira Sans" w:hAnsi="Fira Sans"/>
          <w:b/>
          <w:color w:val="1F3864" w:themeColor="accent5" w:themeShade="80"/>
        </w:rPr>
        <w:t>w</w:t>
      </w:r>
      <w:r w:rsidR="00BF2CB1" w:rsidRPr="002B018B">
        <w:rPr>
          <w:rFonts w:ascii="Fira Sans" w:hAnsi="Fira Sans"/>
          <w:b/>
          <w:color w:val="1F3864" w:themeColor="accent5" w:themeShade="80"/>
        </w:rPr>
        <w:t>ej</w:t>
      </w:r>
      <w:r w:rsidR="00720717" w:rsidRPr="002B018B">
        <w:rPr>
          <w:rFonts w:ascii="Fira Sans" w:hAnsi="Fira Sans"/>
          <w:b/>
          <w:color w:val="1F3864" w:themeColor="accent5" w:themeShade="80"/>
        </w:rPr>
        <w:t xml:space="preserve"> </w:t>
      </w:r>
      <w:r w:rsidR="001467E3" w:rsidRPr="002B018B">
        <w:rPr>
          <w:rFonts w:ascii="Fira Sans" w:hAnsi="Fira Sans"/>
          <w:b/>
          <w:color w:val="1F3864" w:themeColor="accent5" w:themeShade="80"/>
        </w:rPr>
        <w:t>sektora bankowego</w:t>
      </w:r>
    </w:p>
    <w:p w14:paraId="232E7007" w14:textId="2550FEAD" w:rsidR="00006B18" w:rsidRPr="00F049AB" w:rsidRDefault="00006B18" w:rsidP="0012406F">
      <w:pPr>
        <w:pStyle w:val="Tytutablicy"/>
        <w:spacing w:before="280"/>
        <w:ind w:left="851" w:hanging="851"/>
      </w:pPr>
      <w:r w:rsidRPr="00F049AB">
        <w:t xml:space="preserve">Tablica </w:t>
      </w:r>
      <w:r>
        <w:t>5</w:t>
      </w:r>
      <w:r w:rsidRPr="00F049AB">
        <w:t xml:space="preserve">. </w:t>
      </w:r>
      <w:r w:rsidR="004621BA" w:rsidRPr="004621BA">
        <w:t>Liczba banków według formy organizacyjnej i struktury własności</w:t>
      </w:r>
    </w:p>
    <w:tbl>
      <w:tblPr>
        <w:tblW w:w="7938" w:type="dxa"/>
        <w:tblBorders>
          <w:insideH w:val="single" w:sz="2" w:space="0" w:color="001D77"/>
          <w:insideV w:val="single" w:sz="2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5. Liczba banków według formy organizacyjnej i struktury własności w latach 2020-2021 (stan w dniu 31 grudnia))"/>
      </w:tblPr>
      <w:tblGrid>
        <w:gridCol w:w="4820"/>
        <w:gridCol w:w="1039"/>
        <w:gridCol w:w="1039"/>
        <w:gridCol w:w="1040"/>
      </w:tblGrid>
      <w:tr w:rsidR="00A81AD8" w14:paraId="5ABC5CDC" w14:textId="77777777" w:rsidTr="005B621A">
        <w:trPr>
          <w:trHeight w:val="456"/>
        </w:trPr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noWrap/>
            <w:vAlign w:val="center"/>
            <w:hideMark/>
          </w:tcPr>
          <w:p w14:paraId="478C76C3" w14:textId="77777777" w:rsidR="00A81AD8" w:rsidRPr="005B621A" w:rsidRDefault="00A81AD8" w:rsidP="005B621A">
            <w:pPr>
              <w:jc w:val="center"/>
            </w:pPr>
            <w:r w:rsidRPr="005B621A">
              <w:t>Wyszczególnienie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single" w:sz="4" w:space="0" w:color="001D77"/>
            </w:tcBorders>
            <w:vAlign w:val="center"/>
            <w:hideMark/>
          </w:tcPr>
          <w:p w14:paraId="72B4F5D9" w14:textId="77777777" w:rsidR="00A81AD8" w:rsidRPr="005B621A" w:rsidRDefault="00A81AD8" w:rsidP="005B621A">
            <w:pPr>
              <w:jc w:val="center"/>
            </w:pPr>
            <w:r w:rsidRPr="005B621A"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nil"/>
            </w:tcBorders>
            <w:vAlign w:val="center"/>
            <w:hideMark/>
          </w:tcPr>
          <w:p w14:paraId="23486BF6" w14:textId="77777777" w:rsidR="00A81AD8" w:rsidRPr="005B621A" w:rsidRDefault="00A81AD8" w:rsidP="005B621A">
            <w:pPr>
              <w:jc w:val="center"/>
            </w:pPr>
            <w:r w:rsidRPr="005B621A"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1D77"/>
              <w:bottom w:val="single" w:sz="2" w:space="0" w:color="001D77"/>
              <w:right w:val="nil"/>
            </w:tcBorders>
            <w:vAlign w:val="center"/>
          </w:tcPr>
          <w:p w14:paraId="2C628606" w14:textId="77777777" w:rsidR="00A81AD8" w:rsidRPr="005B621A" w:rsidRDefault="00A81AD8" w:rsidP="005B621A">
            <w:pPr>
              <w:jc w:val="center"/>
            </w:pPr>
            <w:r w:rsidRPr="005B621A">
              <w:t>Zmiana</w:t>
            </w:r>
          </w:p>
        </w:tc>
      </w:tr>
      <w:tr w:rsidR="00A81AD8" w14:paraId="48AA8B44" w14:textId="77777777" w:rsidTr="005B621A">
        <w:trPr>
          <w:trHeight w:val="456"/>
        </w:trPr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14:paraId="0743451C" w14:textId="77777777" w:rsidR="00A81AD8" w:rsidRPr="005B621A" w:rsidRDefault="00A81AD8" w:rsidP="00DE3A9F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2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  <w:hideMark/>
          </w:tcPr>
          <w:p w14:paraId="3ABEE6D7" w14:textId="77777777" w:rsidR="00A81AD8" w:rsidRPr="005B621A" w:rsidRDefault="009E07CB" w:rsidP="005B621A">
            <w:pPr>
              <w:jc w:val="center"/>
            </w:pPr>
            <w:r w:rsidRPr="005B621A">
              <w:t>w szt.</w:t>
            </w:r>
          </w:p>
        </w:tc>
      </w:tr>
      <w:tr w:rsidR="00A81AD8" w14:paraId="0B039DDF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vAlign w:val="bottom"/>
          </w:tcPr>
          <w:p w14:paraId="51AD7C47" w14:textId="77777777" w:rsidR="00A81AD8" w:rsidRDefault="00A81AD8" w:rsidP="005B621A">
            <w:pPr>
              <w:pStyle w:val="Tablicaboczek"/>
            </w:pPr>
            <w:r>
              <w:t>Ogółem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785A210" w14:textId="77777777" w:rsidR="00A81AD8" w:rsidRDefault="00A81AD8" w:rsidP="00A81AD8">
            <w:pPr>
              <w:pStyle w:val="Tablicadanerodek"/>
            </w:pPr>
            <w:r w:rsidRPr="001D0442">
              <w:t>596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CA6F35D" w14:textId="77777777" w:rsidR="00A81AD8" w:rsidRDefault="00A81AD8" w:rsidP="00A81AD8">
            <w:pPr>
              <w:pStyle w:val="Tablicadanerodek"/>
            </w:pPr>
            <w:r w:rsidRPr="001D0442">
              <w:t>5</w:t>
            </w:r>
            <w:r w:rsidR="00FF1300">
              <w:t>78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1BD30F6E" w14:textId="77777777" w:rsidR="00A81AD8" w:rsidRDefault="00A81AD8" w:rsidP="00A81AD8">
            <w:pPr>
              <w:pStyle w:val="Tablicadanerodek"/>
            </w:pPr>
            <w:r w:rsidRPr="001D0442">
              <w:t>-</w:t>
            </w:r>
            <w:r w:rsidR="00FF1300">
              <w:t>18</w:t>
            </w:r>
          </w:p>
        </w:tc>
      </w:tr>
      <w:tr w:rsidR="00A81AD8" w14:paraId="52C5A566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24CC1C40" w14:textId="77777777" w:rsidR="00A81AD8" w:rsidRDefault="00A81AD8" w:rsidP="005B621A">
            <w:pPr>
              <w:pStyle w:val="Tablicaboczek"/>
              <w:ind w:left="176"/>
            </w:pPr>
            <w:r w:rsidRPr="007B27A0">
              <w:t>Komercyjne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hideMark/>
          </w:tcPr>
          <w:p w14:paraId="45648B7B" w14:textId="77777777" w:rsidR="00A81AD8" w:rsidRDefault="00A81AD8" w:rsidP="00A81AD8">
            <w:pPr>
              <w:pStyle w:val="Tablicadanerodek"/>
            </w:pPr>
            <w:r w:rsidRPr="001D0442">
              <w:t>66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hideMark/>
          </w:tcPr>
          <w:p w14:paraId="3D47CB6B" w14:textId="77777777" w:rsidR="00A81AD8" w:rsidRDefault="00A81AD8" w:rsidP="00A81AD8">
            <w:pPr>
              <w:pStyle w:val="Tablicadanerodek"/>
              <w:rPr>
                <w:highlight w:val="yellow"/>
              </w:rPr>
            </w:pPr>
            <w:r w:rsidRPr="001D0442">
              <w:t>67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hideMark/>
          </w:tcPr>
          <w:p w14:paraId="0653AAA1" w14:textId="77777777" w:rsidR="00A81AD8" w:rsidRDefault="00A81AD8" w:rsidP="00A81AD8">
            <w:pPr>
              <w:pStyle w:val="Tablicadanerodek"/>
            </w:pPr>
            <w:r w:rsidRPr="001D0442">
              <w:t>+1</w:t>
            </w:r>
          </w:p>
        </w:tc>
      </w:tr>
      <w:tr w:rsidR="00A81AD8" w14:paraId="7F950565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  <w:hideMark/>
          </w:tcPr>
          <w:p w14:paraId="03671BC4" w14:textId="77777777" w:rsidR="00A81AD8" w:rsidRDefault="00A81AD8" w:rsidP="005B621A">
            <w:pPr>
              <w:pStyle w:val="Tablicaboczek"/>
              <w:ind w:left="318"/>
            </w:pPr>
            <w:r w:rsidRPr="007B27A0">
              <w:t>z przeważającym udziałem kapitału polskiego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hideMark/>
          </w:tcPr>
          <w:p w14:paraId="25A0DC49" w14:textId="77777777" w:rsidR="00A81AD8" w:rsidRDefault="00A81AD8" w:rsidP="00A81AD8">
            <w:pPr>
              <w:pStyle w:val="Tablicadanerodek"/>
            </w:pPr>
            <w:r w:rsidRPr="001D0442">
              <w:t>14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  <w:hideMark/>
          </w:tcPr>
          <w:p w14:paraId="272FAB32" w14:textId="77777777" w:rsidR="00A81AD8" w:rsidRDefault="00A81AD8" w:rsidP="00A81AD8">
            <w:pPr>
              <w:pStyle w:val="Tablicadanerodek"/>
              <w:rPr>
                <w:highlight w:val="yellow"/>
              </w:rPr>
            </w:pPr>
            <w:r w:rsidRPr="001D0442">
              <w:t>13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  <w:hideMark/>
          </w:tcPr>
          <w:p w14:paraId="6AC76C5C" w14:textId="77777777" w:rsidR="00A81AD8" w:rsidRDefault="00A81AD8" w:rsidP="00A81AD8">
            <w:pPr>
              <w:pStyle w:val="Tablicadanerodek"/>
            </w:pPr>
            <w:r w:rsidRPr="001D0442">
              <w:t>-1</w:t>
            </w:r>
          </w:p>
        </w:tc>
      </w:tr>
      <w:tr w:rsidR="00A81AD8" w14:paraId="074D319E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12FCFD30" w14:textId="77777777" w:rsidR="00A81AD8" w:rsidRDefault="00A81AD8" w:rsidP="005B621A">
            <w:pPr>
              <w:pStyle w:val="Tablicaboczekwcicie1"/>
              <w:ind w:left="318" w:firstLine="0"/>
              <w:rPr>
                <w:rFonts w:eastAsia="Times New Roman" w:cs="Calibri"/>
                <w:lang w:eastAsia="pl-PL"/>
              </w:rPr>
            </w:pPr>
            <w:r w:rsidRPr="007B27A0">
              <w:t xml:space="preserve">z przeważającym udziałem kapitału zagranicznego 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0E89D9E8" w14:textId="77777777" w:rsidR="00A81AD8" w:rsidRDefault="00A81AD8" w:rsidP="00A81AD8">
            <w:pPr>
              <w:pStyle w:val="Tablicadanerodek"/>
            </w:pPr>
            <w:r w:rsidRPr="001D0442">
              <w:t>52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597946FC" w14:textId="77777777" w:rsidR="00A81AD8" w:rsidRDefault="00A81AD8" w:rsidP="00A81AD8">
            <w:pPr>
              <w:pStyle w:val="Tablicadanerodek"/>
            </w:pPr>
            <w:r w:rsidRPr="001D0442">
              <w:t>54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1CA52A1C" w14:textId="77777777" w:rsidR="00A81AD8" w:rsidRDefault="00A81AD8" w:rsidP="00A81AD8">
            <w:pPr>
              <w:pStyle w:val="Tablicadanerodek"/>
            </w:pPr>
            <w:r w:rsidRPr="001D0442">
              <w:t>+2</w:t>
            </w:r>
          </w:p>
        </w:tc>
      </w:tr>
      <w:tr w:rsidR="00A81AD8" w14:paraId="7EDC543D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37752BC7" w14:textId="77777777" w:rsidR="00A81AD8" w:rsidRDefault="00A81AD8" w:rsidP="005B621A">
            <w:pPr>
              <w:pStyle w:val="Tablicaboczekwcicie2"/>
              <w:ind w:left="403"/>
              <w:rPr>
                <w:rFonts w:eastAsia="Times New Roman" w:cs="Calibri"/>
                <w:lang w:eastAsia="pl-PL"/>
              </w:rPr>
            </w:pPr>
            <w:r w:rsidRPr="007B27A0">
              <w:t>w tym ze 100% udziałem kapitału zagranicznego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51D3FAC" w14:textId="77777777" w:rsidR="00A81AD8" w:rsidRDefault="00A81AD8" w:rsidP="00A81AD8">
            <w:pPr>
              <w:pStyle w:val="Tablicadanerodek"/>
            </w:pPr>
            <w:r w:rsidRPr="001D0442">
              <w:t>43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6E205CCF" w14:textId="77777777" w:rsidR="00A81AD8" w:rsidRDefault="00A81AD8" w:rsidP="00A81AD8">
            <w:pPr>
              <w:pStyle w:val="Tablicadanerodek"/>
            </w:pPr>
            <w:r w:rsidRPr="001D0442">
              <w:t>44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6A955B4C" w14:textId="77777777" w:rsidR="00A81AD8" w:rsidRDefault="00A81AD8" w:rsidP="00A81AD8">
            <w:pPr>
              <w:pStyle w:val="Tablicadanerodek"/>
            </w:pPr>
            <w:r w:rsidRPr="001D0442">
              <w:t>+1</w:t>
            </w:r>
          </w:p>
        </w:tc>
      </w:tr>
      <w:tr w:rsidR="00A81AD8" w14:paraId="30C0FE25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single" w:sz="4" w:space="0" w:color="001D77"/>
              <w:right w:val="single" w:sz="2" w:space="0" w:color="001D77"/>
            </w:tcBorders>
            <w:noWrap/>
          </w:tcPr>
          <w:p w14:paraId="65989BFF" w14:textId="77777777" w:rsidR="00A81AD8" w:rsidRDefault="00A81AD8" w:rsidP="005B621A">
            <w:pPr>
              <w:pStyle w:val="Tablicaboczekwcicie2"/>
              <w:ind w:left="488"/>
            </w:pPr>
            <w:r w:rsidRPr="007B27A0">
              <w:t>w tym oddziały instytucji kredytowych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AA57EF2" w14:textId="77777777" w:rsidR="00A81AD8" w:rsidRDefault="00A81AD8" w:rsidP="00A81AD8">
            <w:pPr>
              <w:pStyle w:val="Tablicadanerodek"/>
            </w:pPr>
            <w:r w:rsidRPr="001D0442">
              <w:t>36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single" w:sz="2" w:space="0" w:color="001D77"/>
            </w:tcBorders>
          </w:tcPr>
          <w:p w14:paraId="2A03E6AD" w14:textId="77777777" w:rsidR="00A81AD8" w:rsidRDefault="00A81AD8" w:rsidP="00A81AD8">
            <w:pPr>
              <w:pStyle w:val="Tablicadanerodek"/>
            </w:pPr>
            <w:r w:rsidRPr="001D0442">
              <w:t>37</w:t>
            </w:r>
            <w:r w:rsidRPr="00A81AD8">
              <w:rPr>
                <w:vertAlign w:val="superscript"/>
              </w:rPr>
              <w:t>a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single" w:sz="4" w:space="0" w:color="001D77"/>
              <w:right w:val="nil"/>
            </w:tcBorders>
            <w:noWrap/>
          </w:tcPr>
          <w:p w14:paraId="72B54FBD" w14:textId="77777777" w:rsidR="00A81AD8" w:rsidRDefault="00A81AD8" w:rsidP="00A81AD8">
            <w:pPr>
              <w:pStyle w:val="Tablicadanerodek"/>
            </w:pPr>
            <w:r w:rsidRPr="001D0442">
              <w:t>+1</w:t>
            </w:r>
          </w:p>
        </w:tc>
      </w:tr>
      <w:tr w:rsidR="00A81AD8" w14:paraId="14FD76F8" w14:textId="77777777" w:rsidTr="005B621A">
        <w:trPr>
          <w:trHeight w:val="300"/>
        </w:trPr>
        <w:tc>
          <w:tcPr>
            <w:tcW w:w="4820" w:type="dxa"/>
            <w:tcBorders>
              <w:top w:val="single" w:sz="4" w:space="0" w:color="001D77"/>
              <w:left w:val="nil"/>
              <w:bottom w:val="nil"/>
              <w:right w:val="single" w:sz="2" w:space="0" w:color="001D77"/>
            </w:tcBorders>
            <w:noWrap/>
            <w:hideMark/>
          </w:tcPr>
          <w:p w14:paraId="76E2AE46" w14:textId="77777777" w:rsidR="00A81AD8" w:rsidRDefault="00A81AD8" w:rsidP="005B621A">
            <w:pPr>
              <w:pStyle w:val="Tablicaboczek"/>
              <w:ind w:left="176"/>
            </w:pPr>
            <w:r w:rsidRPr="007B27A0">
              <w:t>Spółdzielcze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  <w:hideMark/>
          </w:tcPr>
          <w:p w14:paraId="7144B5A7" w14:textId="77777777" w:rsidR="00A81AD8" w:rsidRDefault="00A81AD8" w:rsidP="00A81AD8">
            <w:pPr>
              <w:pStyle w:val="Tablicadanerodek"/>
            </w:pPr>
            <w:r w:rsidRPr="001D0442">
              <w:t>530</w:t>
            </w:r>
          </w:p>
        </w:tc>
        <w:tc>
          <w:tcPr>
            <w:tcW w:w="1039" w:type="dxa"/>
            <w:tcBorders>
              <w:top w:val="single" w:sz="4" w:space="0" w:color="001D77"/>
              <w:left w:val="single" w:sz="2" w:space="0" w:color="001D77"/>
              <w:bottom w:val="nil"/>
              <w:right w:val="single" w:sz="2" w:space="0" w:color="001D77"/>
            </w:tcBorders>
            <w:hideMark/>
          </w:tcPr>
          <w:p w14:paraId="73F9BC2E" w14:textId="77777777" w:rsidR="00A81AD8" w:rsidRDefault="00A81AD8" w:rsidP="00A81AD8">
            <w:pPr>
              <w:pStyle w:val="Tablicadanerodek"/>
              <w:rPr>
                <w:highlight w:val="yellow"/>
              </w:rPr>
            </w:pPr>
            <w:r w:rsidRPr="001D0442">
              <w:t>5</w:t>
            </w:r>
            <w:r w:rsidR="00FF1300">
              <w:t>11</w:t>
            </w:r>
          </w:p>
        </w:tc>
        <w:tc>
          <w:tcPr>
            <w:tcW w:w="1040" w:type="dxa"/>
            <w:tcBorders>
              <w:top w:val="single" w:sz="4" w:space="0" w:color="001D77"/>
              <w:left w:val="single" w:sz="2" w:space="0" w:color="001D77"/>
              <w:bottom w:val="nil"/>
              <w:right w:val="nil"/>
            </w:tcBorders>
            <w:noWrap/>
            <w:hideMark/>
          </w:tcPr>
          <w:p w14:paraId="4EB51BEF" w14:textId="77777777" w:rsidR="00A81AD8" w:rsidRDefault="00A81AD8" w:rsidP="00A81AD8">
            <w:pPr>
              <w:pStyle w:val="Tablicadanerodek"/>
            </w:pPr>
            <w:r w:rsidRPr="001D0442">
              <w:t>-</w:t>
            </w:r>
            <w:r w:rsidR="00FF1300">
              <w:t>19</w:t>
            </w:r>
          </w:p>
        </w:tc>
      </w:tr>
    </w:tbl>
    <w:p w14:paraId="5AC9C516" w14:textId="77777777" w:rsidR="00006B18" w:rsidRPr="00A81AD8" w:rsidRDefault="00A81AD8" w:rsidP="000B2A75">
      <w:pPr>
        <w:rPr>
          <w:rFonts w:eastAsia="Times New Roman" w:cs="Times New Roman"/>
          <w:sz w:val="16"/>
          <w:szCs w:val="16"/>
          <w:lang w:eastAsia="pl-PL"/>
        </w:rPr>
      </w:pPr>
      <w:r w:rsidRPr="00A81AD8">
        <w:rPr>
          <w:rFonts w:eastAsia="Times New Roman" w:cs="Times New Roman"/>
          <w:sz w:val="16"/>
          <w:szCs w:val="16"/>
          <w:lang w:eastAsia="pl-PL"/>
        </w:rPr>
        <w:t xml:space="preserve">a </w:t>
      </w:r>
      <w:r w:rsidR="00A5389A">
        <w:rPr>
          <w:rFonts w:eastAsia="Times New Roman" w:cs="Times New Roman"/>
          <w:sz w:val="16"/>
          <w:szCs w:val="16"/>
          <w:lang w:eastAsia="pl-PL"/>
        </w:rPr>
        <w:t>W</w:t>
      </w:r>
      <w:r w:rsidRPr="00A81AD8">
        <w:rPr>
          <w:rFonts w:eastAsia="Times New Roman" w:cs="Times New Roman"/>
          <w:sz w:val="16"/>
          <w:szCs w:val="16"/>
          <w:lang w:eastAsia="pl-PL"/>
        </w:rPr>
        <w:t xml:space="preserve"> tym jeden oddział banku zagranicznego</w:t>
      </w:r>
      <w:r w:rsidR="0070085F">
        <w:rPr>
          <w:rFonts w:eastAsia="Times New Roman" w:cs="Times New Roman"/>
          <w:sz w:val="16"/>
          <w:szCs w:val="16"/>
          <w:lang w:eastAsia="pl-PL"/>
        </w:rPr>
        <w:t>,</w:t>
      </w:r>
      <w:r w:rsidR="0070085F" w:rsidRPr="0070085F">
        <w:t xml:space="preserve"> </w:t>
      </w:r>
      <w:r w:rsidR="0070085F">
        <w:rPr>
          <w:rFonts w:eastAsia="Times New Roman" w:cs="Times New Roman"/>
          <w:sz w:val="16"/>
          <w:szCs w:val="16"/>
          <w:lang w:eastAsia="pl-PL"/>
        </w:rPr>
        <w:t>w</w:t>
      </w:r>
      <w:r w:rsidR="0070085F" w:rsidRPr="0070085F">
        <w:rPr>
          <w:rFonts w:eastAsia="Times New Roman" w:cs="Times New Roman"/>
          <w:sz w:val="16"/>
          <w:szCs w:val="16"/>
          <w:lang w:eastAsia="pl-PL"/>
        </w:rPr>
        <w:t xml:space="preserve"> związku z zakończeniem z dniem 31.12.2020 r. okresu przejściowego dla podmiotów ze Zjednoczonego Królestwa.</w:t>
      </w:r>
    </w:p>
    <w:p w14:paraId="099AB14A" w14:textId="7C6F9FD5" w:rsidR="001435D9" w:rsidRDefault="001C2810" w:rsidP="003E2ABF">
      <w:pPr>
        <w:spacing w:before="220" w:after="0" w:line="288" w:lineRule="auto"/>
        <w:rPr>
          <w:lang w:eastAsia="pl-PL"/>
        </w:rPr>
      </w:pPr>
      <w:r w:rsidRPr="00E800FD">
        <w:rPr>
          <w:lang w:eastAsia="pl-PL"/>
        </w:rPr>
        <w:t xml:space="preserve">W </w:t>
      </w:r>
      <w:r w:rsidRPr="00E800FD">
        <w:t>2021</w:t>
      </w:r>
      <w:r w:rsidRPr="00E800FD">
        <w:rPr>
          <w:lang w:eastAsia="pl-PL"/>
        </w:rPr>
        <w:t xml:space="preserve"> r. działalność operacyjną rozpoczęły dwa nowe banki komercyjne, jeden w formie spółki akcyjnej z większościowym udziałem kapitału zagranicznego oraz jeden oddział instytucji kredytowej. </w:t>
      </w:r>
      <w:r w:rsidR="00AF015F">
        <w:rPr>
          <w:lang w:eastAsia="pl-PL"/>
        </w:rPr>
        <w:t>Z drugiej strony</w:t>
      </w:r>
      <w:r w:rsidRPr="00E800FD">
        <w:rPr>
          <w:lang w:eastAsia="pl-PL"/>
        </w:rPr>
        <w:t xml:space="preserve">, </w:t>
      </w:r>
      <w:r w:rsidR="00AF015F" w:rsidRPr="00E800FD">
        <w:rPr>
          <w:lang w:eastAsia="pl-PL"/>
        </w:rPr>
        <w:t xml:space="preserve">jeden bank </w:t>
      </w:r>
      <w:bookmarkStart w:id="1" w:name="_Hlk95981007"/>
      <w:r w:rsidR="006E5546">
        <w:rPr>
          <w:lang w:eastAsia="pl-PL"/>
        </w:rPr>
        <w:t xml:space="preserve">komercyjny </w:t>
      </w:r>
      <w:r w:rsidR="00AF015F" w:rsidRPr="00E800FD">
        <w:rPr>
          <w:lang w:eastAsia="pl-PL"/>
        </w:rPr>
        <w:t>z przeważającym udziałem kapitału polskiego</w:t>
      </w:r>
      <w:bookmarkEnd w:id="1"/>
      <w:r w:rsidR="00AF015F" w:rsidRPr="00E800FD">
        <w:rPr>
          <w:lang w:eastAsia="pl-PL"/>
        </w:rPr>
        <w:t xml:space="preserve"> zakończył działalność w wyniku przymusowej restrukturyzacji</w:t>
      </w:r>
      <w:r w:rsidR="00AF015F" w:rsidRPr="00E800FD">
        <w:rPr>
          <w:rStyle w:val="Odwoanieprzypisudolnego"/>
          <w:rFonts w:eastAsia="Times New Roman" w:cs="Times New Roman"/>
          <w:szCs w:val="19"/>
          <w:lang w:eastAsia="pl-PL"/>
        </w:rPr>
        <w:footnoteReference w:id="3"/>
      </w:r>
      <w:r w:rsidR="00AF015F" w:rsidRPr="00E800FD">
        <w:rPr>
          <w:lang w:eastAsia="pl-PL"/>
        </w:rPr>
        <w:t xml:space="preserve"> i przejęcia przez inny bank komercyjny </w:t>
      </w:r>
      <w:r w:rsidR="003B5E45">
        <w:rPr>
          <w:lang w:eastAsia="pl-PL"/>
        </w:rPr>
        <w:t xml:space="preserve">także </w:t>
      </w:r>
      <w:r w:rsidR="00AF015F" w:rsidRPr="00E800FD">
        <w:rPr>
          <w:lang w:eastAsia="pl-PL"/>
        </w:rPr>
        <w:t>z przeważającym udziałem kapitału polskiego</w:t>
      </w:r>
      <w:r w:rsidR="00AF015F">
        <w:rPr>
          <w:lang w:eastAsia="pl-PL"/>
        </w:rPr>
        <w:t>.</w:t>
      </w:r>
    </w:p>
    <w:p w14:paraId="4C124D1E" w14:textId="01C0AB06" w:rsidR="00961DF1" w:rsidRPr="00001C5B" w:rsidRDefault="001435D9" w:rsidP="00B038AC">
      <w:pPr>
        <w:spacing w:before="0"/>
        <w:rPr>
          <w:sz w:val="18"/>
        </w:rPr>
        <w:sectPr w:rsidR="00961DF1" w:rsidRPr="00001C5B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E800FD">
        <w:rPr>
          <w:rFonts w:eastAsia="Times New Roman" w:cs="Times New Roman"/>
          <w:szCs w:val="19"/>
          <w:lang w:eastAsia="pl-PL"/>
        </w:rPr>
        <w:t>Liczba banków spółdzielczych zmniejszyła się z powodu trwającej konsolidacji w sektorze banków spółdzielczych.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E2400" w14:paraId="28C1B9F0" w14:textId="77777777" w:rsidTr="00B84C43">
        <w:trPr>
          <w:trHeight w:val="1626"/>
        </w:trPr>
        <w:tc>
          <w:tcPr>
            <w:tcW w:w="4926" w:type="dxa"/>
          </w:tcPr>
          <w:p w14:paraId="7525679D" w14:textId="77777777" w:rsidR="00DE2400" w:rsidRPr="004A1D19" w:rsidRDefault="00DE2400" w:rsidP="00DE240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3704EB92" w14:textId="77777777" w:rsidR="009C2381" w:rsidRPr="009C2381" w:rsidRDefault="009C2381" w:rsidP="009C2381">
            <w:pPr>
              <w:spacing w:before="0" w:line="276" w:lineRule="auto"/>
              <w:rPr>
                <w:rFonts w:eastAsia="Times New Roman" w:cs="Arial"/>
                <w:b/>
                <w:color w:val="000000" w:themeColor="text1"/>
                <w:sz w:val="20"/>
              </w:rPr>
            </w:pPr>
            <w:r w:rsidRPr="009C2381">
              <w:rPr>
                <w:rFonts w:eastAsia="Times New Roman" w:cs="Arial"/>
                <w:b/>
                <w:color w:val="000000" w:themeColor="text1"/>
                <w:sz w:val="20"/>
              </w:rPr>
              <w:t>Departament Studiów Makroekonomicznych</w:t>
            </w:r>
            <w:r w:rsidRPr="009C2381">
              <w:rPr>
                <w:rFonts w:eastAsia="Times New Roman" w:cs="Arial"/>
                <w:b/>
                <w:color w:val="000000" w:themeColor="text1"/>
                <w:sz w:val="20"/>
              </w:rPr>
              <w:br/>
              <w:t>i Finansów</w:t>
            </w:r>
          </w:p>
          <w:p w14:paraId="52CE0B7E" w14:textId="77777777" w:rsidR="009C2381" w:rsidRPr="009C2381" w:rsidRDefault="009C2381" w:rsidP="009C2381">
            <w:pPr>
              <w:spacing w:before="0" w:after="0" w:line="276" w:lineRule="auto"/>
              <w:rPr>
                <w:rFonts w:eastAsia="Times New Roman" w:cs="Times New Roman"/>
                <w:b/>
                <w:lang w:val="fi-FI"/>
              </w:rPr>
            </w:pPr>
            <w:r w:rsidRPr="00AA2083">
              <w:rPr>
                <w:rFonts w:eastAsia="Times New Roman" w:cs="Times New Roman"/>
                <w:lang w:val="fi-FI"/>
              </w:rPr>
              <w:t>Dyrektor</w:t>
            </w:r>
            <w:r w:rsidRPr="009C2381">
              <w:rPr>
                <w:rFonts w:eastAsia="Times New Roman" w:cs="Times New Roman"/>
                <w:b/>
                <w:lang w:val="fi-FI"/>
              </w:rPr>
              <w:t xml:space="preserve"> Mirosław Błażej</w:t>
            </w:r>
          </w:p>
          <w:p w14:paraId="459BB73E" w14:textId="77777777" w:rsidR="00DE2400" w:rsidRPr="00AB24E4" w:rsidRDefault="009C2381" w:rsidP="009C2381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9C2381">
              <w:rPr>
                <w:rFonts w:ascii="Fira Sans" w:eastAsia="Times New Roman" w:hAnsi="Fira Sans" w:cs="Arial"/>
                <w:color w:val="000000" w:themeColor="text1"/>
                <w:sz w:val="20"/>
                <w:szCs w:val="22"/>
                <w:lang w:val="fi-FI"/>
              </w:rPr>
              <w:t>Tel: 22 608 37 73</w:t>
            </w:r>
          </w:p>
        </w:tc>
        <w:tc>
          <w:tcPr>
            <w:tcW w:w="4927" w:type="dxa"/>
          </w:tcPr>
          <w:p w14:paraId="01D19088" w14:textId="77777777" w:rsidR="00DE2400" w:rsidRPr="004A1D19" w:rsidRDefault="00DE2400" w:rsidP="00DE240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5FA25E10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2FF6F8B" w14:textId="77777777" w:rsidR="00DE2400" w:rsidRPr="004A1D19" w:rsidRDefault="00DE2400" w:rsidP="00747B8C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C670F45" w14:textId="77777777" w:rsidR="00DE2400" w:rsidRDefault="00DE2400" w:rsidP="00747B8C">
            <w:pPr>
              <w:rPr>
                <w:sz w:val="18"/>
              </w:rPr>
            </w:pPr>
          </w:p>
        </w:tc>
      </w:tr>
      <w:tr w:rsidR="00DE2400" w14:paraId="421FE948" w14:textId="77777777" w:rsidTr="00B84C43">
        <w:trPr>
          <w:trHeight w:val="418"/>
        </w:trPr>
        <w:tc>
          <w:tcPr>
            <w:tcW w:w="4926" w:type="dxa"/>
            <w:vMerge w:val="restart"/>
          </w:tcPr>
          <w:p w14:paraId="2B06E6EF" w14:textId="77777777" w:rsidR="00DE2400" w:rsidRPr="00C91687" w:rsidRDefault="00DE2400" w:rsidP="00747B8C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42D621E3" w14:textId="77777777" w:rsidR="00DE2400" w:rsidRPr="00C91687" w:rsidRDefault="00DE2400" w:rsidP="00747B8C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</w:t>
            </w:r>
            <w:r w:rsidR="00E95036">
              <w:rPr>
                <w:sz w:val="20"/>
              </w:rPr>
              <w:t>8 04</w:t>
            </w:r>
            <w:r w:rsidRPr="00C91687">
              <w:rPr>
                <w:sz w:val="20"/>
              </w:rPr>
              <w:t xml:space="preserve"> </w:t>
            </w:r>
          </w:p>
          <w:p w14:paraId="2BDECABF" w14:textId="77777777" w:rsidR="00DE2400" w:rsidRPr="00F05FC7" w:rsidRDefault="00DE2400" w:rsidP="00747B8C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6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1D14CD97" w14:textId="77777777" w:rsidR="00DE2400" w:rsidRDefault="00DE2400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56315606" wp14:editId="3DBE083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18"/>
              </w:rPr>
              <w:t xml:space="preserve">      </w:t>
            </w:r>
          </w:p>
        </w:tc>
      </w:tr>
      <w:tr w:rsidR="00DE2400" w14:paraId="007681E5" w14:textId="77777777" w:rsidTr="00B84C43">
        <w:trPr>
          <w:trHeight w:val="418"/>
        </w:trPr>
        <w:tc>
          <w:tcPr>
            <w:tcW w:w="4926" w:type="dxa"/>
            <w:vMerge/>
          </w:tcPr>
          <w:p w14:paraId="5D453750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4367CED4" w14:textId="77777777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3E4DC5E6" wp14:editId="48ADF0E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@GUS_STAT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E2400" w14:paraId="36282AA0" w14:textId="77777777" w:rsidTr="00B84C43">
        <w:trPr>
          <w:trHeight w:val="476"/>
        </w:trPr>
        <w:tc>
          <w:tcPr>
            <w:tcW w:w="4926" w:type="dxa"/>
            <w:vMerge/>
          </w:tcPr>
          <w:p w14:paraId="5D61F0BA" w14:textId="77777777" w:rsidR="00DE2400" w:rsidRPr="00C91687" w:rsidRDefault="00DE2400" w:rsidP="00747B8C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15CF4CE" w14:textId="77777777" w:rsidR="00DE2400" w:rsidRDefault="00531873" w:rsidP="00747B8C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6304" behindDoc="0" locked="0" layoutInCell="1" allowOverlap="1" wp14:anchorId="5400B546" wp14:editId="3A371DF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400" w:rsidRPr="003D5F42">
              <w:rPr>
                <w:sz w:val="20"/>
              </w:rPr>
              <w:t>@GlownyUrzadStatystyczny</w:t>
            </w:r>
            <w:r w:rsidR="00DE240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31873" w14:paraId="50D3EB88" w14:textId="77777777" w:rsidTr="00B84C43">
        <w:trPr>
          <w:trHeight w:val="426"/>
        </w:trPr>
        <w:tc>
          <w:tcPr>
            <w:tcW w:w="4926" w:type="dxa"/>
          </w:tcPr>
          <w:p w14:paraId="3DF800E9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E47BABE" w14:textId="77777777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6F8556E8" wp14:editId="6963FBB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gus_stat</w:t>
            </w:r>
          </w:p>
        </w:tc>
      </w:tr>
      <w:tr w:rsidR="00531873" w14:paraId="18CC3E1E" w14:textId="77777777" w:rsidTr="00B84C43">
        <w:trPr>
          <w:trHeight w:val="504"/>
        </w:trPr>
        <w:tc>
          <w:tcPr>
            <w:tcW w:w="4926" w:type="dxa"/>
          </w:tcPr>
          <w:p w14:paraId="6CFF9872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48837AA" w14:textId="77777777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3BBD6C6F" wp14:editId="6CF5B1F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531873" w14:paraId="0E18600F" w14:textId="77777777" w:rsidTr="00B84C43">
        <w:trPr>
          <w:trHeight w:val="1546"/>
        </w:trPr>
        <w:tc>
          <w:tcPr>
            <w:tcW w:w="4926" w:type="dxa"/>
          </w:tcPr>
          <w:p w14:paraId="6E77B1B4" w14:textId="77777777" w:rsidR="00531873" w:rsidRPr="00C91687" w:rsidRDefault="00531873" w:rsidP="00531873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0E93810" w14:textId="77777777" w:rsidR="00531873" w:rsidRDefault="00531873" w:rsidP="00531873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28B85FAA" wp14:editId="443AD30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873" w14:paraId="059E5FE7" w14:textId="77777777" w:rsidTr="00B84C43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5829D34D" w14:textId="77777777" w:rsidR="00531873" w:rsidRPr="00876479" w:rsidRDefault="00531873" w:rsidP="00531873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579C0AA0" w14:textId="77777777" w:rsidR="00531873" w:rsidRPr="00D46B39" w:rsidRDefault="00531873" w:rsidP="00531873">
            <w:pPr>
              <w:rPr>
                <w:rStyle w:val="Hipercze"/>
                <w:sz w:val="18"/>
                <w:szCs w:val="18"/>
              </w:rPr>
            </w:pPr>
            <w:r>
              <w:rPr>
                <w:rFonts w:cs="Times New Roman"/>
              </w:rPr>
              <w:fldChar w:fldCharType="begin"/>
            </w:r>
            <w:r w:rsidR="00FF44B4">
              <w:rPr>
                <w:rFonts w:cs="Times New Roman"/>
              </w:rPr>
              <w:instrText>HYPERLINK "https://stat.gov.pl/obszary-tematyczne/podmioty-gospodarcze-wyniki-finansowe/przedsiebiorstwa-finansowe/" \o "Link do opracowania pt. Wyniki finansowe banków"</w:instrText>
            </w:r>
            <w:r>
              <w:rPr>
                <w:rFonts w:cs="Times New Roman"/>
              </w:rPr>
              <w:fldChar w:fldCharType="separate"/>
            </w:r>
            <w:r w:rsidR="00FF44B4" w:rsidRPr="00D46B39">
              <w:rPr>
                <w:rStyle w:val="Hipercze"/>
                <w:sz w:val="18"/>
                <w:szCs w:val="18"/>
              </w:rPr>
              <w:t>Informacje sygnalne. Wyniki finansowe banków</w:t>
            </w:r>
          </w:p>
          <w:p w14:paraId="18506F99" w14:textId="77777777" w:rsidR="00531873" w:rsidRPr="00CF18EE" w:rsidRDefault="00531873" w:rsidP="00531873">
            <w:pPr>
              <w:rPr>
                <w:rStyle w:val="Hipercze"/>
              </w:rPr>
            </w:pP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"https://stat.gov.pl/" \o "Linko do opracowania pt...." </w:instrText>
            </w:r>
            <w:r>
              <w:rPr>
                <w:rFonts w:cs="Times New Roman"/>
              </w:rPr>
              <w:fldChar w:fldCharType="separate"/>
            </w:r>
          </w:p>
          <w:p w14:paraId="60D60165" w14:textId="77777777" w:rsidR="00531873" w:rsidRPr="00CF18EE" w:rsidRDefault="00531873" w:rsidP="00531873">
            <w:pPr>
              <w:rPr>
                <w:rStyle w:val="Hipercze"/>
              </w:rPr>
            </w:pP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"https://stat.gov.pl/" \o "Linko do opracowania pt...." </w:instrText>
            </w:r>
            <w:r>
              <w:rPr>
                <w:rFonts w:cs="Times New Roman"/>
              </w:rPr>
              <w:fldChar w:fldCharType="separate"/>
            </w:r>
          </w:p>
          <w:p w14:paraId="0D005E1B" w14:textId="77777777" w:rsidR="00531873" w:rsidRPr="00694D63" w:rsidRDefault="00531873" w:rsidP="00531873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Fonts w:cs="Times New Roman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6226E030" w14:textId="77777777" w:rsidR="00531873" w:rsidRPr="00D46B39" w:rsidRDefault="00531873" w:rsidP="00531873">
            <w:pPr>
              <w:rPr>
                <w:rStyle w:val="Hipercze"/>
                <w:rFonts w:cstheme="minorBidi"/>
                <w:sz w:val="18"/>
                <w:szCs w:val="18"/>
              </w:rPr>
            </w:pPr>
            <w:r>
              <w:rPr>
                <w:rFonts w:cs="Times New Roman"/>
              </w:rPr>
              <w:fldChar w:fldCharType="begin"/>
            </w:r>
            <w:r w:rsidR="00CE63EB">
              <w:rPr>
                <w:rFonts w:cs="Times New Roman"/>
              </w:rPr>
              <w:instrText>HYPERLINK "https://bdm.stat.gov.pl/" \o "Link do danych w bazie danych makroekonomicznych"</w:instrText>
            </w:r>
            <w:r>
              <w:rPr>
                <w:rFonts w:cs="Times New Roman"/>
              </w:rPr>
              <w:fldChar w:fldCharType="separate"/>
            </w:r>
            <w:r w:rsidR="00FF44B4" w:rsidRPr="00D46B39">
              <w:rPr>
                <w:rStyle w:val="Hipercze"/>
                <w:sz w:val="18"/>
                <w:szCs w:val="18"/>
              </w:rPr>
              <w:t>Bank Danych Makroekonomicznych</w:t>
            </w:r>
          </w:p>
          <w:p w14:paraId="08737BFD" w14:textId="77777777" w:rsidR="00531873" w:rsidRPr="00B16871" w:rsidRDefault="00531873" w:rsidP="00531873">
            <w:pPr>
              <w:rPr>
                <w:rStyle w:val="Hipercze"/>
                <w:rFonts w:cstheme="minorBidi"/>
                <w:color w:val="auto"/>
                <w:u w:val="none"/>
              </w:rPr>
            </w:pPr>
            <w:r>
              <w:rPr>
                <w:rFonts w:cs="Times New Roman"/>
              </w:rPr>
              <w:fldChar w:fldCharType="end"/>
            </w:r>
            <w:hyperlink r:id="rId23" w:tooltip="Link do danych w bazie..." w:history="1">
              <w:r w:rsidRPr="00B16871">
                <w:rPr>
                  <w:rStyle w:val="Hipercze"/>
                </w:rPr>
                <w:t xml:space="preserve"> </w:t>
              </w:r>
              <w:r>
                <w:rPr>
                  <w:rStyle w:val="Hipercze"/>
                </w:rPr>
                <w:t xml:space="preserve"> </w:t>
              </w:r>
            </w:hyperlink>
          </w:p>
          <w:p w14:paraId="516857A0" w14:textId="77777777" w:rsidR="00531873" w:rsidRPr="00CF18EE" w:rsidRDefault="00531873" w:rsidP="00531873">
            <w:pPr>
              <w:rPr>
                <w:rStyle w:val="Hipercze"/>
                <w:rFonts w:cstheme="minorBidi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"https://stat.gov.pl/" \o "Link do danych w bazie..." </w:instrText>
            </w:r>
            <w:r>
              <w:rPr>
                <w:rFonts w:cs="Times New Roman"/>
              </w:rPr>
              <w:fldChar w:fldCharType="separate"/>
            </w:r>
            <w:r w:rsidRPr="00CF18EE">
              <w:rPr>
                <w:rStyle w:val="Hipercze"/>
              </w:rPr>
              <w:t xml:space="preserve">  </w:t>
            </w:r>
          </w:p>
          <w:p w14:paraId="2AF6703D" w14:textId="77777777" w:rsidR="00531873" w:rsidRPr="00694D63" w:rsidRDefault="00531873" w:rsidP="00531873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Fonts w:cs="Times New Roman"/>
              </w:rPr>
              <w:fldChar w:fldCharType="end"/>
            </w: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4B3CA934" w14:textId="77777777" w:rsidR="00531873" w:rsidRPr="00D46B39" w:rsidRDefault="00471A81" w:rsidP="00531873">
            <w:pPr>
              <w:rPr>
                <w:rStyle w:val="Hipercze"/>
                <w:rFonts w:cstheme="minorBidi"/>
                <w:color w:val="auto"/>
                <w:sz w:val="18"/>
                <w:szCs w:val="18"/>
                <w:u w:val="none"/>
              </w:rPr>
            </w:pPr>
            <w:hyperlink r:id="rId24" w:tooltip="Link do definicji pojęcia &quot;bank komercyjny&quot; w słowniku pojęć" w:history="1">
              <w:r w:rsidR="0098053C" w:rsidRPr="00D46B39">
                <w:rPr>
                  <w:rStyle w:val="Hipercze"/>
                  <w:sz w:val="18"/>
                  <w:szCs w:val="18"/>
                </w:rPr>
                <w:t>Bank komercyjny</w:t>
              </w:r>
            </w:hyperlink>
          </w:p>
          <w:p w14:paraId="71340FF2" w14:textId="77777777" w:rsidR="00531873" w:rsidRPr="00D46B39" w:rsidRDefault="00531873" w:rsidP="00531873">
            <w:pPr>
              <w:rPr>
                <w:rStyle w:val="Hipercze"/>
                <w:rFonts w:cstheme="minorBidi"/>
                <w:sz w:val="18"/>
                <w:szCs w:val="18"/>
              </w:rPr>
            </w:pPr>
            <w:r w:rsidRPr="00D46B39">
              <w:rPr>
                <w:rFonts w:cs="Times New Roman"/>
                <w:sz w:val="18"/>
                <w:szCs w:val="18"/>
              </w:rPr>
              <w:fldChar w:fldCharType="begin"/>
            </w:r>
            <w:r w:rsidR="00A53876" w:rsidRPr="00D46B39">
              <w:rPr>
                <w:rFonts w:cs="Times New Roman"/>
                <w:sz w:val="18"/>
                <w:szCs w:val="18"/>
              </w:rPr>
              <w:instrText>HYPERLINK "http://stat.gov.pl/metainformacje/slownik-pojec/pojecia-stosowane-w-statystyce-publicznej/1576,pojecie.html" \o "Link do definicji pojęcia \"bank spółdzielszczy\" w słowniku pojęć"</w:instrText>
            </w:r>
            <w:r w:rsidRPr="00D46B39">
              <w:rPr>
                <w:rFonts w:cs="Times New Roman"/>
                <w:sz w:val="18"/>
                <w:szCs w:val="18"/>
              </w:rPr>
              <w:fldChar w:fldCharType="separate"/>
            </w:r>
            <w:r w:rsidR="0098053C" w:rsidRPr="00D46B39">
              <w:rPr>
                <w:rStyle w:val="Hipercze"/>
                <w:sz w:val="18"/>
                <w:szCs w:val="18"/>
              </w:rPr>
              <w:t>Bank spółdzielczy</w:t>
            </w:r>
          </w:p>
          <w:p w14:paraId="7554B1DE" w14:textId="77777777" w:rsidR="00531873" w:rsidRPr="00D46B39" w:rsidRDefault="00531873" w:rsidP="00531873">
            <w:pPr>
              <w:rPr>
                <w:rStyle w:val="Hipercze"/>
                <w:rFonts w:cstheme="minorBidi"/>
                <w:sz w:val="18"/>
                <w:szCs w:val="18"/>
              </w:rPr>
            </w:pPr>
            <w:r w:rsidRPr="00D46B39">
              <w:rPr>
                <w:rFonts w:cs="Times New Roman"/>
                <w:sz w:val="18"/>
                <w:szCs w:val="18"/>
              </w:rPr>
              <w:fldChar w:fldCharType="end"/>
            </w:r>
            <w:r w:rsidRPr="00D46B39">
              <w:rPr>
                <w:rFonts w:cs="Times New Roman"/>
                <w:sz w:val="18"/>
                <w:szCs w:val="18"/>
              </w:rPr>
              <w:fldChar w:fldCharType="begin"/>
            </w:r>
            <w:r w:rsidR="00A53876" w:rsidRPr="00D46B39">
              <w:rPr>
                <w:rFonts w:cs="Times New Roman"/>
                <w:sz w:val="18"/>
                <w:szCs w:val="18"/>
              </w:rPr>
              <w:instrText>HYPERLINK "http://stat.gov.pl/metainformacje/slownik-pojec/pojecia-stosowane-w-statystyce-publicznej/162,pojecie.html" \o "Link do definicji pojęcia \"kredyt bankowy\" w słowniku pojęć"</w:instrText>
            </w:r>
            <w:r w:rsidRPr="00D46B39">
              <w:rPr>
                <w:rFonts w:cs="Times New Roman"/>
                <w:sz w:val="18"/>
                <w:szCs w:val="18"/>
              </w:rPr>
              <w:fldChar w:fldCharType="separate"/>
            </w:r>
            <w:r w:rsidR="0098053C" w:rsidRPr="00D46B39">
              <w:rPr>
                <w:rStyle w:val="Hipercze"/>
                <w:sz w:val="18"/>
                <w:szCs w:val="18"/>
              </w:rPr>
              <w:t>Kredyt bankowy</w:t>
            </w:r>
          </w:p>
          <w:p w14:paraId="4D3894B3" w14:textId="77777777" w:rsidR="00531873" w:rsidRPr="00D46B39" w:rsidRDefault="00531873" w:rsidP="00531873">
            <w:pPr>
              <w:rPr>
                <w:rStyle w:val="Hipercze"/>
                <w:sz w:val="18"/>
                <w:szCs w:val="18"/>
              </w:rPr>
            </w:pPr>
            <w:r w:rsidRPr="00D46B39">
              <w:rPr>
                <w:rFonts w:cs="Times New Roman"/>
                <w:sz w:val="18"/>
                <w:szCs w:val="18"/>
              </w:rPr>
              <w:fldChar w:fldCharType="end"/>
            </w:r>
            <w:hyperlink r:id="rId25" w:tooltip="Link do definicji pojęcia &quot;depozyt bankowy&quot; w słowniku pojęć" w:history="1">
              <w:r w:rsidR="0098053C" w:rsidRPr="00D46B39">
                <w:rPr>
                  <w:rStyle w:val="Hipercze"/>
                  <w:sz w:val="18"/>
                  <w:szCs w:val="18"/>
                </w:rPr>
                <w:t>Depozyt bankowy</w:t>
              </w:r>
            </w:hyperlink>
          </w:p>
          <w:p w14:paraId="0EAD6508" w14:textId="77777777" w:rsidR="00531873" w:rsidRPr="00AA2083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2D099AC1" w14:textId="77777777" w:rsidR="00531873" w:rsidRPr="00AA2083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  <w:p w14:paraId="6482B674" w14:textId="77777777" w:rsidR="00531873" w:rsidRPr="00AA2083" w:rsidRDefault="00531873" w:rsidP="00531873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14:paraId="20340DF6" w14:textId="1C43E302" w:rsidR="00D261A2" w:rsidRPr="00001C5B" w:rsidRDefault="00B2705B" w:rsidP="00B2705B">
      <w:pPr>
        <w:spacing w:before="1800" w:line="240" w:lineRule="auto"/>
        <w:ind w:right="-2098"/>
        <w:rPr>
          <w:sz w:val="18"/>
        </w:rPr>
      </w:pPr>
      <w:r w:rsidRPr="00B2705B">
        <w:rPr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sectPr w:rsidR="00D261A2" w:rsidRPr="00001C5B" w:rsidSect="003B18B6">
      <w:headerReference w:type="default" r:id="rId26"/>
      <w:foot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3967" w14:textId="77777777" w:rsidR="00471A81" w:rsidRDefault="00471A81" w:rsidP="000662E2">
      <w:pPr>
        <w:spacing w:after="0" w:line="240" w:lineRule="auto"/>
      </w:pPr>
      <w:r>
        <w:separator/>
      </w:r>
    </w:p>
  </w:endnote>
  <w:endnote w:type="continuationSeparator" w:id="0">
    <w:p w14:paraId="19B81CDF" w14:textId="77777777" w:rsidR="00471A81" w:rsidRDefault="00471A8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panose1 w:val="020B06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575277"/>
      <w:docPartObj>
        <w:docPartGallery w:val="Page Numbers (Bottom of Page)"/>
        <w:docPartUnique/>
      </w:docPartObj>
    </w:sdtPr>
    <w:sdtEndPr/>
    <w:sdtContent>
      <w:p w14:paraId="70355F8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9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836088"/>
      <w:docPartObj>
        <w:docPartGallery w:val="Page Numbers (Bottom of Page)"/>
        <w:docPartUnique/>
      </w:docPartObj>
    </w:sdtPr>
    <w:sdtEndPr/>
    <w:sdtContent>
      <w:p w14:paraId="57B87738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9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1F0134A0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9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1E09" w14:textId="77777777" w:rsidR="00471A81" w:rsidRDefault="00471A81" w:rsidP="000662E2">
      <w:pPr>
        <w:spacing w:after="0" w:line="240" w:lineRule="auto"/>
      </w:pPr>
      <w:r>
        <w:separator/>
      </w:r>
    </w:p>
  </w:footnote>
  <w:footnote w:type="continuationSeparator" w:id="0">
    <w:p w14:paraId="5B222A51" w14:textId="77777777" w:rsidR="00471A81" w:rsidRDefault="00471A81" w:rsidP="000662E2">
      <w:pPr>
        <w:spacing w:after="0" w:line="240" w:lineRule="auto"/>
      </w:pPr>
      <w:r>
        <w:continuationSeparator/>
      </w:r>
    </w:p>
  </w:footnote>
  <w:footnote w:id="1">
    <w:p w14:paraId="5FCB13E1" w14:textId="0DFF2787" w:rsidR="00F371BA" w:rsidRPr="007E7C1D" w:rsidRDefault="00F371BA">
      <w:pPr>
        <w:pStyle w:val="Tekstprzypisudolnego"/>
        <w:rPr>
          <w:sz w:val="19"/>
          <w:szCs w:val="19"/>
        </w:rPr>
      </w:pPr>
      <w:r w:rsidRPr="007E7C1D">
        <w:rPr>
          <w:rStyle w:val="Odwoanieprzypisudolnego"/>
          <w:sz w:val="19"/>
          <w:szCs w:val="19"/>
        </w:rPr>
        <w:footnoteRef/>
      </w:r>
      <w:r w:rsidRPr="007E7C1D">
        <w:rPr>
          <w:sz w:val="19"/>
          <w:szCs w:val="19"/>
        </w:rPr>
        <w:t xml:space="preserve"> Opracowano na podstawie danych </w:t>
      </w:r>
      <w:r w:rsidR="00D97E69" w:rsidRPr="007E7C1D">
        <w:rPr>
          <w:sz w:val="19"/>
          <w:szCs w:val="19"/>
        </w:rPr>
        <w:t>NBP</w:t>
      </w:r>
      <w:r w:rsidRPr="007E7C1D">
        <w:rPr>
          <w:sz w:val="19"/>
          <w:szCs w:val="19"/>
        </w:rPr>
        <w:t xml:space="preserve"> z sektora bankowego za 2021 r. przekazanych do GUS w dniu 15.02.202</w:t>
      </w:r>
      <w:r w:rsidR="007E7C1D" w:rsidRPr="007E7C1D">
        <w:rPr>
          <w:sz w:val="19"/>
          <w:szCs w:val="19"/>
        </w:rPr>
        <w:t>2</w:t>
      </w:r>
      <w:r w:rsidRPr="007E7C1D">
        <w:rPr>
          <w:sz w:val="19"/>
          <w:szCs w:val="19"/>
        </w:rPr>
        <w:t xml:space="preserve"> r. Porównawcze dane za 20</w:t>
      </w:r>
      <w:r w:rsidR="007E7C1D" w:rsidRPr="007E7C1D">
        <w:rPr>
          <w:sz w:val="19"/>
          <w:szCs w:val="19"/>
        </w:rPr>
        <w:t>20</w:t>
      </w:r>
      <w:r w:rsidRPr="007E7C1D">
        <w:rPr>
          <w:sz w:val="19"/>
          <w:szCs w:val="19"/>
        </w:rPr>
        <w:t xml:space="preserve"> r. podano na podstawie danych dostępnych na stronie internetowej NBP (stan w dniu </w:t>
      </w:r>
      <w:r w:rsidR="002C23CA" w:rsidRPr="002C23CA">
        <w:rPr>
          <w:sz w:val="19"/>
          <w:szCs w:val="19"/>
        </w:rPr>
        <w:t>1</w:t>
      </w:r>
      <w:r w:rsidR="00045F18">
        <w:rPr>
          <w:sz w:val="19"/>
          <w:szCs w:val="19"/>
        </w:rPr>
        <w:t>1</w:t>
      </w:r>
      <w:r w:rsidR="00002EA3">
        <w:rPr>
          <w:sz w:val="19"/>
          <w:szCs w:val="19"/>
        </w:rPr>
        <w:t>.03.</w:t>
      </w:r>
      <w:r w:rsidRPr="002C23CA">
        <w:rPr>
          <w:sz w:val="19"/>
          <w:szCs w:val="19"/>
        </w:rPr>
        <w:t>202</w:t>
      </w:r>
      <w:r w:rsidR="007E7C1D" w:rsidRPr="002C23CA">
        <w:rPr>
          <w:sz w:val="19"/>
          <w:szCs w:val="19"/>
        </w:rPr>
        <w:t>2</w:t>
      </w:r>
      <w:r w:rsidRPr="002C23CA">
        <w:rPr>
          <w:sz w:val="19"/>
          <w:szCs w:val="19"/>
        </w:rPr>
        <w:t xml:space="preserve"> r.).</w:t>
      </w:r>
      <w:r w:rsidRPr="007E7C1D">
        <w:rPr>
          <w:sz w:val="19"/>
          <w:szCs w:val="19"/>
        </w:rPr>
        <w:t xml:space="preserve"> Liczba banków została podana według danych UKNF. Niniejsza informacja nie uwzględnia danych banków w fazie organizacji, upadłości, likwidacji lub restrukturyzacji.</w:t>
      </w:r>
    </w:p>
  </w:footnote>
  <w:footnote w:id="2">
    <w:p w14:paraId="0CC680F9" w14:textId="77777777" w:rsidR="00006042" w:rsidRPr="0070085F" w:rsidRDefault="00006042">
      <w:pPr>
        <w:pStyle w:val="Tekstprzypisudolnego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70085F">
        <w:rPr>
          <w:sz w:val="19"/>
          <w:szCs w:val="19"/>
        </w:rPr>
        <w:t xml:space="preserve">Należności z portfela B </w:t>
      </w:r>
      <w:r w:rsidR="0070085F" w:rsidRPr="0070085F">
        <w:rPr>
          <w:sz w:val="19"/>
          <w:szCs w:val="19"/>
        </w:rPr>
        <w:t xml:space="preserve">bez instrumentów dłużnych </w:t>
      </w:r>
      <w:r w:rsidRPr="0070085F">
        <w:rPr>
          <w:sz w:val="19"/>
          <w:szCs w:val="19"/>
        </w:rPr>
        <w:t>(wartość bilansowa brutto).</w:t>
      </w:r>
    </w:p>
  </w:footnote>
  <w:footnote w:id="3">
    <w:p w14:paraId="364E88F4" w14:textId="77777777" w:rsidR="00AF015F" w:rsidRPr="007E7C1D" w:rsidRDefault="00AF015F" w:rsidP="00AF015F">
      <w:pPr>
        <w:pStyle w:val="Tekstprzypisudolnego"/>
        <w:rPr>
          <w:sz w:val="19"/>
          <w:szCs w:val="19"/>
        </w:rPr>
      </w:pPr>
      <w:r w:rsidRPr="007E7C1D">
        <w:rPr>
          <w:rStyle w:val="Odwoanieprzypisudolnego"/>
          <w:sz w:val="19"/>
          <w:szCs w:val="19"/>
        </w:rPr>
        <w:footnoteRef/>
      </w:r>
      <w:r w:rsidRPr="007E7C1D">
        <w:rPr>
          <w:sz w:val="19"/>
          <w:szCs w:val="19"/>
        </w:rPr>
        <w:t xml:space="preserve"> Na podstawie ustawy z dnia 10 czerwca 2016 r. o Bankowym Funduszu Gwarancyjnym, systemie gwarantowania depozytów oraz przymusowej restrukturyzacji (Dz. U. z 2020 r. poz. 842, z</w:t>
      </w:r>
      <w:r>
        <w:rPr>
          <w:sz w:val="19"/>
          <w:szCs w:val="19"/>
        </w:rPr>
        <w:t> </w:t>
      </w:r>
      <w:r w:rsidRPr="007E7C1D">
        <w:rPr>
          <w:sz w:val="19"/>
          <w:szCs w:val="19"/>
        </w:rPr>
        <w:t>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0038" w14:textId="77777777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DEB7CFD" wp14:editId="4E26FE81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C1FA9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  <w:p w14:paraId="1917432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8292" w14:textId="77777777" w:rsidR="00003437" w:rsidRDefault="00416EAF">
    <w:pPr>
      <w:pStyle w:val="Nagwek"/>
      <w:rPr>
        <w:noProof/>
        <w:lang w:eastAsia="pl-PL"/>
      </w:rPr>
    </w:pPr>
    <w:r>
      <w:rPr>
        <w:noProof/>
        <w:shd w:val="clear" w:color="auto" w:fill="FFFFFF"/>
        <w:lang w:eastAsia="pl-PL"/>
      </w:rPr>
      <w:drawing>
        <wp:anchor distT="0" distB="0" distL="114300" distR="114300" simplePos="0" relativeHeight="251671552" behindDoc="0" locked="0" layoutInCell="1" allowOverlap="1" wp14:anchorId="48FE79CC" wp14:editId="65936644">
          <wp:simplePos x="0" y="0"/>
          <wp:positionH relativeFrom="column">
            <wp:posOffset>13335</wp:posOffset>
          </wp:positionH>
          <wp:positionV relativeFrom="paragraph">
            <wp:posOffset>153670</wp:posOffset>
          </wp:positionV>
          <wp:extent cx="1125855" cy="431800"/>
          <wp:effectExtent l="0" t="0" r="0" b="6350"/>
          <wp:wrapSquare wrapText="bothSides"/>
          <wp:docPr id="4" name="Obraz 4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59741" b="19726"/>
                  <a:stretch/>
                </pic:blipFill>
                <pic:spPr bwMode="auto">
                  <a:xfrm>
                    <a:off x="0" y="0"/>
                    <a:ext cx="112585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732C4" wp14:editId="0EF370E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a sygnalna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C8629E" w14:textId="77777777" w:rsidR="00F37172" w:rsidRPr="003C6C8D" w:rsidRDefault="00F37172" w:rsidP="005D2F6B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732C4" id="Schemat blokowy: opóźnienie 6" o:spid="_x0000_s1032" alt="Napis &quot;Informacja sygnalna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yYAYAADg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2HEry4qXFRY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DC8629E" w14:textId="77777777" w:rsidR="00F37172" w:rsidRPr="003C6C8D" w:rsidRDefault="00F37172" w:rsidP="005D2F6B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3F36BF" wp14:editId="1023F54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0987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EB3333">
      <w:rPr>
        <w:noProof/>
        <w:lang w:eastAsia="pl-PL"/>
      </w:rPr>
      <w:t xml:space="preserve"> </w:t>
    </w:r>
    <w:r w:rsidR="00540C5C" w:rsidRPr="00540C5C">
      <w:rPr>
        <w:noProof/>
      </w:rPr>
      <w:t xml:space="preserve"> </w:t>
    </w:r>
  </w:p>
  <w:p w14:paraId="06E00A16" w14:textId="77777777" w:rsidR="00540C5C" w:rsidRDefault="00540C5C">
    <w:pPr>
      <w:pStyle w:val="Nagwek"/>
      <w:rPr>
        <w:noProof/>
        <w:lang w:eastAsia="pl-PL"/>
      </w:rPr>
    </w:pPr>
  </w:p>
  <w:p w14:paraId="5BEFA8F6" w14:textId="77777777" w:rsidR="00540C5C" w:rsidRDefault="00540C5C">
    <w:pPr>
      <w:pStyle w:val="Nagwek"/>
      <w:rPr>
        <w:noProof/>
        <w:lang w:eastAsia="pl-PL"/>
      </w:rPr>
    </w:pPr>
  </w:p>
  <w:p w14:paraId="1431BD56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E85B854" wp14:editId="7AFD3AF0">
              <wp:simplePos x="0" y="0"/>
              <wp:positionH relativeFrom="column">
                <wp:posOffset>5287976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 04.04.2022 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77EEB" w14:textId="77777777" w:rsidR="00F37172" w:rsidRPr="00A01B40" w:rsidRDefault="000A0AA7" w:rsidP="00F049AB">
                          <w:pPr>
                            <w:pStyle w:val="Datainformacjisygnalnej"/>
                          </w:pPr>
                          <w:r>
                            <w:t>04</w:t>
                          </w:r>
                          <w:r w:rsidR="00DE6B58">
                            <w:t>.</w:t>
                          </w:r>
                          <w:r>
                            <w:t>04</w:t>
                          </w:r>
                          <w:r w:rsidR="00DE6B58">
                            <w:t>.</w:t>
                          </w:r>
                          <w:r>
                            <w:t>2022</w:t>
                          </w:r>
                          <w:r w:rsidR="00DE6B58"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5B8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Data publikacji informacji sygnalnej 04.04.2022 r." style="position:absolute;margin-left:416.4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" filled="f" stroked="f">
              <v:textbox>
                <w:txbxContent>
                  <w:p w14:paraId="38977EEB" w14:textId="77777777" w:rsidR="00F37172" w:rsidRPr="00A01B40" w:rsidRDefault="000A0AA7" w:rsidP="00F049AB">
                    <w:pPr>
                      <w:pStyle w:val="Datainformacjisygnalnej"/>
                    </w:pPr>
                    <w:r>
                      <w:t>04</w:t>
                    </w:r>
                    <w:r w:rsidR="00DE6B58">
                      <w:t>.</w:t>
                    </w:r>
                    <w:r>
                      <w:t>04</w:t>
                    </w:r>
                    <w:r w:rsidR="00DE6B58">
                      <w:t>.</w:t>
                    </w:r>
                    <w:r>
                      <w:t>2022</w:t>
                    </w:r>
                    <w:r w:rsidR="00DE6B58"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B3BD" w14:textId="77777777" w:rsidR="00607CC5" w:rsidRDefault="00607CC5">
    <w:pPr>
      <w:pStyle w:val="Nagwek"/>
    </w:pPr>
  </w:p>
  <w:p w14:paraId="70DE5C68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4.2pt;height:126.6pt;visibility:visible;mso-wrap-style:square" o:bullet="t">
        <v:imagedata r:id="rId1" o:title=""/>
      </v:shape>
    </w:pict>
  </w:numPicBullet>
  <w:numPicBullet w:numPicBulletId="1">
    <w:pict>
      <v:shape id="_x0000_i1031" type="#_x0000_t75" style="width:123.6pt;height:126.6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1E1712"/>
    <w:multiLevelType w:val="hybridMultilevel"/>
    <w:tmpl w:val="701E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708"/>
    <w:rsid w:val="00001C5B"/>
    <w:rsid w:val="00002EA3"/>
    <w:rsid w:val="00003437"/>
    <w:rsid w:val="00006042"/>
    <w:rsid w:val="00006B18"/>
    <w:rsid w:val="0000709F"/>
    <w:rsid w:val="0000719C"/>
    <w:rsid w:val="00010153"/>
    <w:rsid w:val="000108B8"/>
    <w:rsid w:val="000152F5"/>
    <w:rsid w:val="00020C98"/>
    <w:rsid w:val="00026D8F"/>
    <w:rsid w:val="00044991"/>
    <w:rsid w:val="0004582E"/>
    <w:rsid w:val="00045F18"/>
    <w:rsid w:val="000470AA"/>
    <w:rsid w:val="00057CA1"/>
    <w:rsid w:val="000613C9"/>
    <w:rsid w:val="000647A9"/>
    <w:rsid w:val="00064FD5"/>
    <w:rsid w:val="000662E2"/>
    <w:rsid w:val="00066883"/>
    <w:rsid w:val="00067B89"/>
    <w:rsid w:val="00071B39"/>
    <w:rsid w:val="000724AB"/>
    <w:rsid w:val="00074DD8"/>
    <w:rsid w:val="000755B1"/>
    <w:rsid w:val="00075759"/>
    <w:rsid w:val="00077155"/>
    <w:rsid w:val="000806F7"/>
    <w:rsid w:val="00086F4B"/>
    <w:rsid w:val="00091176"/>
    <w:rsid w:val="00097840"/>
    <w:rsid w:val="000A0AA7"/>
    <w:rsid w:val="000A2162"/>
    <w:rsid w:val="000B0727"/>
    <w:rsid w:val="000B214D"/>
    <w:rsid w:val="000B2A75"/>
    <w:rsid w:val="000C135D"/>
    <w:rsid w:val="000D1D43"/>
    <w:rsid w:val="000D225C"/>
    <w:rsid w:val="000D2A5C"/>
    <w:rsid w:val="000D39F0"/>
    <w:rsid w:val="000E0918"/>
    <w:rsid w:val="000E64F5"/>
    <w:rsid w:val="000E79A9"/>
    <w:rsid w:val="001011C3"/>
    <w:rsid w:val="00106DA3"/>
    <w:rsid w:val="00110214"/>
    <w:rsid w:val="00110D87"/>
    <w:rsid w:val="00112399"/>
    <w:rsid w:val="00114A45"/>
    <w:rsid w:val="00114DB9"/>
    <w:rsid w:val="00116087"/>
    <w:rsid w:val="00117711"/>
    <w:rsid w:val="0012406F"/>
    <w:rsid w:val="0012797F"/>
    <w:rsid w:val="00130296"/>
    <w:rsid w:val="0013176A"/>
    <w:rsid w:val="00134145"/>
    <w:rsid w:val="00134BDB"/>
    <w:rsid w:val="00136736"/>
    <w:rsid w:val="00136740"/>
    <w:rsid w:val="00136D67"/>
    <w:rsid w:val="001423B6"/>
    <w:rsid w:val="00142C0F"/>
    <w:rsid w:val="001435D9"/>
    <w:rsid w:val="001448A7"/>
    <w:rsid w:val="00146621"/>
    <w:rsid w:val="001467E3"/>
    <w:rsid w:val="001617E3"/>
    <w:rsid w:val="00162325"/>
    <w:rsid w:val="00172E7F"/>
    <w:rsid w:val="00177C9F"/>
    <w:rsid w:val="001906B5"/>
    <w:rsid w:val="001951DA"/>
    <w:rsid w:val="001A2419"/>
    <w:rsid w:val="001B053D"/>
    <w:rsid w:val="001C2810"/>
    <w:rsid w:val="001C3269"/>
    <w:rsid w:val="001C468F"/>
    <w:rsid w:val="001C7581"/>
    <w:rsid w:val="001D19B6"/>
    <w:rsid w:val="001D1DB4"/>
    <w:rsid w:val="001D23F1"/>
    <w:rsid w:val="001D25F9"/>
    <w:rsid w:val="001D61ED"/>
    <w:rsid w:val="001E133A"/>
    <w:rsid w:val="001E3DBF"/>
    <w:rsid w:val="001E4C9F"/>
    <w:rsid w:val="001E5B2D"/>
    <w:rsid w:val="001E7F57"/>
    <w:rsid w:val="001F4A00"/>
    <w:rsid w:val="001F5000"/>
    <w:rsid w:val="001F53BE"/>
    <w:rsid w:val="0020156C"/>
    <w:rsid w:val="00214666"/>
    <w:rsid w:val="00216634"/>
    <w:rsid w:val="00220357"/>
    <w:rsid w:val="002352E4"/>
    <w:rsid w:val="00242D31"/>
    <w:rsid w:val="00246A95"/>
    <w:rsid w:val="0025464E"/>
    <w:rsid w:val="0025481E"/>
    <w:rsid w:val="002574F9"/>
    <w:rsid w:val="00261D2C"/>
    <w:rsid w:val="00262B61"/>
    <w:rsid w:val="00262CC6"/>
    <w:rsid w:val="00263E08"/>
    <w:rsid w:val="002701F9"/>
    <w:rsid w:val="00276811"/>
    <w:rsid w:val="00282699"/>
    <w:rsid w:val="0028679D"/>
    <w:rsid w:val="00286A70"/>
    <w:rsid w:val="00286D3B"/>
    <w:rsid w:val="002926DF"/>
    <w:rsid w:val="00292D48"/>
    <w:rsid w:val="002939E2"/>
    <w:rsid w:val="00296697"/>
    <w:rsid w:val="00297998"/>
    <w:rsid w:val="002B018B"/>
    <w:rsid w:val="002B0472"/>
    <w:rsid w:val="002B1209"/>
    <w:rsid w:val="002B6B12"/>
    <w:rsid w:val="002C21F0"/>
    <w:rsid w:val="002C23CA"/>
    <w:rsid w:val="002C7535"/>
    <w:rsid w:val="002D01DF"/>
    <w:rsid w:val="002D4E93"/>
    <w:rsid w:val="002E3EB3"/>
    <w:rsid w:val="002E6140"/>
    <w:rsid w:val="002E6985"/>
    <w:rsid w:val="002E71B6"/>
    <w:rsid w:val="002F0544"/>
    <w:rsid w:val="002F1E62"/>
    <w:rsid w:val="002F35F6"/>
    <w:rsid w:val="002F579E"/>
    <w:rsid w:val="002F77C8"/>
    <w:rsid w:val="0030494F"/>
    <w:rsid w:val="00304F22"/>
    <w:rsid w:val="0030535D"/>
    <w:rsid w:val="00306273"/>
    <w:rsid w:val="00306C7C"/>
    <w:rsid w:val="00314F86"/>
    <w:rsid w:val="00317F4D"/>
    <w:rsid w:val="00322EDD"/>
    <w:rsid w:val="003308A7"/>
    <w:rsid w:val="003309FA"/>
    <w:rsid w:val="00332320"/>
    <w:rsid w:val="003324D7"/>
    <w:rsid w:val="00340010"/>
    <w:rsid w:val="003423D9"/>
    <w:rsid w:val="00346557"/>
    <w:rsid w:val="00347D72"/>
    <w:rsid w:val="00351AE6"/>
    <w:rsid w:val="0035228B"/>
    <w:rsid w:val="00353F45"/>
    <w:rsid w:val="00357611"/>
    <w:rsid w:val="0036432A"/>
    <w:rsid w:val="00364AF9"/>
    <w:rsid w:val="0036710E"/>
    <w:rsid w:val="00367237"/>
    <w:rsid w:val="0037077F"/>
    <w:rsid w:val="00372411"/>
    <w:rsid w:val="00373882"/>
    <w:rsid w:val="003843DB"/>
    <w:rsid w:val="00393761"/>
    <w:rsid w:val="00394E26"/>
    <w:rsid w:val="00396691"/>
    <w:rsid w:val="003976A0"/>
    <w:rsid w:val="00397D18"/>
    <w:rsid w:val="003A1B36"/>
    <w:rsid w:val="003A6C8B"/>
    <w:rsid w:val="003B1123"/>
    <w:rsid w:val="003B1454"/>
    <w:rsid w:val="003B18B6"/>
    <w:rsid w:val="003B5E45"/>
    <w:rsid w:val="003B6993"/>
    <w:rsid w:val="003B763A"/>
    <w:rsid w:val="003C161B"/>
    <w:rsid w:val="003C1FC4"/>
    <w:rsid w:val="003C59E0"/>
    <w:rsid w:val="003C6C8D"/>
    <w:rsid w:val="003D0934"/>
    <w:rsid w:val="003D1D51"/>
    <w:rsid w:val="003D2656"/>
    <w:rsid w:val="003D4F95"/>
    <w:rsid w:val="003D5F42"/>
    <w:rsid w:val="003D60A9"/>
    <w:rsid w:val="003D6F50"/>
    <w:rsid w:val="003E2ABF"/>
    <w:rsid w:val="003E4367"/>
    <w:rsid w:val="003F1E7E"/>
    <w:rsid w:val="003F4C97"/>
    <w:rsid w:val="003F666D"/>
    <w:rsid w:val="003F7FE6"/>
    <w:rsid w:val="00400193"/>
    <w:rsid w:val="0041483C"/>
    <w:rsid w:val="00416EAF"/>
    <w:rsid w:val="004212E7"/>
    <w:rsid w:val="004219F8"/>
    <w:rsid w:val="004232A9"/>
    <w:rsid w:val="00423C88"/>
    <w:rsid w:val="0042446D"/>
    <w:rsid w:val="00427872"/>
    <w:rsid w:val="00427BF8"/>
    <w:rsid w:val="00431C02"/>
    <w:rsid w:val="00434071"/>
    <w:rsid w:val="00437395"/>
    <w:rsid w:val="00442828"/>
    <w:rsid w:val="00443A98"/>
    <w:rsid w:val="00445047"/>
    <w:rsid w:val="00446749"/>
    <w:rsid w:val="004469CB"/>
    <w:rsid w:val="0045258E"/>
    <w:rsid w:val="00453EB7"/>
    <w:rsid w:val="004548F6"/>
    <w:rsid w:val="004621BA"/>
    <w:rsid w:val="004632C5"/>
    <w:rsid w:val="00463728"/>
    <w:rsid w:val="00463E39"/>
    <w:rsid w:val="004657FC"/>
    <w:rsid w:val="00466595"/>
    <w:rsid w:val="00471A81"/>
    <w:rsid w:val="004726D0"/>
    <w:rsid w:val="004733F6"/>
    <w:rsid w:val="00474E3B"/>
    <w:rsid w:val="00474E69"/>
    <w:rsid w:val="00483E9F"/>
    <w:rsid w:val="00485A2C"/>
    <w:rsid w:val="00490E70"/>
    <w:rsid w:val="00491172"/>
    <w:rsid w:val="0049621B"/>
    <w:rsid w:val="004A02C6"/>
    <w:rsid w:val="004A1D19"/>
    <w:rsid w:val="004A3EC3"/>
    <w:rsid w:val="004A701B"/>
    <w:rsid w:val="004B18E9"/>
    <w:rsid w:val="004B494E"/>
    <w:rsid w:val="004C1895"/>
    <w:rsid w:val="004C399F"/>
    <w:rsid w:val="004C6D40"/>
    <w:rsid w:val="004E0251"/>
    <w:rsid w:val="004E6AA8"/>
    <w:rsid w:val="004F0C3C"/>
    <w:rsid w:val="004F2280"/>
    <w:rsid w:val="004F23BB"/>
    <w:rsid w:val="004F2BD3"/>
    <w:rsid w:val="004F63FC"/>
    <w:rsid w:val="00503DBD"/>
    <w:rsid w:val="00505A92"/>
    <w:rsid w:val="005120B2"/>
    <w:rsid w:val="005203F1"/>
    <w:rsid w:val="00521BC3"/>
    <w:rsid w:val="00526137"/>
    <w:rsid w:val="00531873"/>
    <w:rsid w:val="00533632"/>
    <w:rsid w:val="00534013"/>
    <w:rsid w:val="00537782"/>
    <w:rsid w:val="00540C5C"/>
    <w:rsid w:val="00541E6E"/>
    <w:rsid w:val="0054251F"/>
    <w:rsid w:val="00545A27"/>
    <w:rsid w:val="005520D8"/>
    <w:rsid w:val="00552623"/>
    <w:rsid w:val="00555CFB"/>
    <w:rsid w:val="00556ADB"/>
    <w:rsid w:val="00556CF1"/>
    <w:rsid w:val="005762A7"/>
    <w:rsid w:val="00587CEE"/>
    <w:rsid w:val="005916D7"/>
    <w:rsid w:val="0059427F"/>
    <w:rsid w:val="005944C6"/>
    <w:rsid w:val="005A0838"/>
    <w:rsid w:val="005A47B4"/>
    <w:rsid w:val="005A698C"/>
    <w:rsid w:val="005B1742"/>
    <w:rsid w:val="005B621A"/>
    <w:rsid w:val="005C0CAC"/>
    <w:rsid w:val="005C336E"/>
    <w:rsid w:val="005C6D41"/>
    <w:rsid w:val="005C7ED9"/>
    <w:rsid w:val="005D062E"/>
    <w:rsid w:val="005D2F6B"/>
    <w:rsid w:val="005E0799"/>
    <w:rsid w:val="005E10F9"/>
    <w:rsid w:val="005E1200"/>
    <w:rsid w:val="005E6D17"/>
    <w:rsid w:val="005F09AB"/>
    <w:rsid w:val="005F3F36"/>
    <w:rsid w:val="005F45EE"/>
    <w:rsid w:val="005F5A80"/>
    <w:rsid w:val="006018BC"/>
    <w:rsid w:val="006044FF"/>
    <w:rsid w:val="006079E2"/>
    <w:rsid w:val="00607CC5"/>
    <w:rsid w:val="0061179B"/>
    <w:rsid w:val="006125F9"/>
    <w:rsid w:val="00633014"/>
    <w:rsid w:val="0063437B"/>
    <w:rsid w:val="00635C8A"/>
    <w:rsid w:val="0064017E"/>
    <w:rsid w:val="006422E1"/>
    <w:rsid w:val="0065068B"/>
    <w:rsid w:val="00654BB6"/>
    <w:rsid w:val="0066474C"/>
    <w:rsid w:val="006673CA"/>
    <w:rsid w:val="0067262B"/>
    <w:rsid w:val="00673C26"/>
    <w:rsid w:val="00674DE5"/>
    <w:rsid w:val="00675772"/>
    <w:rsid w:val="00677ACA"/>
    <w:rsid w:val="006812AF"/>
    <w:rsid w:val="00682DC3"/>
    <w:rsid w:val="0068327D"/>
    <w:rsid w:val="00687B05"/>
    <w:rsid w:val="00691534"/>
    <w:rsid w:val="0069175F"/>
    <w:rsid w:val="00693880"/>
    <w:rsid w:val="00694AF0"/>
    <w:rsid w:val="006A4686"/>
    <w:rsid w:val="006B0E9E"/>
    <w:rsid w:val="006B419D"/>
    <w:rsid w:val="006B486D"/>
    <w:rsid w:val="006B5AE4"/>
    <w:rsid w:val="006B5BF3"/>
    <w:rsid w:val="006C0C6E"/>
    <w:rsid w:val="006D1507"/>
    <w:rsid w:val="006D1F46"/>
    <w:rsid w:val="006D4054"/>
    <w:rsid w:val="006D788E"/>
    <w:rsid w:val="006E02EC"/>
    <w:rsid w:val="006E3C4F"/>
    <w:rsid w:val="006E5546"/>
    <w:rsid w:val="006E6F41"/>
    <w:rsid w:val="006E73E6"/>
    <w:rsid w:val="006E77C3"/>
    <w:rsid w:val="006E7988"/>
    <w:rsid w:val="0070085F"/>
    <w:rsid w:val="0070362E"/>
    <w:rsid w:val="00707F00"/>
    <w:rsid w:val="0071660C"/>
    <w:rsid w:val="00720717"/>
    <w:rsid w:val="007211B1"/>
    <w:rsid w:val="007277DA"/>
    <w:rsid w:val="00730487"/>
    <w:rsid w:val="00731D27"/>
    <w:rsid w:val="00734B9E"/>
    <w:rsid w:val="007433AB"/>
    <w:rsid w:val="0074614C"/>
    <w:rsid w:val="00746187"/>
    <w:rsid w:val="0075099D"/>
    <w:rsid w:val="0075528C"/>
    <w:rsid w:val="00760C47"/>
    <w:rsid w:val="0076254F"/>
    <w:rsid w:val="00770860"/>
    <w:rsid w:val="00772F6C"/>
    <w:rsid w:val="00776CD4"/>
    <w:rsid w:val="007801F5"/>
    <w:rsid w:val="00783CA4"/>
    <w:rsid w:val="007842FB"/>
    <w:rsid w:val="00786124"/>
    <w:rsid w:val="00792DCD"/>
    <w:rsid w:val="0079514B"/>
    <w:rsid w:val="00795252"/>
    <w:rsid w:val="007961E0"/>
    <w:rsid w:val="007A176E"/>
    <w:rsid w:val="007A2DC1"/>
    <w:rsid w:val="007A320D"/>
    <w:rsid w:val="007A55A2"/>
    <w:rsid w:val="007B6D1D"/>
    <w:rsid w:val="007C7D79"/>
    <w:rsid w:val="007D031A"/>
    <w:rsid w:val="007D0721"/>
    <w:rsid w:val="007D0869"/>
    <w:rsid w:val="007D14C4"/>
    <w:rsid w:val="007D3319"/>
    <w:rsid w:val="007D335D"/>
    <w:rsid w:val="007D605C"/>
    <w:rsid w:val="007E05B9"/>
    <w:rsid w:val="007E32BC"/>
    <w:rsid w:val="007E3314"/>
    <w:rsid w:val="007E3514"/>
    <w:rsid w:val="007E3A87"/>
    <w:rsid w:val="007E4B03"/>
    <w:rsid w:val="007E7C1D"/>
    <w:rsid w:val="007F0C87"/>
    <w:rsid w:val="007F324B"/>
    <w:rsid w:val="007F7A30"/>
    <w:rsid w:val="008020C8"/>
    <w:rsid w:val="00802FEC"/>
    <w:rsid w:val="0080553C"/>
    <w:rsid w:val="00805B46"/>
    <w:rsid w:val="00805DB4"/>
    <w:rsid w:val="00823593"/>
    <w:rsid w:val="00825DC2"/>
    <w:rsid w:val="00830FDF"/>
    <w:rsid w:val="00834AD3"/>
    <w:rsid w:val="0083763D"/>
    <w:rsid w:val="00843795"/>
    <w:rsid w:val="00847F0F"/>
    <w:rsid w:val="00852448"/>
    <w:rsid w:val="00861403"/>
    <w:rsid w:val="008724F9"/>
    <w:rsid w:val="00876522"/>
    <w:rsid w:val="00877D18"/>
    <w:rsid w:val="00877F6C"/>
    <w:rsid w:val="0088258A"/>
    <w:rsid w:val="00886332"/>
    <w:rsid w:val="00891485"/>
    <w:rsid w:val="008925F0"/>
    <w:rsid w:val="0089448A"/>
    <w:rsid w:val="00897877"/>
    <w:rsid w:val="008A26D9"/>
    <w:rsid w:val="008A4A59"/>
    <w:rsid w:val="008A6FF5"/>
    <w:rsid w:val="008A7B5B"/>
    <w:rsid w:val="008B12D2"/>
    <w:rsid w:val="008C0C29"/>
    <w:rsid w:val="008D02DA"/>
    <w:rsid w:val="008D76BC"/>
    <w:rsid w:val="008E4EDF"/>
    <w:rsid w:val="008E7DBA"/>
    <w:rsid w:val="008F0829"/>
    <w:rsid w:val="008F3638"/>
    <w:rsid w:val="008F3DEE"/>
    <w:rsid w:val="008F4441"/>
    <w:rsid w:val="008F6B20"/>
    <w:rsid w:val="008F6F31"/>
    <w:rsid w:val="008F74DF"/>
    <w:rsid w:val="00902274"/>
    <w:rsid w:val="009127BA"/>
    <w:rsid w:val="00920AAE"/>
    <w:rsid w:val="009227A6"/>
    <w:rsid w:val="00933EC1"/>
    <w:rsid w:val="00937440"/>
    <w:rsid w:val="009411C7"/>
    <w:rsid w:val="009446AD"/>
    <w:rsid w:val="009458FA"/>
    <w:rsid w:val="00946F9E"/>
    <w:rsid w:val="009530DB"/>
    <w:rsid w:val="00953676"/>
    <w:rsid w:val="00956F30"/>
    <w:rsid w:val="00961DF1"/>
    <w:rsid w:val="00964540"/>
    <w:rsid w:val="00966C9A"/>
    <w:rsid w:val="009705EE"/>
    <w:rsid w:val="009760B3"/>
    <w:rsid w:val="00977927"/>
    <w:rsid w:val="0098053C"/>
    <w:rsid w:val="0098135C"/>
    <w:rsid w:val="0098156A"/>
    <w:rsid w:val="00982D7A"/>
    <w:rsid w:val="00987929"/>
    <w:rsid w:val="00991BAC"/>
    <w:rsid w:val="0099757D"/>
    <w:rsid w:val="009A0316"/>
    <w:rsid w:val="009A6EA0"/>
    <w:rsid w:val="009C1335"/>
    <w:rsid w:val="009C1AB2"/>
    <w:rsid w:val="009C21EF"/>
    <w:rsid w:val="009C2381"/>
    <w:rsid w:val="009C7251"/>
    <w:rsid w:val="009D5639"/>
    <w:rsid w:val="009E07CB"/>
    <w:rsid w:val="009E2E91"/>
    <w:rsid w:val="009E5B7A"/>
    <w:rsid w:val="009F2968"/>
    <w:rsid w:val="00A01B40"/>
    <w:rsid w:val="00A030C7"/>
    <w:rsid w:val="00A03E99"/>
    <w:rsid w:val="00A05C60"/>
    <w:rsid w:val="00A139F5"/>
    <w:rsid w:val="00A2032E"/>
    <w:rsid w:val="00A32E16"/>
    <w:rsid w:val="00A365F4"/>
    <w:rsid w:val="00A41C45"/>
    <w:rsid w:val="00A43BDC"/>
    <w:rsid w:val="00A46FB6"/>
    <w:rsid w:val="00A47D80"/>
    <w:rsid w:val="00A53132"/>
    <w:rsid w:val="00A53876"/>
    <w:rsid w:val="00A5389A"/>
    <w:rsid w:val="00A563F2"/>
    <w:rsid w:val="00A566E8"/>
    <w:rsid w:val="00A56B64"/>
    <w:rsid w:val="00A66347"/>
    <w:rsid w:val="00A665FB"/>
    <w:rsid w:val="00A72168"/>
    <w:rsid w:val="00A810F9"/>
    <w:rsid w:val="00A81AD8"/>
    <w:rsid w:val="00A82D31"/>
    <w:rsid w:val="00A85E7E"/>
    <w:rsid w:val="00A86ECC"/>
    <w:rsid w:val="00A86FCC"/>
    <w:rsid w:val="00A90A6D"/>
    <w:rsid w:val="00A95518"/>
    <w:rsid w:val="00A96E30"/>
    <w:rsid w:val="00A971E5"/>
    <w:rsid w:val="00AA2083"/>
    <w:rsid w:val="00AA710D"/>
    <w:rsid w:val="00AB64F3"/>
    <w:rsid w:val="00AB6D25"/>
    <w:rsid w:val="00AD0E56"/>
    <w:rsid w:val="00AD5496"/>
    <w:rsid w:val="00AE229B"/>
    <w:rsid w:val="00AE2D4B"/>
    <w:rsid w:val="00AE327C"/>
    <w:rsid w:val="00AE4B2D"/>
    <w:rsid w:val="00AE4F99"/>
    <w:rsid w:val="00AF015F"/>
    <w:rsid w:val="00AF10BC"/>
    <w:rsid w:val="00AF4DE2"/>
    <w:rsid w:val="00AF5E56"/>
    <w:rsid w:val="00B01770"/>
    <w:rsid w:val="00B038AC"/>
    <w:rsid w:val="00B03FDE"/>
    <w:rsid w:val="00B11001"/>
    <w:rsid w:val="00B11B69"/>
    <w:rsid w:val="00B12113"/>
    <w:rsid w:val="00B14952"/>
    <w:rsid w:val="00B16871"/>
    <w:rsid w:val="00B25B45"/>
    <w:rsid w:val="00B269C4"/>
    <w:rsid w:val="00B2705B"/>
    <w:rsid w:val="00B270DD"/>
    <w:rsid w:val="00B31E5A"/>
    <w:rsid w:val="00B33418"/>
    <w:rsid w:val="00B47359"/>
    <w:rsid w:val="00B556F3"/>
    <w:rsid w:val="00B653AB"/>
    <w:rsid w:val="00B65F9E"/>
    <w:rsid w:val="00B66B19"/>
    <w:rsid w:val="00B67084"/>
    <w:rsid w:val="00B7386E"/>
    <w:rsid w:val="00B819AD"/>
    <w:rsid w:val="00B84C43"/>
    <w:rsid w:val="00B914E9"/>
    <w:rsid w:val="00B92A6D"/>
    <w:rsid w:val="00B943C9"/>
    <w:rsid w:val="00B956EE"/>
    <w:rsid w:val="00BA2BA1"/>
    <w:rsid w:val="00BA3447"/>
    <w:rsid w:val="00BA3562"/>
    <w:rsid w:val="00BB1164"/>
    <w:rsid w:val="00BB4F09"/>
    <w:rsid w:val="00BB54B5"/>
    <w:rsid w:val="00BB752B"/>
    <w:rsid w:val="00BC4F5B"/>
    <w:rsid w:val="00BC6937"/>
    <w:rsid w:val="00BD009E"/>
    <w:rsid w:val="00BD4E33"/>
    <w:rsid w:val="00BE4C21"/>
    <w:rsid w:val="00BF2CB1"/>
    <w:rsid w:val="00BF3653"/>
    <w:rsid w:val="00C030DE"/>
    <w:rsid w:val="00C051A8"/>
    <w:rsid w:val="00C102D8"/>
    <w:rsid w:val="00C113FE"/>
    <w:rsid w:val="00C159F2"/>
    <w:rsid w:val="00C17653"/>
    <w:rsid w:val="00C22105"/>
    <w:rsid w:val="00C244B6"/>
    <w:rsid w:val="00C25A4A"/>
    <w:rsid w:val="00C27BF1"/>
    <w:rsid w:val="00C3103E"/>
    <w:rsid w:val="00C3266A"/>
    <w:rsid w:val="00C3702F"/>
    <w:rsid w:val="00C4500A"/>
    <w:rsid w:val="00C4540E"/>
    <w:rsid w:val="00C62238"/>
    <w:rsid w:val="00C64A37"/>
    <w:rsid w:val="00C70A82"/>
    <w:rsid w:val="00C7158E"/>
    <w:rsid w:val="00C7250B"/>
    <w:rsid w:val="00C7346B"/>
    <w:rsid w:val="00C761F3"/>
    <w:rsid w:val="00C77C0E"/>
    <w:rsid w:val="00C91687"/>
    <w:rsid w:val="00C924A8"/>
    <w:rsid w:val="00C945FE"/>
    <w:rsid w:val="00C96FAA"/>
    <w:rsid w:val="00C97A04"/>
    <w:rsid w:val="00CA107B"/>
    <w:rsid w:val="00CA1E1D"/>
    <w:rsid w:val="00CA484D"/>
    <w:rsid w:val="00CA4FB6"/>
    <w:rsid w:val="00CA5286"/>
    <w:rsid w:val="00CB2F90"/>
    <w:rsid w:val="00CB6AD4"/>
    <w:rsid w:val="00CC739E"/>
    <w:rsid w:val="00CD1EBB"/>
    <w:rsid w:val="00CD28CF"/>
    <w:rsid w:val="00CD58B7"/>
    <w:rsid w:val="00CD76E9"/>
    <w:rsid w:val="00CD7967"/>
    <w:rsid w:val="00CE25F5"/>
    <w:rsid w:val="00CE32DF"/>
    <w:rsid w:val="00CE5B04"/>
    <w:rsid w:val="00CE63EB"/>
    <w:rsid w:val="00CE7F90"/>
    <w:rsid w:val="00CF18EE"/>
    <w:rsid w:val="00CF30BD"/>
    <w:rsid w:val="00CF4099"/>
    <w:rsid w:val="00CF6C84"/>
    <w:rsid w:val="00D00796"/>
    <w:rsid w:val="00D25208"/>
    <w:rsid w:val="00D261A2"/>
    <w:rsid w:val="00D4139B"/>
    <w:rsid w:val="00D46B39"/>
    <w:rsid w:val="00D505F2"/>
    <w:rsid w:val="00D5101D"/>
    <w:rsid w:val="00D515AD"/>
    <w:rsid w:val="00D616D2"/>
    <w:rsid w:val="00D63B5F"/>
    <w:rsid w:val="00D70EF7"/>
    <w:rsid w:val="00D77728"/>
    <w:rsid w:val="00D777EF"/>
    <w:rsid w:val="00D8397C"/>
    <w:rsid w:val="00D94EED"/>
    <w:rsid w:val="00D96026"/>
    <w:rsid w:val="00D972F6"/>
    <w:rsid w:val="00D97E69"/>
    <w:rsid w:val="00DA0DF3"/>
    <w:rsid w:val="00DA331D"/>
    <w:rsid w:val="00DA7C1C"/>
    <w:rsid w:val="00DB147A"/>
    <w:rsid w:val="00DB1B7A"/>
    <w:rsid w:val="00DB1FB4"/>
    <w:rsid w:val="00DB706E"/>
    <w:rsid w:val="00DC6708"/>
    <w:rsid w:val="00DC6A61"/>
    <w:rsid w:val="00DD011A"/>
    <w:rsid w:val="00DD6950"/>
    <w:rsid w:val="00DE2400"/>
    <w:rsid w:val="00DE3A9F"/>
    <w:rsid w:val="00DE58F1"/>
    <w:rsid w:val="00DE6B58"/>
    <w:rsid w:val="00DF170C"/>
    <w:rsid w:val="00DF4DE5"/>
    <w:rsid w:val="00DF5E32"/>
    <w:rsid w:val="00E01436"/>
    <w:rsid w:val="00E03E79"/>
    <w:rsid w:val="00E045BD"/>
    <w:rsid w:val="00E04D6C"/>
    <w:rsid w:val="00E17B77"/>
    <w:rsid w:val="00E22F11"/>
    <w:rsid w:val="00E231AB"/>
    <w:rsid w:val="00E23337"/>
    <w:rsid w:val="00E248DA"/>
    <w:rsid w:val="00E259EA"/>
    <w:rsid w:val="00E25D33"/>
    <w:rsid w:val="00E31202"/>
    <w:rsid w:val="00E32061"/>
    <w:rsid w:val="00E33F48"/>
    <w:rsid w:val="00E41FB7"/>
    <w:rsid w:val="00E42FF9"/>
    <w:rsid w:val="00E44790"/>
    <w:rsid w:val="00E4714C"/>
    <w:rsid w:val="00E5178D"/>
    <w:rsid w:val="00E51AEB"/>
    <w:rsid w:val="00E522A7"/>
    <w:rsid w:val="00E5347F"/>
    <w:rsid w:val="00E5349E"/>
    <w:rsid w:val="00E54452"/>
    <w:rsid w:val="00E60241"/>
    <w:rsid w:val="00E61F94"/>
    <w:rsid w:val="00E63B0C"/>
    <w:rsid w:val="00E664C5"/>
    <w:rsid w:val="00E671A2"/>
    <w:rsid w:val="00E76D26"/>
    <w:rsid w:val="00E76EE5"/>
    <w:rsid w:val="00E800FD"/>
    <w:rsid w:val="00E8126B"/>
    <w:rsid w:val="00E81A9C"/>
    <w:rsid w:val="00E85789"/>
    <w:rsid w:val="00E87190"/>
    <w:rsid w:val="00E95036"/>
    <w:rsid w:val="00E95B8E"/>
    <w:rsid w:val="00EA702C"/>
    <w:rsid w:val="00EA7040"/>
    <w:rsid w:val="00EB0B89"/>
    <w:rsid w:val="00EB0C25"/>
    <w:rsid w:val="00EB1390"/>
    <w:rsid w:val="00EB2C71"/>
    <w:rsid w:val="00EB3333"/>
    <w:rsid w:val="00EB4021"/>
    <w:rsid w:val="00EB4340"/>
    <w:rsid w:val="00EB556D"/>
    <w:rsid w:val="00EB5A7D"/>
    <w:rsid w:val="00EC5211"/>
    <w:rsid w:val="00ED55C0"/>
    <w:rsid w:val="00ED682B"/>
    <w:rsid w:val="00EE41D5"/>
    <w:rsid w:val="00EF6A4C"/>
    <w:rsid w:val="00F0166F"/>
    <w:rsid w:val="00F037A4"/>
    <w:rsid w:val="00F049AB"/>
    <w:rsid w:val="00F0782A"/>
    <w:rsid w:val="00F142DB"/>
    <w:rsid w:val="00F20C2B"/>
    <w:rsid w:val="00F27C8F"/>
    <w:rsid w:val="00F32749"/>
    <w:rsid w:val="00F331A5"/>
    <w:rsid w:val="00F37172"/>
    <w:rsid w:val="00F371BA"/>
    <w:rsid w:val="00F4477E"/>
    <w:rsid w:val="00F46269"/>
    <w:rsid w:val="00F57627"/>
    <w:rsid w:val="00F60BA8"/>
    <w:rsid w:val="00F61292"/>
    <w:rsid w:val="00F67D8F"/>
    <w:rsid w:val="00F7450E"/>
    <w:rsid w:val="00F75261"/>
    <w:rsid w:val="00F802BE"/>
    <w:rsid w:val="00F80E93"/>
    <w:rsid w:val="00F844B4"/>
    <w:rsid w:val="00F86024"/>
    <w:rsid w:val="00F8611A"/>
    <w:rsid w:val="00F86C62"/>
    <w:rsid w:val="00FA5128"/>
    <w:rsid w:val="00FA6C3A"/>
    <w:rsid w:val="00FB42D4"/>
    <w:rsid w:val="00FB58E1"/>
    <w:rsid w:val="00FB5906"/>
    <w:rsid w:val="00FB762F"/>
    <w:rsid w:val="00FC2AED"/>
    <w:rsid w:val="00FC2B75"/>
    <w:rsid w:val="00FC315B"/>
    <w:rsid w:val="00FC5B9E"/>
    <w:rsid w:val="00FD08AE"/>
    <w:rsid w:val="00FD5EA7"/>
    <w:rsid w:val="00FD658C"/>
    <w:rsid w:val="00FE1293"/>
    <w:rsid w:val="00FE36CF"/>
    <w:rsid w:val="00FE6887"/>
    <w:rsid w:val="00FF0246"/>
    <w:rsid w:val="00FF1300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337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F44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03E99"/>
    <w:pPr>
      <w:spacing w:after="0" w:line="240" w:lineRule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://stat.gov.pl/metainformacje/slownik-pojec/pojecia-stosowane-w-statystyce-publicznej/1580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://stat.gov.pl/metainformacje/slownik-pojec/pojecia-stosowane-w-statystyce-publicznej/1575,pojeci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wyniki_finansowe_banków_w_2021_r.docx.docx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STAT\BABIKW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0952-850E-4955-8EFC-0CDE04EF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232794C-1AC7-4EA2-953A-1258A09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Walaszczak Karolina</dc:creator>
  <cp:keywords/>
  <dc:description/>
  <cp:lastModifiedBy>Walaszczak Karolina</cp:lastModifiedBy>
  <cp:revision>4</cp:revision>
  <cp:lastPrinted>2022-04-04T05:56:00Z</cp:lastPrinted>
  <dcterms:created xsi:type="dcterms:W3CDTF">2022-03-25T11:26:00Z</dcterms:created>
  <dcterms:modified xsi:type="dcterms:W3CDTF">2022-04-04T05:56:00Z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0x0101004030B03268D4484C9025733D6F7DFE56</vt:lpwstr>
  </property>
  <property fmtid="{D5CDD505-2E9C-101B-9397-08002B2CF9AE}" pid="3" name="ZnakPisma">
    <vt:lpwstr/>
  </property>
  <property fmtid="{D5CDD505-2E9C-101B-9397-08002B2CF9AE}" pid="4" name="UNPPisma">
    <vt:lpwstr>2022-28926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Morawska Beata</vt:lpwstr>
  </property>
  <property fmtid="{D5CDD505-2E9C-101B-9397-08002B2CF9AE}" pid="8" name="AutorInicjaly">
    <vt:lpwstr>BM</vt:lpwstr>
  </property>
  <property fmtid="{D5CDD505-2E9C-101B-9397-08002B2CF9AE}" pid="9" name="AutorNrTelefonu">
    <vt:lpwstr>37-15</vt:lpwstr>
  </property>
  <property fmtid="{D5CDD505-2E9C-101B-9397-08002B2CF9AE}" pid="10" name="Stanowisko">
    <vt:lpwstr>główny specjalista</vt:lpwstr>
  </property>
  <property fmtid="{D5CDD505-2E9C-101B-9397-08002B2CF9AE}" pid="11" name="OpisPisma">
    <vt:lpwstr>Wzory informacji sygnalnych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2022-02-04</vt:lpwstr>
  </property>
  <property fmtid="{D5CDD505-2E9C-101B-9397-08002B2CF9AE}" pid="15" name="Wydzial">
    <vt:lpwstr>Wydział Opracowań Graficznych</vt:lpwstr>
  </property>
  <property fmtid="{D5CDD505-2E9C-101B-9397-08002B2CF9AE}" pid="16" name="KodWydzialu">
    <vt:lpwstr>OS-03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