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F" w:rsidRDefault="000A33CB">
      <w:pPr>
        <w:spacing w:after="0" w:line="240" w:lineRule="auto"/>
        <w:ind w:right="-13"/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</w:pPr>
      <w:r>
        <w:rPr>
          <w:rFonts w:ascii="Fira Sans Extra Condensed SemiB" w:eastAsia="Fira Sans Light" w:hAnsi="Fira Sans Extra Condensed SemiB" w:cs="Times New Roman"/>
          <w:noProof/>
          <w:color w:val="000000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5326997</wp:posOffset>
                </wp:positionH>
                <wp:positionV relativeFrom="paragraph">
                  <wp:posOffset>17780</wp:posOffset>
                </wp:positionV>
                <wp:extent cx="1432560" cy="336550"/>
                <wp:effectExtent l="0" t="0" r="0" b="63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5E22A0">
                            <w:pPr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0</w:t>
                            </w:r>
                            <w:r w:rsidR="00617FB9">
                              <w:rPr>
                                <w:rFonts w:ascii="Fira Sans SemiBold" w:hAnsi="Fira Sans SemiBold"/>
                                <w:color w:val="001D77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617FB9">
                              <w:rPr>
                                <w:rFonts w:ascii="Fira Sans SemiBold" w:hAnsi="Fira Sans SemiBold"/>
                                <w:color w:val="001D77"/>
                              </w:rPr>
                              <w:t>04</w:t>
                            </w:r>
                            <w:r w:rsidR="006E04F3">
                              <w:rPr>
                                <w:rFonts w:ascii="Fira Sans SemiBold" w:hAnsi="Fira Sans SemiBold"/>
                                <w:color w:val="001D77"/>
                              </w:rPr>
                              <w:t>.201</w:t>
                            </w:r>
                            <w:r w:rsidR="00617FB9">
                              <w:rPr>
                                <w:rFonts w:ascii="Fira Sans SemiBold" w:hAnsi="Fira Sans SemiBold"/>
                                <w:color w:val="001D77"/>
                              </w:rPr>
                              <w:t>9 </w:t>
                            </w:r>
                            <w:r w:rsidR="006E04F3">
                              <w:rPr>
                                <w:rFonts w:ascii="Fira Sans SemiBold" w:hAnsi="Fira Sans SemiBold"/>
                                <w:color w:val="001D77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9.45pt;margin-top:1.4pt;width:112.8pt;height:26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" filled="f" stroked="f">
                <v:textbox>
                  <w:txbxContent>
                    <w:p w:rsidR="006E04F3" w:rsidRDefault="005E22A0">
                      <w:pPr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0</w:t>
                      </w:r>
                      <w:r w:rsidR="00617FB9">
                        <w:rPr>
                          <w:rFonts w:ascii="Fira Sans SemiBold" w:hAnsi="Fira Sans SemiBold"/>
                          <w:color w:val="001D77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617FB9">
                        <w:rPr>
                          <w:rFonts w:ascii="Fira Sans SemiBold" w:hAnsi="Fira Sans SemiBold"/>
                          <w:color w:val="001D77"/>
                        </w:rPr>
                        <w:t>04</w:t>
                      </w:r>
                      <w:r w:rsidR="006E04F3">
                        <w:rPr>
                          <w:rFonts w:ascii="Fira Sans SemiBold" w:hAnsi="Fira Sans SemiBold"/>
                          <w:color w:val="001D77"/>
                        </w:rPr>
                        <w:t>.201</w:t>
                      </w:r>
                      <w:r w:rsidR="00617FB9">
                        <w:rPr>
                          <w:rFonts w:ascii="Fira Sans SemiBold" w:hAnsi="Fira Sans SemiBold"/>
                          <w:color w:val="001D77"/>
                        </w:rPr>
                        <w:t>9 </w:t>
                      </w:r>
                      <w:r w:rsidR="006E04F3">
                        <w:rPr>
                          <w:rFonts w:ascii="Fira Sans SemiBold" w:hAnsi="Fira Sans SemiBold"/>
                          <w:color w:val="001D77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 xml:space="preserve">Wyniki finansowe banków </w:t>
      </w:r>
      <w:r w:rsidR="00F44CE2"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>w 2018 r</w:t>
      </w:r>
      <w:r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>.</w:t>
      </w:r>
    </w:p>
    <w:p w:rsidR="00A55AAF" w:rsidRDefault="000A33CB">
      <w:pPr>
        <w:spacing w:after="0" w:line="240" w:lineRule="auto"/>
        <w:rPr>
          <w:rFonts w:ascii="Fira Sans Extra Condensed SemiB" w:eastAsia="Fira Sans Light" w:hAnsi="Fira Sans Extra Condensed SemiB" w:cs="Times New Roman"/>
          <w:color w:val="000000"/>
          <w:sz w:val="32"/>
          <w:szCs w:val="26"/>
        </w:rPr>
      </w:pPr>
      <w:r>
        <w:rPr>
          <w:rFonts w:eastAsia="Fira Sans Light" w:cs="Times New Roman"/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250825</wp:posOffset>
                </wp:positionV>
                <wp:extent cx="1565910" cy="1042670"/>
                <wp:effectExtent l="0" t="0" r="0" b="5080"/>
                <wp:wrapTight wrapText="bothSides">
                  <wp:wrapPolygon edited="0">
                    <wp:start x="788" y="0"/>
                    <wp:lineTo x="788" y="21311"/>
                    <wp:lineTo x="20759" y="21311"/>
                    <wp:lineTo x="20759" y="0"/>
                    <wp:lineTo x="788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Pr="00F623CC" w:rsidRDefault="00477C6C" w:rsidP="007C7560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6E04F3">
                              <w:t>ynik</w:t>
                            </w:r>
                            <w:r>
                              <w:t xml:space="preserve"> </w:t>
                            </w:r>
                            <w:r w:rsidR="006E04F3">
                              <w:t>finansow</w:t>
                            </w:r>
                            <w:r>
                              <w:t>y n</w:t>
                            </w:r>
                            <w:r w:rsidR="006E04F3">
                              <w:t>etto</w:t>
                            </w:r>
                            <w:r>
                              <w:t xml:space="preserve"> osiągnął</w:t>
                            </w:r>
                            <w:r w:rsidR="000D4330">
                              <w:t xml:space="preserve"> </w:t>
                            </w:r>
                            <w:r w:rsidR="00F44CE2">
                              <w:t xml:space="preserve">w </w:t>
                            </w:r>
                            <w:r w:rsidR="00F44CE2" w:rsidRPr="000D4330">
                              <w:t>2018 r</w:t>
                            </w:r>
                            <w:r w:rsidR="000D4330" w:rsidRPr="000D4330">
                              <w:t>.</w:t>
                            </w:r>
                            <w:r w:rsidR="000D4330">
                              <w:t xml:space="preserve"> </w:t>
                            </w:r>
                            <w:r w:rsidRPr="00F623CC">
                              <w:t>wartość</w:t>
                            </w:r>
                            <w:r w:rsidR="006E04F3" w:rsidRPr="00F623CC">
                              <w:t xml:space="preserve"> </w:t>
                            </w:r>
                            <w:r w:rsidR="000D4330" w:rsidRPr="00F623CC">
                              <w:t>o 1,</w:t>
                            </w:r>
                            <w:r w:rsidR="00617FB9">
                              <w:t>0</w:t>
                            </w:r>
                            <w:r w:rsidR="000D4330" w:rsidRPr="00F623CC">
                              <w:t xml:space="preserve"> mld zł wyższą </w:t>
                            </w:r>
                            <w:r w:rsidR="00F44CE2">
                              <w:t xml:space="preserve">niż w </w:t>
                            </w:r>
                            <w:r w:rsidR="000D4330" w:rsidRPr="00F623CC">
                              <w:t>2017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25pt;margin-top:19.75pt;width:123.3pt;height:82.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" filled="f" stroked="f">
                <v:textbox>
                  <w:txbxContent>
                    <w:p w:rsidR="006E04F3" w:rsidRPr="00F623CC" w:rsidRDefault="00477C6C" w:rsidP="007C7560">
                      <w:pPr>
                        <w:pStyle w:val="tekstzboku"/>
                      </w:pPr>
                      <w:r>
                        <w:t>W</w:t>
                      </w:r>
                      <w:r w:rsidR="006E04F3">
                        <w:t>ynik</w:t>
                      </w:r>
                      <w:r>
                        <w:t xml:space="preserve"> </w:t>
                      </w:r>
                      <w:r w:rsidR="006E04F3">
                        <w:t>finansow</w:t>
                      </w:r>
                      <w:r>
                        <w:t>y n</w:t>
                      </w:r>
                      <w:r w:rsidR="006E04F3">
                        <w:t>etto</w:t>
                      </w:r>
                      <w:r>
                        <w:t xml:space="preserve"> osiągnął</w:t>
                      </w:r>
                      <w:r w:rsidR="000D4330">
                        <w:t xml:space="preserve"> </w:t>
                      </w:r>
                      <w:r w:rsidR="00F44CE2">
                        <w:t xml:space="preserve">w </w:t>
                      </w:r>
                      <w:r w:rsidR="00F44CE2" w:rsidRPr="000D4330">
                        <w:t>2018 r</w:t>
                      </w:r>
                      <w:r w:rsidR="000D4330" w:rsidRPr="000D4330">
                        <w:t>.</w:t>
                      </w:r>
                      <w:r w:rsidR="000D4330">
                        <w:t xml:space="preserve"> </w:t>
                      </w:r>
                      <w:r w:rsidRPr="00F623CC">
                        <w:t>wartość</w:t>
                      </w:r>
                      <w:r w:rsidR="006E04F3" w:rsidRPr="00F623CC">
                        <w:t xml:space="preserve"> </w:t>
                      </w:r>
                      <w:r w:rsidR="000D4330" w:rsidRPr="00F623CC">
                        <w:t>o 1,</w:t>
                      </w:r>
                      <w:r w:rsidR="00617FB9">
                        <w:t>0</w:t>
                      </w:r>
                      <w:r w:rsidR="000D4330" w:rsidRPr="00F623CC">
                        <w:t xml:space="preserve"> mld zł wyższą </w:t>
                      </w:r>
                      <w:r w:rsidR="00F44CE2">
                        <w:t xml:space="preserve">niż w </w:t>
                      </w:r>
                      <w:r w:rsidR="000D4330" w:rsidRPr="00F623CC">
                        <w:t>2017 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AAF" w:rsidRDefault="000A33CB" w:rsidP="007C7560">
      <w:pPr>
        <w:rPr>
          <w:rFonts w:eastAsia="Fira Sans Light" w:cs="Times New Roman"/>
          <w:b/>
          <w:noProof/>
          <w:szCs w:val="19"/>
          <w:lang w:eastAsia="pl-PL"/>
        </w:rPr>
      </w:pPr>
      <w:r>
        <w:rPr>
          <w:rFonts w:eastAsia="Fira Sans Light" w:cs="Times New Roman"/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686560" cy="1075055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07538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BD1D28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7185" cy="337185"/>
                                  <wp:effectExtent l="0" t="0" r="5715" b="571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04F3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6E04F3" w:rsidRPr="000A71C3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1</w:t>
                            </w:r>
                            <w:r w:rsidR="00F623CC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0</w:t>
                            </w:r>
                            <w:r w:rsidR="00617FB9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7</w:t>
                            </w:r>
                            <w:r w:rsidR="006E04F3" w:rsidRPr="000A71C3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,</w:t>
                            </w:r>
                            <w:r w:rsidR="00617FB9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6</w:t>
                            </w:r>
                          </w:p>
                          <w:p w:rsidR="006E04F3" w:rsidRDefault="006E04F3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Dynamika wyniku finansowego netto r/r.</w:t>
                            </w:r>
                            <w:r>
                              <w:rPr>
                                <w:strike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132.8pt;height:84.6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" fillcolor="#001d77" stroked="f">
                <v:textbox>
                  <w:txbxContent>
                    <w:p w:rsidR="006E04F3" w:rsidRDefault="00BD1D28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7185" cy="337185"/>
                            <wp:effectExtent l="0" t="0" r="5715" b="571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" cy="33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04F3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6E04F3" w:rsidRPr="000A71C3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1</w:t>
                      </w:r>
                      <w:r w:rsidR="00F623CC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0</w:t>
                      </w:r>
                      <w:r w:rsidR="00617FB9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7</w:t>
                      </w:r>
                      <w:r w:rsidR="006E04F3" w:rsidRPr="000A71C3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,</w:t>
                      </w:r>
                      <w:r w:rsidR="00617FB9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6</w:t>
                      </w:r>
                    </w:p>
                    <w:p w:rsidR="006E04F3" w:rsidRDefault="006E04F3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Dynamika wyniku finansowego netto r/r.</w:t>
                      </w:r>
                      <w:r>
                        <w:rPr>
                          <w:strike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Fira Sans Light" w:cs="Times New Roman"/>
          <w:b/>
          <w:noProof/>
          <w:szCs w:val="19"/>
          <w:lang w:eastAsia="pl-PL"/>
        </w:rPr>
        <w:t>Wynik finansowy netto sektora bankowego</w:t>
      </w:r>
      <w:r>
        <w:rPr>
          <w:rFonts w:eastAsia="Fira Sans Light" w:cs="Times New Roman"/>
          <w:b/>
          <w:noProof/>
          <w:szCs w:val="19"/>
          <w:vertAlign w:val="superscript"/>
          <w:lang w:eastAsia="pl-PL"/>
        </w:rPr>
        <w:t>1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 xml:space="preserve">w </w:t>
      </w:r>
      <w:r>
        <w:rPr>
          <w:rFonts w:eastAsia="Fira Sans Light" w:cs="Times New Roman"/>
          <w:b/>
          <w:noProof/>
          <w:spacing w:val="-2"/>
          <w:szCs w:val="19"/>
          <w:lang w:eastAsia="pl-PL"/>
        </w:rPr>
        <w:t>2018 r.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wyniósł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 xml:space="preserve"> 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1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4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>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7</w:t>
      </w:r>
      <w:r>
        <w:rPr>
          <w:rFonts w:eastAsia="Fira Sans Light" w:cs="Times New Roman"/>
          <w:b/>
          <w:noProof/>
          <w:sz w:val="18"/>
          <w:szCs w:val="19"/>
          <w:lang w:eastAsia="pl-PL"/>
        </w:rPr>
        <w:t> mld zł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, tj. o 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7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>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6% więcej niż w </w:t>
      </w:r>
      <w:r w:rsidR="00A425D1">
        <w:rPr>
          <w:rFonts w:eastAsia="Fira Sans Light" w:cs="Times New Roman"/>
          <w:b/>
          <w:noProof/>
          <w:szCs w:val="19"/>
          <w:lang w:eastAsia="pl-PL"/>
        </w:rPr>
        <w:t>2017 </w:t>
      </w:r>
      <w:r>
        <w:rPr>
          <w:rFonts w:eastAsia="Fira Sans Light" w:cs="Times New Roman"/>
          <w:b/>
          <w:noProof/>
          <w:szCs w:val="19"/>
          <w:lang w:eastAsia="pl-PL"/>
        </w:rPr>
        <w:t>r. Suma bilansowa</w:t>
      </w:r>
      <w:r w:rsidR="00A425D1">
        <w:rPr>
          <w:rFonts w:eastAsia="Fira Sans Light" w:cs="Times New Roman"/>
          <w:b/>
          <w:noProof/>
          <w:szCs w:val="19"/>
          <w:lang w:eastAsia="pl-PL"/>
        </w:rPr>
        <w:t xml:space="preserve"> banków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wzrosła o</w:t>
      </w:r>
      <w:r w:rsidR="003C2471">
        <w:rPr>
          <w:rFonts w:eastAsia="Fira Sans Light" w:cs="Times New Roman"/>
          <w:b/>
          <w:noProof/>
          <w:szCs w:val="19"/>
          <w:lang w:eastAsia="pl-PL"/>
        </w:rPr>
        <w:t> 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6,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6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% i wyniosła 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>1 8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89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>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1</w:t>
      </w:r>
      <w:r w:rsidR="008E74CF">
        <w:rPr>
          <w:rFonts w:eastAsia="Fira Sans Light" w:cs="Times New Roman"/>
          <w:b/>
          <w:noProof/>
          <w:szCs w:val="19"/>
          <w:lang w:eastAsia="pl-PL"/>
        </w:rPr>
        <w:t> </w:t>
      </w:r>
      <w:r>
        <w:rPr>
          <w:rFonts w:eastAsia="Fira Sans Light" w:cs="Times New Roman"/>
          <w:b/>
          <w:noProof/>
          <w:sz w:val="18"/>
          <w:szCs w:val="19"/>
          <w:lang w:eastAsia="pl-PL"/>
        </w:rPr>
        <w:t>mld zł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. Wartość kredytów </w:t>
      </w:r>
      <w:r w:rsidR="003C2471">
        <w:rPr>
          <w:rFonts w:eastAsia="Fira Sans Light" w:cs="Times New Roman"/>
          <w:b/>
          <w:noProof/>
          <w:szCs w:val="19"/>
          <w:lang w:eastAsia="pl-PL"/>
        </w:rPr>
        <w:t xml:space="preserve">udzielonych </w:t>
      </w:r>
      <w:r>
        <w:rPr>
          <w:rFonts w:eastAsia="Fira Sans Light" w:cs="Times New Roman"/>
          <w:b/>
          <w:noProof/>
          <w:szCs w:val="19"/>
          <w:lang w:eastAsia="pl-PL"/>
        </w:rPr>
        <w:t>sektor</w:t>
      </w:r>
      <w:r w:rsidR="003C2471">
        <w:rPr>
          <w:rFonts w:eastAsia="Fira Sans Light" w:cs="Times New Roman"/>
          <w:b/>
          <w:noProof/>
          <w:szCs w:val="19"/>
          <w:lang w:eastAsia="pl-PL"/>
        </w:rPr>
        <w:t>owi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niefinansowe</w:t>
      </w:r>
      <w:r w:rsidR="003C2471">
        <w:rPr>
          <w:rFonts w:eastAsia="Fira Sans Light" w:cs="Times New Roman"/>
          <w:b/>
          <w:noProof/>
          <w:szCs w:val="19"/>
          <w:lang w:eastAsia="pl-PL"/>
        </w:rPr>
        <w:t>mu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zwiększyła się o</w:t>
      </w:r>
      <w:r w:rsidR="003C2471">
        <w:rPr>
          <w:rFonts w:eastAsia="Fira Sans Light" w:cs="Times New Roman"/>
          <w:b/>
          <w:noProof/>
          <w:szCs w:val="19"/>
          <w:lang w:eastAsia="pl-PL"/>
        </w:rPr>
        <w:t> 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5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6</w:t>
      </w:r>
      <w:r>
        <w:rPr>
          <w:rFonts w:eastAsia="Fira Sans Light" w:cs="Times New Roman"/>
          <w:b/>
          <w:noProof/>
          <w:szCs w:val="19"/>
          <w:lang w:eastAsia="pl-PL"/>
        </w:rPr>
        <w:t>%</w:t>
      </w:r>
      <w:bookmarkStart w:id="0" w:name="_GoBack"/>
      <w:bookmarkEnd w:id="0"/>
      <w:r>
        <w:rPr>
          <w:rFonts w:eastAsia="Fira Sans Light" w:cs="Times New Roman"/>
          <w:b/>
          <w:noProof/>
          <w:szCs w:val="19"/>
          <w:lang w:eastAsia="pl-PL"/>
        </w:rPr>
        <w:t xml:space="preserve"> do </w:t>
      </w:r>
      <w:r w:rsidR="00A425D1">
        <w:rPr>
          <w:rFonts w:eastAsia="Fira Sans Light" w:cs="Times New Roman"/>
          <w:b/>
          <w:noProof/>
          <w:szCs w:val="19"/>
          <w:lang w:eastAsia="pl-PL"/>
        </w:rPr>
        <w:t xml:space="preserve">kwoty 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1 0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9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8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,8 </w:t>
      </w:r>
      <w:r>
        <w:rPr>
          <w:rFonts w:eastAsia="Fira Sans Light" w:cs="Times New Roman"/>
          <w:b/>
          <w:noProof/>
          <w:sz w:val="18"/>
          <w:szCs w:val="19"/>
          <w:lang w:eastAsia="pl-PL"/>
        </w:rPr>
        <w:t>mld zł</w:t>
      </w:r>
      <w:r>
        <w:rPr>
          <w:rFonts w:eastAsia="Fira Sans Light" w:cs="Times New Roman"/>
          <w:b/>
          <w:noProof/>
          <w:szCs w:val="19"/>
          <w:lang w:eastAsia="pl-PL"/>
        </w:rPr>
        <w:t>, a depozytów o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 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7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,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5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% do 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1 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1</w:t>
      </w:r>
      <w:r w:rsidR="00EF4F05">
        <w:rPr>
          <w:rFonts w:eastAsia="Fira Sans Light" w:cs="Times New Roman"/>
          <w:b/>
          <w:noProof/>
          <w:szCs w:val="19"/>
          <w:lang w:eastAsia="pl-PL"/>
        </w:rPr>
        <w:t>5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1</w:t>
      </w:r>
      <w:r w:rsidR="00B0640C">
        <w:rPr>
          <w:rFonts w:eastAsia="Fira Sans Light" w:cs="Times New Roman"/>
          <w:b/>
          <w:noProof/>
          <w:szCs w:val="19"/>
          <w:lang w:eastAsia="pl-PL"/>
        </w:rPr>
        <w:t>,</w:t>
      </w:r>
      <w:r w:rsidR="00C83073">
        <w:rPr>
          <w:rFonts w:eastAsia="Fira Sans Light" w:cs="Times New Roman"/>
          <w:b/>
          <w:noProof/>
          <w:szCs w:val="19"/>
          <w:lang w:eastAsia="pl-PL"/>
        </w:rPr>
        <w:t>2</w:t>
      </w:r>
      <w:r>
        <w:rPr>
          <w:rFonts w:eastAsia="Fira Sans Light" w:cs="Times New Roman"/>
          <w:b/>
          <w:noProof/>
          <w:sz w:val="18"/>
          <w:szCs w:val="19"/>
          <w:lang w:eastAsia="pl-PL"/>
        </w:rPr>
        <w:t> mld zł</w:t>
      </w:r>
      <w:r>
        <w:rPr>
          <w:rFonts w:eastAsia="Fira Sans Light" w:cs="Times New Roman"/>
          <w:b/>
          <w:noProof/>
          <w:szCs w:val="19"/>
          <w:lang w:eastAsia="pl-PL"/>
        </w:rPr>
        <w:t>.</w:t>
      </w:r>
    </w:p>
    <w:p w:rsidR="00A55AAF" w:rsidRDefault="00A55AAF">
      <w:pPr>
        <w:keepNext/>
        <w:spacing w:before="0" w:line="240" w:lineRule="auto"/>
        <w:outlineLvl w:val="0"/>
        <w:rPr>
          <w:rFonts w:eastAsia="Times New Roman" w:cs="Times New Roman"/>
          <w:b/>
          <w:bCs/>
          <w:color w:val="212492"/>
          <w:spacing w:val="-2"/>
          <w:szCs w:val="19"/>
          <w:lang w:eastAsia="pl-PL"/>
        </w:rPr>
      </w:pPr>
    </w:p>
    <w:p w:rsidR="00500273" w:rsidRDefault="00500273">
      <w:pPr>
        <w:spacing w:before="0" w:after="0"/>
        <w:rPr>
          <w:rFonts w:eastAsia="Fira Sans Light" w:cs="Times New Roman"/>
          <w:b/>
          <w:spacing w:val="-2"/>
          <w:sz w:val="18"/>
        </w:rPr>
      </w:pPr>
    </w:p>
    <w:p w:rsidR="00A55AAF" w:rsidRDefault="000A33CB">
      <w:pPr>
        <w:spacing w:before="0" w:after="0"/>
        <w:rPr>
          <w:rFonts w:eastAsia="Fira Sans Light" w:cs="Times New Roman"/>
          <w:b/>
          <w:spacing w:val="-2"/>
          <w:sz w:val="18"/>
        </w:rPr>
      </w:pPr>
      <w:r>
        <w:rPr>
          <w:rFonts w:eastAsia="Fira Sans Light" w:cs="Times New Roman"/>
          <w:b/>
          <w:spacing w:val="-2"/>
          <w:sz w:val="18"/>
        </w:rPr>
        <w:t>Tablica 1. Wybrane pozycje rachunku zysków i strat banków</w:t>
      </w:r>
    </w:p>
    <w:tbl>
      <w:tblPr>
        <w:tblStyle w:val="GridTableLight1"/>
        <w:tblW w:w="8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78"/>
        <w:gridCol w:w="915"/>
        <w:gridCol w:w="6"/>
        <w:gridCol w:w="922"/>
        <w:gridCol w:w="867"/>
      </w:tblGrid>
      <w:tr w:rsidR="00A55AAF">
        <w:trPr>
          <w:trHeight w:val="57"/>
          <w:jc w:val="center"/>
        </w:trPr>
        <w:tc>
          <w:tcPr>
            <w:tcW w:w="5478" w:type="dxa"/>
            <w:vMerge w:val="restart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15" w:type="dxa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795" w:type="dxa"/>
            <w:gridSpan w:val="3"/>
            <w:vAlign w:val="center"/>
          </w:tcPr>
          <w:p w:rsidR="00A55AAF" w:rsidRDefault="000A33C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2018</w:t>
            </w:r>
          </w:p>
        </w:tc>
      </w:tr>
      <w:tr w:rsidR="00A55AAF" w:rsidTr="003C2471">
        <w:trPr>
          <w:trHeight w:val="57"/>
          <w:jc w:val="center"/>
        </w:trPr>
        <w:tc>
          <w:tcPr>
            <w:tcW w:w="5478" w:type="dxa"/>
            <w:vMerge/>
            <w:tcBorders>
              <w:bottom w:val="single" w:sz="12" w:space="0" w:color="212492"/>
            </w:tcBorders>
            <w:vAlign w:val="center"/>
          </w:tcPr>
          <w:p w:rsidR="00A55AAF" w:rsidRDefault="00A55AAF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212492"/>
            </w:tcBorders>
            <w:vAlign w:val="center"/>
          </w:tcPr>
          <w:p w:rsidR="00A55AAF" w:rsidRDefault="000A33C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A55AAF" w:rsidRDefault="000A33C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2017=100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  <w:tcBorders>
              <w:top w:val="single" w:sz="12" w:space="0" w:color="212492"/>
              <w:bottom w:val="single" w:sz="4" w:space="0" w:color="1F4E79" w:themeColor="accent1" w:themeShade="80"/>
            </w:tcBorders>
          </w:tcPr>
          <w:p w:rsidR="004821C2" w:rsidRDefault="004821C2" w:rsidP="004821C2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Całkowite przychody operacyjne, netto</w:t>
            </w:r>
            <w:r w:rsidRPr="003C2471">
              <w:rPr>
                <w:rFonts w:eastAsia="Fira Sans Light" w:cs="Times New Roman"/>
                <w:sz w:val="16"/>
                <w:szCs w:val="16"/>
              </w:rPr>
              <w:t>, z tego:</w:t>
            </w:r>
          </w:p>
        </w:tc>
        <w:tc>
          <w:tcPr>
            <w:tcW w:w="921" w:type="dxa"/>
            <w:gridSpan w:val="2"/>
            <w:tcBorders>
              <w:bottom w:val="single" w:sz="4" w:space="0" w:color="1F4E79" w:themeColor="accent1" w:themeShade="80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63 847</w:t>
            </w:r>
          </w:p>
        </w:tc>
        <w:tc>
          <w:tcPr>
            <w:tcW w:w="922" w:type="dxa"/>
            <w:tcBorders>
              <w:bottom w:val="single" w:sz="4" w:space="0" w:color="1F4E79" w:themeColor="accent1" w:themeShade="80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64 971</w:t>
            </w:r>
          </w:p>
        </w:tc>
        <w:tc>
          <w:tcPr>
            <w:tcW w:w="867" w:type="dxa"/>
            <w:tcBorders>
              <w:bottom w:val="single" w:sz="4" w:space="0" w:color="1F4E79" w:themeColor="accent1" w:themeShade="80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101,8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  <w:tcBorders>
              <w:top w:val="single" w:sz="4" w:space="0" w:color="1F4E79" w:themeColor="accent1" w:themeShade="80"/>
            </w:tcBorders>
          </w:tcPr>
          <w:p w:rsidR="004821C2" w:rsidRDefault="004821C2" w:rsidP="004821C2">
            <w:pPr>
              <w:spacing w:before="0" w:after="0"/>
              <w:ind w:firstLine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wynik z tytułu odsetek</w:t>
            </w:r>
          </w:p>
        </w:tc>
        <w:tc>
          <w:tcPr>
            <w:tcW w:w="921" w:type="dxa"/>
            <w:gridSpan w:val="2"/>
            <w:tcBorders>
              <w:top w:val="single" w:sz="4" w:space="0" w:color="1F4E79" w:themeColor="accent1" w:themeShade="80"/>
              <w:bottom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42 496</w:t>
            </w:r>
          </w:p>
        </w:tc>
        <w:tc>
          <w:tcPr>
            <w:tcW w:w="922" w:type="dxa"/>
            <w:tcBorders>
              <w:top w:val="single" w:sz="4" w:space="0" w:color="1F4E79" w:themeColor="accent1" w:themeShade="80"/>
              <w:bottom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44 710</w:t>
            </w:r>
          </w:p>
        </w:tc>
        <w:tc>
          <w:tcPr>
            <w:tcW w:w="867" w:type="dxa"/>
            <w:tcBorders>
              <w:top w:val="single" w:sz="4" w:space="0" w:color="1F4E79" w:themeColor="accent1" w:themeShade="80"/>
              <w:bottom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105,2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ind w:firstLine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przychody z tytułu dywidend</w:t>
            </w:r>
          </w:p>
        </w:tc>
        <w:tc>
          <w:tcPr>
            <w:tcW w:w="921" w:type="dxa"/>
            <w:gridSpan w:val="2"/>
            <w:tcBorders>
              <w:top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1 168</w:t>
            </w:r>
          </w:p>
        </w:tc>
        <w:tc>
          <w:tcPr>
            <w:tcW w:w="922" w:type="dxa"/>
            <w:tcBorders>
              <w:top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1 506</w:t>
            </w:r>
          </w:p>
        </w:tc>
        <w:tc>
          <w:tcPr>
            <w:tcW w:w="867" w:type="dxa"/>
            <w:tcBorders>
              <w:top w:val="single" w:sz="4" w:space="0" w:color="212492"/>
            </w:tcBorders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128,9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ind w:firstLine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wynik z tytułu opłat i prowizji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13 729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12 294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89,5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ind w:left="144" w:hanging="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zyski lub straty z tytułu aktywów i zobowiązań</w:t>
            </w:r>
            <w:r>
              <w:rPr>
                <w:rFonts w:eastAsia="Fira Sans Light" w:cs="Times New Roman"/>
                <w:sz w:val="16"/>
                <w:szCs w:val="16"/>
              </w:rPr>
              <w:br/>
              <w:t>oraz różnic kursowych, netto</w:t>
            </w:r>
          </w:p>
        </w:tc>
        <w:tc>
          <w:tcPr>
            <w:tcW w:w="921" w:type="dxa"/>
            <w:gridSpan w:val="2"/>
          </w:tcPr>
          <w:p w:rsidR="004821C2" w:rsidRPr="00617FB9" w:rsidRDefault="004821C2" w:rsidP="003542AE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4 611</w:t>
            </w:r>
          </w:p>
        </w:tc>
        <w:tc>
          <w:tcPr>
            <w:tcW w:w="922" w:type="dxa"/>
          </w:tcPr>
          <w:p w:rsidR="004821C2" w:rsidRPr="00617FB9" w:rsidRDefault="004821C2" w:rsidP="003542AE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3 951</w:t>
            </w:r>
          </w:p>
        </w:tc>
        <w:tc>
          <w:tcPr>
            <w:tcW w:w="867" w:type="dxa"/>
          </w:tcPr>
          <w:p w:rsidR="004821C2" w:rsidRPr="00617FB9" w:rsidRDefault="004821C2" w:rsidP="003542AE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85,7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  <w:vAlign w:val="bottom"/>
          </w:tcPr>
          <w:p w:rsidR="004821C2" w:rsidRDefault="004821C2" w:rsidP="004821C2">
            <w:pPr>
              <w:spacing w:before="0" w:after="0"/>
              <w:ind w:firstLine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z tytułu pozostałych przychodów i kosztów operacyjnych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1 843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2 510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136,2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 xml:space="preserve">Koszty administracyjne, z tego: 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32 913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33 470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101,7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ind w:firstLine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 xml:space="preserve">koszty pracownicze 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16 575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16 993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102,5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ind w:firstLine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pozostałe koszty administracyjne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16 338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16 477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100,9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Amortyzacja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2 944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2 897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98,4</w:t>
            </w:r>
          </w:p>
        </w:tc>
      </w:tr>
      <w:tr w:rsidR="004821C2" w:rsidTr="00C53530">
        <w:trPr>
          <w:trHeight w:val="57"/>
          <w:jc w:val="center"/>
        </w:trPr>
        <w:tc>
          <w:tcPr>
            <w:tcW w:w="5478" w:type="dxa"/>
          </w:tcPr>
          <w:p w:rsidR="004821C2" w:rsidRDefault="004821C2" w:rsidP="004821C2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Rezerwy lub odwrócenie rezerw</w:t>
            </w:r>
          </w:p>
        </w:tc>
        <w:tc>
          <w:tcPr>
            <w:tcW w:w="921" w:type="dxa"/>
            <w:gridSpan w:val="2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732</w:t>
            </w:r>
          </w:p>
        </w:tc>
        <w:tc>
          <w:tcPr>
            <w:tcW w:w="922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697</w:t>
            </w:r>
          </w:p>
        </w:tc>
        <w:tc>
          <w:tcPr>
            <w:tcW w:w="867" w:type="dxa"/>
            <w:vAlign w:val="center"/>
          </w:tcPr>
          <w:p w:rsidR="004821C2" w:rsidRPr="00617FB9" w:rsidRDefault="004821C2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95,2</w:t>
            </w:r>
          </w:p>
        </w:tc>
      </w:tr>
      <w:tr w:rsidR="00617FB9" w:rsidTr="00C53530">
        <w:trPr>
          <w:trHeight w:val="57"/>
          <w:jc w:val="center"/>
        </w:trPr>
        <w:tc>
          <w:tcPr>
            <w:tcW w:w="5478" w:type="dxa"/>
          </w:tcPr>
          <w:p w:rsidR="00617FB9" w:rsidRDefault="00617FB9" w:rsidP="00617FB9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Utrata wartości lub odwrócenie utraty wartości aktywów</w:t>
            </w:r>
            <w:r w:rsidRPr="00A766C9">
              <w:rPr>
                <w:rFonts w:eastAsia="Fira Sans Light" w:cs="Times New Roman"/>
                <w:spacing w:val="-2"/>
                <w:sz w:val="18"/>
                <w:shd w:val="clear" w:color="auto" w:fill="FFFFFF"/>
                <w:vertAlign w:val="superscript"/>
              </w:rPr>
              <w:t>2</w:t>
            </w:r>
            <w:r>
              <w:rPr>
                <w:rFonts w:eastAsia="Fira Sans Light" w:cs="Times New Roman"/>
                <w:sz w:val="16"/>
                <w:szCs w:val="16"/>
              </w:rPr>
              <w:t xml:space="preserve">, w tym: </w:t>
            </w:r>
          </w:p>
        </w:tc>
        <w:tc>
          <w:tcPr>
            <w:tcW w:w="921" w:type="dxa"/>
            <w:gridSpan w:val="2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8 867</w:t>
            </w:r>
          </w:p>
        </w:tc>
        <w:tc>
          <w:tcPr>
            <w:tcW w:w="922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8 813</w:t>
            </w:r>
          </w:p>
        </w:tc>
        <w:tc>
          <w:tcPr>
            <w:tcW w:w="867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99,4</w:t>
            </w:r>
          </w:p>
        </w:tc>
      </w:tr>
      <w:tr w:rsidR="00617FB9" w:rsidTr="00C53530">
        <w:trPr>
          <w:trHeight w:val="57"/>
          <w:jc w:val="center"/>
        </w:trPr>
        <w:tc>
          <w:tcPr>
            <w:tcW w:w="5478" w:type="dxa"/>
          </w:tcPr>
          <w:p w:rsidR="00617FB9" w:rsidRDefault="00617FB9" w:rsidP="00617FB9">
            <w:pPr>
              <w:spacing w:before="0" w:after="0"/>
              <w:ind w:left="142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aktywów finansowych wycenianych według zamortyzowanego kosztu</w:t>
            </w:r>
          </w:p>
        </w:tc>
        <w:tc>
          <w:tcPr>
            <w:tcW w:w="921" w:type="dxa"/>
            <w:gridSpan w:val="2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8 309</w:t>
            </w:r>
          </w:p>
        </w:tc>
        <w:tc>
          <w:tcPr>
            <w:tcW w:w="922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8 394</w:t>
            </w:r>
          </w:p>
        </w:tc>
        <w:tc>
          <w:tcPr>
            <w:tcW w:w="867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101,0</w:t>
            </w:r>
          </w:p>
        </w:tc>
      </w:tr>
      <w:tr w:rsidR="00617FB9" w:rsidTr="00C53530">
        <w:trPr>
          <w:trHeight w:val="57"/>
          <w:jc w:val="center"/>
        </w:trPr>
        <w:tc>
          <w:tcPr>
            <w:tcW w:w="5478" w:type="dxa"/>
          </w:tcPr>
          <w:p w:rsidR="00617FB9" w:rsidRDefault="00617FB9" w:rsidP="00617FB9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Wynik z działalności operacyjnej</w:t>
            </w:r>
          </w:p>
        </w:tc>
        <w:tc>
          <w:tcPr>
            <w:tcW w:w="921" w:type="dxa"/>
            <w:gridSpan w:val="2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18 391</w:t>
            </w:r>
          </w:p>
        </w:tc>
        <w:tc>
          <w:tcPr>
            <w:tcW w:w="922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19 047</w:t>
            </w:r>
          </w:p>
        </w:tc>
        <w:tc>
          <w:tcPr>
            <w:tcW w:w="867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103,6</w:t>
            </w:r>
          </w:p>
        </w:tc>
      </w:tr>
      <w:tr w:rsidR="00617FB9" w:rsidTr="00C53530">
        <w:trPr>
          <w:trHeight w:val="57"/>
          <w:jc w:val="center"/>
        </w:trPr>
        <w:tc>
          <w:tcPr>
            <w:tcW w:w="5478" w:type="dxa"/>
          </w:tcPr>
          <w:p w:rsidR="00617FB9" w:rsidRDefault="00617FB9" w:rsidP="00617FB9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>Obciążenia lub przychody podatkowe od działalności kontynuowanej</w:t>
            </w:r>
          </w:p>
        </w:tc>
        <w:tc>
          <w:tcPr>
            <w:tcW w:w="921" w:type="dxa"/>
            <w:gridSpan w:val="2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4 728</w:t>
            </w:r>
          </w:p>
        </w:tc>
        <w:tc>
          <w:tcPr>
            <w:tcW w:w="922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4 765</w:t>
            </w:r>
          </w:p>
        </w:tc>
        <w:tc>
          <w:tcPr>
            <w:tcW w:w="867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17FB9">
              <w:rPr>
                <w:sz w:val="16"/>
                <w:szCs w:val="16"/>
              </w:rPr>
              <w:t>100,8</w:t>
            </w:r>
          </w:p>
        </w:tc>
      </w:tr>
      <w:tr w:rsidR="00617FB9" w:rsidTr="00C53530">
        <w:trPr>
          <w:trHeight w:val="57"/>
          <w:jc w:val="center"/>
        </w:trPr>
        <w:tc>
          <w:tcPr>
            <w:tcW w:w="5478" w:type="dxa"/>
          </w:tcPr>
          <w:p w:rsidR="00617FB9" w:rsidRDefault="00617FB9" w:rsidP="00617FB9">
            <w:pPr>
              <w:spacing w:before="0" w:after="0"/>
              <w:rPr>
                <w:rFonts w:eastAsia="Fira Sans Light" w:cs="Times New Roman"/>
                <w:b/>
                <w:sz w:val="16"/>
                <w:szCs w:val="16"/>
              </w:rPr>
            </w:pPr>
            <w:r>
              <w:rPr>
                <w:rFonts w:eastAsia="Fira Sans Light" w:cs="Times New Roman"/>
                <w:b/>
                <w:sz w:val="16"/>
                <w:szCs w:val="16"/>
              </w:rPr>
              <w:t>Wynik finansowy netto</w:t>
            </w:r>
          </w:p>
        </w:tc>
        <w:tc>
          <w:tcPr>
            <w:tcW w:w="921" w:type="dxa"/>
            <w:gridSpan w:val="2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17FB9">
              <w:rPr>
                <w:b/>
                <w:sz w:val="16"/>
                <w:szCs w:val="16"/>
              </w:rPr>
              <w:t>13 671</w:t>
            </w:r>
          </w:p>
        </w:tc>
        <w:tc>
          <w:tcPr>
            <w:tcW w:w="922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17FB9">
              <w:rPr>
                <w:b/>
                <w:sz w:val="16"/>
                <w:szCs w:val="16"/>
              </w:rPr>
              <w:t>14 706</w:t>
            </w:r>
          </w:p>
        </w:tc>
        <w:tc>
          <w:tcPr>
            <w:tcW w:w="867" w:type="dxa"/>
            <w:vAlign w:val="center"/>
          </w:tcPr>
          <w:p w:rsidR="00617FB9" w:rsidRPr="00617FB9" w:rsidRDefault="00617FB9" w:rsidP="00617FB9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17FB9">
              <w:rPr>
                <w:b/>
                <w:sz w:val="16"/>
                <w:szCs w:val="16"/>
              </w:rPr>
              <w:t>107,6</w:t>
            </w:r>
          </w:p>
        </w:tc>
      </w:tr>
    </w:tbl>
    <w:p w:rsidR="00F63E38" w:rsidRDefault="007C7560" w:rsidP="007C7560">
      <w:pPr>
        <w:spacing w:before="240"/>
        <w:rPr>
          <w:rFonts w:eastAsia="Fira Sans Light" w:cs="Times New Roman"/>
          <w:spacing w:val="-2"/>
          <w:szCs w:val="19"/>
        </w:rPr>
      </w:pPr>
      <w:r>
        <w:rPr>
          <w:rFonts w:eastAsia="Fira Sans Light" w:cs="Times New Roman"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92877</wp:posOffset>
                </wp:positionV>
                <wp:extent cx="1511935" cy="585470"/>
                <wp:effectExtent l="0" t="0" r="0" b="5080"/>
                <wp:wrapTight wrapText="bothSides">
                  <wp:wrapPolygon edited="0">
                    <wp:start x="816" y="0"/>
                    <wp:lineTo x="816" y="21085"/>
                    <wp:lineTo x="20684" y="21085"/>
                    <wp:lineTo x="20684" y="0"/>
                    <wp:lineTo x="8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6E04F3" w:rsidP="007C7560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96,</w:t>
                            </w:r>
                            <w:r w:rsidR="00AE20ED">
                              <w:t>1</w:t>
                            </w:r>
                            <w:r>
                              <w:t>% banków odnotowało w </w:t>
                            </w:r>
                            <w:r w:rsidR="00F623CC">
                              <w:t>2018 </w:t>
                            </w:r>
                            <w:r>
                              <w:t>r. zysk netto.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.5pt;margin-top:7.3pt;width:119.05pt;height:46.1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" filled="f" stroked="f">
                <v:textbox>
                  <w:txbxContent>
                    <w:p w:rsidR="006E04F3" w:rsidRDefault="006E04F3" w:rsidP="007C7560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96,</w:t>
                      </w:r>
                      <w:r w:rsidR="00AE20ED">
                        <w:t>1</w:t>
                      </w:r>
                      <w:r>
                        <w:t>% banków odnotowało w </w:t>
                      </w:r>
                      <w:r w:rsidR="00F623CC">
                        <w:t>2018 </w:t>
                      </w:r>
                      <w:r>
                        <w:t>r. zysk netto.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D7C">
        <w:rPr>
          <w:rFonts w:eastAsia="Fira Sans Light" w:cs="Times New Roman"/>
          <w:spacing w:val="-2"/>
          <w:szCs w:val="19"/>
        </w:rPr>
        <w:t xml:space="preserve">Na </w:t>
      </w:r>
      <w:r w:rsidR="007864E2">
        <w:rPr>
          <w:rFonts w:eastAsia="Fira Sans Light" w:cs="Times New Roman"/>
          <w:spacing w:val="-2"/>
          <w:szCs w:val="19"/>
        </w:rPr>
        <w:t>z</w:t>
      </w:r>
      <w:r w:rsidR="00257D7C">
        <w:rPr>
          <w:rFonts w:eastAsia="Fira Sans Light" w:cs="Times New Roman"/>
          <w:spacing w:val="-2"/>
          <w:szCs w:val="19"/>
        </w:rPr>
        <w:t>w</w:t>
      </w:r>
      <w:r w:rsidR="007864E2">
        <w:rPr>
          <w:rFonts w:eastAsia="Fira Sans Light" w:cs="Times New Roman"/>
          <w:spacing w:val="-2"/>
          <w:szCs w:val="19"/>
        </w:rPr>
        <w:t>iększenie</w:t>
      </w:r>
      <w:r w:rsidR="00257D7C">
        <w:rPr>
          <w:rFonts w:eastAsia="Fira Sans Light" w:cs="Times New Roman"/>
          <w:spacing w:val="-2"/>
          <w:szCs w:val="19"/>
        </w:rPr>
        <w:t xml:space="preserve"> c</w:t>
      </w:r>
      <w:r w:rsidR="006850B1" w:rsidRPr="006850B1">
        <w:rPr>
          <w:rFonts w:eastAsia="Fira Sans Light" w:cs="Times New Roman"/>
          <w:spacing w:val="-2"/>
          <w:szCs w:val="19"/>
        </w:rPr>
        <w:t>ałkowit</w:t>
      </w:r>
      <w:r w:rsidR="00257D7C">
        <w:rPr>
          <w:rFonts w:eastAsia="Fira Sans Light" w:cs="Times New Roman"/>
          <w:spacing w:val="-2"/>
          <w:szCs w:val="19"/>
        </w:rPr>
        <w:t>ych</w:t>
      </w:r>
      <w:r w:rsidR="006850B1" w:rsidRPr="006850B1">
        <w:rPr>
          <w:rFonts w:eastAsia="Fira Sans Light" w:cs="Times New Roman"/>
          <w:spacing w:val="-2"/>
          <w:szCs w:val="19"/>
        </w:rPr>
        <w:t xml:space="preserve"> przychod</w:t>
      </w:r>
      <w:r w:rsidR="00257D7C">
        <w:rPr>
          <w:rFonts w:eastAsia="Fira Sans Light" w:cs="Times New Roman"/>
          <w:spacing w:val="-2"/>
          <w:szCs w:val="19"/>
        </w:rPr>
        <w:t>ów operacyjnych</w:t>
      </w:r>
      <w:r w:rsidR="006850B1" w:rsidRPr="006850B1">
        <w:rPr>
          <w:rFonts w:eastAsia="Fira Sans Light" w:cs="Times New Roman"/>
          <w:spacing w:val="-2"/>
          <w:szCs w:val="19"/>
        </w:rPr>
        <w:t xml:space="preserve"> netto</w:t>
      </w:r>
      <w:r w:rsidR="006850B1">
        <w:rPr>
          <w:rFonts w:eastAsia="Fira Sans Light" w:cs="Times New Roman"/>
          <w:spacing w:val="-2"/>
          <w:szCs w:val="19"/>
        </w:rPr>
        <w:t xml:space="preserve"> </w:t>
      </w:r>
      <w:r w:rsidR="00257D7C">
        <w:rPr>
          <w:rFonts w:eastAsia="Fira Sans Light" w:cs="Times New Roman"/>
          <w:spacing w:val="-2"/>
          <w:szCs w:val="19"/>
        </w:rPr>
        <w:t xml:space="preserve">o </w:t>
      </w:r>
      <w:r w:rsidR="00C53530">
        <w:rPr>
          <w:rFonts w:eastAsia="Fira Sans Light" w:cs="Times New Roman"/>
          <w:spacing w:val="-2"/>
          <w:szCs w:val="19"/>
        </w:rPr>
        <w:t>1</w:t>
      </w:r>
      <w:r w:rsidR="00257D7C">
        <w:rPr>
          <w:rFonts w:eastAsia="Fira Sans Light" w:cs="Times New Roman"/>
          <w:spacing w:val="-2"/>
          <w:szCs w:val="19"/>
        </w:rPr>
        <w:t>,</w:t>
      </w:r>
      <w:r w:rsidR="00C53530">
        <w:rPr>
          <w:rFonts w:eastAsia="Fira Sans Light" w:cs="Times New Roman"/>
          <w:spacing w:val="-2"/>
          <w:szCs w:val="19"/>
        </w:rPr>
        <w:t>1</w:t>
      </w:r>
      <w:r w:rsidR="00257D7C">
        <w:rPr>
          <w:rFonts w:eastAsia="Fira Sans Light" w:cs="Times New Roman"/>
          <w:spacing w:val="-2"/>
          <w:szCs w:val="19"/>
        </w:rPr>
        <w:t> mld zł wpłynął</w:t>
      </w:r>
      <w:r w:rsidR="006850B1">
        <w:rPr>
          <w:rFonts w:eastAsia="Fira Sans Light" w:cs="Times New Roman"/>
          <w:spacing w:val="-2"/>
          <w:szCs w:val="19"/>
        </w:rPr>
        <w:t xml:space="preserve"> głównie</w:t>
      </w:r>
      <w:r w:rsidR="00257D7C">
        <w:rPr>
          <w:rFonts w:eastAsia="Fira Sans Light" w:cs="Times New Roman"/>
          <w:spacing w:val="-2"/>
          <w:szCs w:val="19"/>
        </w:rPr>
        <w:t xml:space="preserve"> wzrost wyniku z tytułu odsetek o </w:t>
      </w:r>
      <w:r w:rsidR="00C12D93">
        <w:rPr>
          <w:rFonts w:eastAsia="Fira Sans Light" w:cs="Times New Roman"/>
          <w:spacing w:val="-2"/>
          <w:szCs w:val="19"/>
        </w:rPr>
        <w:t>2</w:t>
      </w:r>
      <w:r w:rsidR="00257D7C">
        <w:rPr>
          <w:rFonts w:eastAsia="Fira Sans Light" w:cs="Times New Roman"/>
          <w:spacing w:val="-2"/>
          <w:szCs w:val="19"/>
        </w:rPr>
        <w:t>,</w:t>
      </w:r>
      <w:r w:rsidR="00C53530">
        <w:rPr>
          <w:rFonts w:eastAsia="Fira Sans Light" w:cs="Times New Roman"/>
          <w:spacing w:val="-2"/>
          <w:szCs w:val="19"/>
        </w:rPr>
        <w:t>2</w:t>
      </w:r>
      <w:r w:rsidR="00257D7C">
        <w:rPr>
          <w:rFonts w:eastAsia="Fira Sans Light" w:cs="Times New Roman"/>
          <w:spacing w:val="-2"/>
          <w:szCs w:val="19"/>
        </w:rPr>
        <w:t xml:space="preserve"> mld zł i </w:t>
      </w:r>
      <w:r w:rsidR="00C53530" w:rsidRPr="00C53530">
        <w:rPr>
          <w:rFonts w:eastAsia="Fira Sans Light" w:cs="Times New Roman"/>
          <w:spacing w:val="-2"/>
          <w:szCs w:val="19"/>
        </w:rPr>
        <w:t>z tytułu pozostałych przychodów i kosztów operacyjnych</w:t>
      </w:r>
      <w:r w:rsidR="00F63E38">
        <w:rPr>
          <w:rFonts w:eastAsia="Fira Sans Light" w:cs="Times New Roman"/>
          <w:spacing w:val="-2"/>
          <w:szCs w:val="19"/>
        </w:rPr>
        <w:t xml:space="preserve"> o</w:t>
      </w:r>
      <w:r w:rsidR="00C53530">
        <w:rPr>
          <w:rFonts w:eastAsia="Fira Sans Light" w:cs="Times New Roman"/>
          <w:spacing w:val="-2"/>
          <w:szCs w:val="19"/>
        </w:rPr>
        <w:t> </w:t>
      </w:r>
      <w:r w:rsidR="00F63E38">
        <w:rPr>
          <w:rFonts w:eastAsia="Fira Sans Light" w:cs="Times New Roman"/>
          <w:spacing w:val="-2"/>
          <w:szCs w:val="19"/>
        </w:rPr>
        <w:t>0,</w:t>
      </w:r>
      <w:r w:rsidR="00C53530">
        <w:rPr>
          <w:rFonts w:eastAsia="Fira Sans Light" w:cs="Times New Roman"/>
          <w:spacing w:val="-2"/>
          <w:szCs w:val="19"/>
        </w:rPr>
        <w:t>7</w:t>
      </w:r>
      <w:r w:rsidR="00F63E38">
        <w:rPr>
          <w:rFonts w:eastAsia="Fira Sans Light" w:cs="Times New Roman"/>
          <w:spacing w:val="-2"/>
          <w:szCs w:val="19"/>
        </w:rPr>
        <w:t xml:space="preserve"> mld zł, przy </w:t>
      </w:r>
      <w:r w:rsidR="007864E2">
        <w:rPr>
          <w:rFonts w:eastAsia="Fira Sans Light" w:cs="Times New Roman"/>
          <w:spacing w:val="-2"/>
          <w:szCs w:val="19"/>
        </w:rPr>
        <w:t>obniżeniu</w:t>
      </w:r>
      <w:r w:rsidR="00F63E38">
        <w:rPr>
          <w:rFonts w:eastAsia="Fira Sans Light" w:cs="Times New Roman"/>
          <w:spacing w:val="-2"/>
          <w:szCs w:val="19"/>
        </w:rPr>
        <w:t xml:space="preserve"> wyniku z tytułu </w:t>
      </w:r>
      <w:r w:rsidR="00A425D1">
        <w:rPr>
          <w:rFonts w:eastAsia="Fira Sans Light" w:cs="Times New Roman"/>
          <w:spacing w:val="-2"/>
          <w:szCs w:val="19"/>
        </w:rPr>
        <w:t xml:space="preserve">opłat i </w:t>
      </w:r>
      <w:r w:rsidR="00F63E38">
        <w:rPr>
          <w:rFonts w:eastAsia="Fira Sans Light" w:cs="Times New Roman"/>
          <w:spacing w:val="-2"/>
          <w:szCs w:val="19"/>
        </w:rPr>
        <w:t xml:space="preserve">prowizji o </w:t>
      </w:r>
      <w:r w:rsidR="00C53530">
        <w:rPr>
          <w:rFonts w:eastAsia="Fira Sans Light" w:cs="Times New Roman"/>
          <w:spacing w:val="-2"/>
          <w:szCs w:val="19"/>
        </w:rPr>
        <w:t>1</w:t>
      </w:r>
      <w:r w:rsidR="00F63E38">
        <w:rPr>
          <w:rFonts w:eastAsia="Fira Sans Light" w:cs="Times New Roman"/>
          <w:spacing w:val="-2"/>
          <w:szCs w:val="19"/>
        </w:rPr>
        <w:t>,</w:t>
      </w:r>
      <w:r w:rsidR="00C53530">
        <w:rPr>
          <w:rFonts w:eastAsia="Fira Sans Light" w:cs="Times New Roman"/>
          <w:spacing w:val="-2"/>
          <w:szCs w:val="19"/>
        </w:rPr>
        <w:t>4</w:t>
      </w:r>
      <w:r w:rsidR="00F63E38">
        <w:rPr>
          <w:rFonts w:eastAsia="Fira Sans Light" w:cs="Times New Roman"/>
          <w:spacing w:val="-2"/>
          <w:szCs w:val="19"/>
        </w:rPr>
        <w:t> mld zł</w:t>
      </w:r>
      <w:r w:rsidR="00C302B5">
        <w:rPr>
          <w:rFonts w:eastAsia="Fira Sans Light" w:cs="Times New Roman"/>
          <w:spacing w:val="-2"/>
          <w:szCs w:val="19"/>
        </w:rPr>
        <w:t xml:space="preserve">. </w:t>
      </w:r>
    </w:p>
    <w:p w:rsidR="00F63E38" w:rsidRDefault="000A33CB" w:rsidP="007C7560">
      <w:pPr>
        <w:rPr>
          <w:rFonts w:eastAsia="Fira Sans Light" w:cs="Times New Roman"/>
          <w:spacing w:val="-2"/>
          <w:szCs w:val="19"/>
        </w:rPr>
      </w:pPr>
      <w:r>
        <w:rPr>
          <w:rFonts w:eastAsia="Fira Sans Light" w:cs="Times New Roman"/>
          <w:spacing w:val="-2"/>
          <w:szCs w:val="19"/>
        </w:rPr>
        <w:t xml:space="preserve">Koszty pracownicze stanowiły </w:t>
      </w:r>
      <w:r w:rsidR="00C12D93">
        <w:rPr>
          <w:rFonts w:eastAsia="Fira Sans Light" w:cs="Times New Roman"/>
          <w:spacing w:val="-2"/>
          <w:szCs w:val="19"/>
        </w:rPr>
        <w:t>50</w:t>
      </w:r>
      <w:r w:rsidR="008E74CF" w:rsidRPr="008E74CF">
        <w:rPr>
          <w:rFonts w:eastAsia="Fira Sans Light" w:cs="Times New Roman"/>
          <w:spacing w:val="-2"/>
          <w:szCs w:val="19"/>
        </w:rPr>
        <w:t>,</w:t>
      </w:r>
      <w:r w:rsidR="00C53530">
        <w:rPr>
          <w:rFonts w:eastAsia="Fira Sans Light" w:cs="Times New Roman"/>
          <w:spacing w:val="-2"/>
          <w:szCs w:val="19"/>
        </w:rPr>
        <w:t>8</w:t>
      </w:r>
      <w:r>
        <w:rPr>
          <w:rFonts w:eastAsia="Fira Sans Light" w:cs="Times New Roman"/>
          <w:spacing w:val="-2"/>
          <w:szCs w:val="19"/>
        </w:rPr>
        <w:t>% kosztów</w:t>
      </w:r>
      <w:r>
        <w:t xml:space="preserve"> </w:t>
      </w:r>
      <w:r>
        <w:rPr>
          <w:rFonts w:eastAsia="Fira Sans Light" w:cs="Times New Roman"/>
          <w:spacing w:val="-2"/>
          <w:szCs w:val="19"/>
        </w:rPr>
        <w:t>administracyjnych (</w:t>
      </w:r>
      <w:r w:rsidR="000F065E">
        <w:rPr>
          <w:rFonts w:eastAsia="Fira Sans Light" w:cs="Times New Roman"/>
          <w:spacing w:val="-2"/>
          <w:szCs w:val="19"/>
        </w:rPr>
        <w:t>wzrost</w:t>
      </w:r>
      <w:r>
        <w:rPr>
          <w:rFonts w:eastAsia="Fira Sans Light" w:cs="Times New Roman"/>
          <w:spacing w:val="-2"/>
          <w:szCs w:val="19"/>
        </w:rPr>
        <w:t xml:space="preserve"> o </w:t>
      </w:r>
      <w:r w:rsidR="008E74CF" w:rsidRPr="008E74CF">
        <w:rPr>
          <w:rFonts w:eastAsia="Fira Sans Light" w:cs="Times New Roman"/>
          <w:spacing w:val="-2"/>
          <w:szCs w:val="19"/>
        </w:rPr>
        <w:t>0,</w:t>
      </w:r>
      <w:r w:rsidR="000F065E">
        <w:rPr>
          <w:rFonts w:eastAsia="Fira Sans Light" w:cs="Times New Roman"/>
          <w:spacing w:val="-2"/>
          <w:szCs w:val="19"/>
        </w:rPr>
        <w:t>4</w:t>
      </w:r>
      <w:r>
        <w:rPr>
          <w:rFonts w:eastAsia="Fira Sans Light" w:cs="Times New Roman"/>
          <w:spacing w:val="-2"/>
          <w:szCs w:val="19"/>
        </w:rPr>
        <w:t xml:space="preserve"> p. proc.). </w:t>
      </w:r>
      <w:r w:rsidR="000F065E">
        <w:rPr>
          <w:rFonts w:eastAsia="Fira Sans Light" w:cs="Times New Roman"/>
          <w:spacing w:val="-2"/>
          <w:szCs w:val="19"/>
        </w:rPr>
        <w:t>Zwiększenie</w:t>
      </w:r>
      <w:r w:rsidR="00EE5621">
        <w:rPr>
          <w:rFonts w:eastAsia="Fira Sans Light" w:cs="Times New Roman"/>
          <w:spacing w:val="-2"/>
          <w:szCs w:val="19"/>
        </w:rPr>
        <w:t xml:space="preserve"> kosztów pracowniczych o 0,</w:t>
      </w:r>
      <w:r w:rsidR="002A3653">
        <w:rPr>
          <w:rFonts w:eastAsia="Fira Sans Light" w:cs="Times New Roman"/>
          <w:spacing w:val="-2"/>
          <w:szCs w:val="19"/>
        </w:rPr>
        <w:t>4</w:t>
      </w:r>
      <w:r w:rsidR="00EE5621">
        <w:rPr>
          <w:rFonts w:eastAsia="Fira Sans Light" w:cs="Times New Roman"/>
          <w:spacing w:val="-2"/>
          <w:szCs w:val="19"/>
        </w:rPr>
        <w:t> mld zł wynikał</w:t>
      </w:r>
      <w:r w:rsidR="000F065E">
        <w:rPr>
          <w:rFonts w:eastAsia="Fira Sans Light" w:cs="Times New Roman"/>
          <w:spacing w:val="-2"/>
          <w:szCs w:val="19"/>
        </w:rPr>
        <w:t>o</w:t>
      </w:r>
      <w:r w:rsidR="00EE5621">
        <w:rPr>
          <w:rFonts w:eastAsia="Fira Sans Light" w:cs="Times New Roman"/>
          <w:spacing w:val="-2"/>
          <w:szCs w:val="19"/>
        </w:rPr>
        <w:t xml:space="preserve"> głównie ze wzrostu wynagrodzeń</w:t>
      </w:r>
      <w:r w:rsidR="00EE5621" w:rsidRPr="00EE5621">
        <w:rPr>
          <w:rFonts w:eastAsia="Fira Sans Light" w:cs="Times New Roman"/>
          <w:spacing w:val="-2"/>
          <w:szCs w:val="19"/>
        </w:rPr>
        <w:t xml:space="preserve"> z tytułu umów o</w:t>
      </w:r>
      <w:r w:rsidR="00EE5621">
        <w:rPr>
          <w:rFonts w:eastAsia="Fira Sans Light" w:cs="Times New Roman"/>
          <w:spacing w:val="-2"/>
          <w:szCs w:val="19"/>
        </w:rPr>
        <w:t> </w:t>
      </w:r>
      <w:r w:rsidR="00EE5621" w:rsidRPr="00EE5621">
        <w:rPr>
          <w:rFonts w:eastAsia="Fira Sans Light" w:cs="Times New Roman"/>
          <w:spacing w:val="-2"/>
          <w:szCs w:val="19"/>
        </w:rPr>
        <w:t>pracę</w:t>
      </w:r>
      <w:r w:rsidR="00EE5621">
        <w:rPr>
          <w:rFonts w:eastAsia="Fira Sans Light" w:cs="Times New Roman"/>
          <w:spacing w:val="-2"/>
          <w:szCs w:val="19"/>
        </w:rPr>
        <w:t xml:space="preserve"> </w:t>
      </w:r>
      <w:r w:rsidR="00500FA8">
        <w:rPr>
          <w:rFonts w:eastAsia="Fira Sans Light" w:cs="Times New Roman"/>
          <w:spacing w:val="-2"/>
          <w:szCs w:val="19"/>
        </w:rPr>
        <w:t xml:space="preserve">– </w:t>
      </w:r>
      <w:r w:rsidR="00EE5621">
        <w:rPr>
          <w:rFonts w:eastAsia="Fira Sans Light" w:cs="Times New Roman"/>
          <w:spacing w:val="-2"/>
          <w:szCs w:val="19"/>
        </w:rPr>
        <w:t>o 0,</w:t>
      </w:r>
      <w:r w:rsidR="002A3653">
        <w:rPr>
          <w:rFonts w:eastAsia="Fira Sans Light" w:cs="Times New Roman"/>
          <w:spacing w:val="-2"/>
          <w:szCs w:val="19"/>
        </w:rPr>
        <w:t>2</w:t>
      </w:r>
      <w:r w:rsidR="00EE5621">
        <w:rPr>
          <w:rFonts w:eastAsia="Fira Sans Light" w:cs="Times New Roman"/>
          <w:spacing w:val="-2"/>
          <w:szCs w:val="19"/>
        </w:rPr>
        <w:t> mld zł (</w:t>
      </w:r>
      <w:r w:rsidR="002A3653">
        <w:rPr>
          <w:rFonts w:eastAsia="Fira Sans Light" w:cs="Times New Roman"/>
          <w:spacing w:val="-2"/>
          <w:szCs w:val="19"/>
        </w:rPr>
        <w:t>1</w:t>
      </w:r>
      <w:r w:rsidR="00EE5621">
        <w:rPr>
          <w:rFonts w:eastAsia="Fira Sans Light" w:cs="Times New Roman"/>
          <w:spacing w:val="-2"/>
          <w:szCs w:val="19"/>
        </w:rPr>
        <w:t>,</w:t>
      </w:r>
      <w:r w:rsidR="002A3653">
        <w:rPr>
          <w:rFonts w:eastAsia="Fira Sans Light" w:cs="Times New Roman"/>
          <w:spacing w:val="-2"/>
          <w:szCs w:val="19"/>
        </w:rPr>
        <w:t>2</w:t>
      </w:r>
      <w:r w:rsidR="00EE5621">
        <w:rPr>
          <w:rFonts w:eastAsia="Fira Sans Light" w:cs="Times New Roman"/>
          <w:spacing w:val="-2"/>
          <w:szCs w:val="19"/>
        </w:rPr>
        <w:t xml:space="preserve">%). </w:t>
      </w:r>
      <w:r w:rsidR="0034753E">
        <w:rPr>
          <w:rFonts w:eastAsia="Fira Sans Light" w:cs="Times New Roman"/>
          <w:spacing w:val="-2"/>
          <w:szCs w:val="19"/>
        </w:rPr>
        <w:t>Spośród pozostałych kosztów administracyjnych najszybciej rosły kosz</w:t>
      </w:r>
      <w:r w:rsidR="003D1C2A">
        <w:rPr>
          <w:rFonts w:eastAsia="Fira Sans Light" w:cs="Times New Roman"/>
          <w:spacing w:val="-2"/>
          <w:szCs w:val="19"/>
        </w:rPr>
        <w:t>t</w:t>
      </w:r>
      <w:r w:rsidR="0034753E">
        <w:rPr>
          <w:rFonts w:eastAsia="Fira Sans Light" w:cs="Times New Roman"/>
          <w:spacing w:val="-2"/>
          <w:szCs w:val="19"/>
        </w:rPr>
        <w:t>y marketingowe (</w:t>
      </w:r>
      <w:r w:rsidR="00500FA8">
        <w:rPr>
          <w:rFonts w:eastAsia="Fira Sans Light" w:cs="Times New Roman"/>
          <w:spacing w:val="-2"/>
          <w:szCs w:val="19"/>
        </w:rPr>
        <w:t xml:space="preserve">o </w:t>
      </w:r>
      <w:r w:rsidR="0034753E">
        <w:rPr>
          <w:rFonts w:eastAsia="Fira Sans Light" w:cs="Times New Roman"/>
          <w:spacing w:val="-2"/>
          <w:szCs w:val="19"/>
        </w:rPr>
        <w:t xml:space="preserve">0,2 mld zł, tj. </w:t>
      </w:r>
      <w:r w:rsidR="000F065E">
        <w:rPr>
          <w:rFonts w:eastAsia="Fira Sans Light" w:cs="Times New Roman"/>
          <w:spacing w:val="-2"/>
          <w:szCs w:val="19"/>
        </w:rPr>
        <w:t>19</w:t>
      </w:r>
      <w:r w:rsidR="0034753E">
        <w:rPr>
          <w:rFonts w:eastAsia="Fira Sans Light" w:cs="Times New Roman"/>
          <w:spacing w:val="-2"/>
          <w:szCs w:val="19"/>
        </w:rPr>
        <w:t>,</w:t>
      </w:r>
      <w:r w:rsidR="002A3653">
        <w:rPr>
          <w:rFonts w:eastAsia="Fira Sans Light" w:cs="Times New Roman"/>
          <w:spacing w:val="-2"/>
          <w:szCs w:val="19"/>
        </w:rPr>
        <w:t>3</w:t>
      </w:r>
      <w:r w:rsidR="0034753E">
        <w:rPr>
          <w:rFonts w:eastAsia="Fira Sans Light" w:cs="Times New Roman"/>
          <w:spacing w:val="-2"/>
          <w:szCs w:val="19"/>
        </w:rPr>
        <w:t>%)</w:t>
      </w:r>
      <w:r w:rsidR="006015A7">
        <w:rPr>
          <w:rFonts w:eastAsia="Fira Sans Light" w:cs="Times New Roman"/>
          <w:spacing w:val="-2"/>
          <w:szCs w:val="19"/>
        </w:rPr>
        <w:t xml:space="preserve">, </w:t>
      </w:r>
      <w:r w:rsidR="000F065E">
        <w:rPr>
          <w:rFonts w:eastAsia="Fira Sans Light" w:cs="Times New Roman"/>
          <w:spacing w:val="-2"/>
          <w:szCs w:val="19"/>
        </w:rPr>
        <w:t>jednocześnie o 0,2 mld zł (o 6,4</w:t>
      </w:r>
      <w:r w:rsidR="006015A7">
        <w:rPr>
          <w:rFonts w:eastAsia="Fira Sans Light" w:cs="Times New Roman"/>
          <w:spacing w:val="-2"/>
          <w:szCs w:val="19"/>
        </w:rPr>
        <w:t xml:space="preserve">%) obniżyły się koszty </w:t>
      </w:r>
      <w:r w:rsidR="0014178A">
        <w:rPr>
          <w:rFonts w:eastAsia="Fira Sans Light" w:cs="Times New Roman"/>
          <w:spacing w:val="-2"/>
          <w:szCs w:val="19"/>
        </w:rPr>
        <w:t xml:space="preserve">z tytułu </w:t>
      </w:r>
      <w:r w:rsidR="006015A7">
        <w:rPr>
          <w:rFonts w:eastAsia="Fira Sans Light" w:cs="Times New Roman"/>
          <w:spacing w:val="-2"/>
          <w:szCs w:val="19"/>
        </w:rPr>
        <w:t>zapłaconych czynszów</w:t>
      </w:r>
      <w:r w:rsidR="0034753E">
        <w:rPr>
          <w:rFonts w:eastAsia="Fira Sans Light" w:cs="Times New Roman"/>
          <w:spacing w:val="-2"/>
          <w:szCs w:val="19"/>
        </w:rPr>
        <w:t>.</w:t>
      </w:r>
    </w:p>
    <w:p w:rsidR="00A55AAF" w:rsidRPr="00E366FB" w:rsidRDefault="000A33CB" w:rsidP="007C7560">
      <w:pPr>
        <w:rPr>
          <w:rFonts w:eastAsia="Fira Sans Light" w:cs="Times New Roman"/>
          <w:spacing w:val="-2"/>
          <w:szCs w:val="19"/>
        </w:rPr>
      </w:pPr>
      <w:r w:rsidRPr="00E366FB">
        <w:rPr>
          <w:rFonts w:eastAsia="Fira Sans Light" w:cs="Times New Roman"/>
          <w:spacing w:val="-2"/>
          <w:szCs w:val="19"/>
        </w:rPr>
        <w:t>Wynik finansowy netto w 2018</w:t>
      </w:r>
      <w:r w:rsidR="00C920E8" w:rsidRPr="00E366FB">
        <w:rPr>
          <w:rFonts w:eastAsia="Fira Sans Light" w:cs="Times New Roman"/>
          <w:spacing w:val="-2"/>
          <w:szCs w:val="19"/>
        </w:rPr>
        <w:t> </w:t>
      </w:r>
      <w:r w:rsidRPr="00E366FB">
        <w:rPr>
          <w:rFonts w:eastAsia="Fira Sans Light" w:cs="Times New Roman"/>
          <w:spacing w:val="-2"/>
          <w:szCs w:val="19"/>
        </w:rPr>
        <w:t>r. wyniósł</w:t>
      </w:r>
      <w:r w:rsidR="00C920E8" w:rsidRPr="00E366FB">
        <w:rPr>
          <w:rFonts w:eastAsia="Fira Sans Light" w:cs="Times New Roman"/>
          <w:spacing w:val="-2"/>
          <w:szCs w:val="19"/>
        </w:rPr>
        <w:t xml:space="preserve"> </w:t>
      </w:r>
      <w:r w:rsidR="00FC3AEA">
        <w:rPr>
          <w:rFonts w:eastAsia="Fira Sans Light" w:cs="Times New Roman"/>
          <w:spacing w:val="-2"/>
          <w:szCs w:val="19"/>
        </w:rPr>
        <w:t>14</w:t>
      </w:r>
      <w:r w:rsidR="00C920E8" w:rsidRPr="00E366FB">
        <w:rPr>
          <w:rFonts w:eastAsia="Fira Sans Light" w:cs="Times New Roman"/>
          <w:spacing w:val="-2"/>
          <w:szCs w:val="19"/>
        </w:rPr>
        <w:t>,</w:t>
      </w:r>
      <w:r w:rsidR="00FC3AEA">
        <w:rPr>
          <w:rFonts w:eastAsia="Fira Sans Light" w:cs="Times New Roman"/>
          <w:spacing w:val="-2"/>
          <w:szCs w:val="19"/>
        </w:rPr>
        <w:t>7</w:t>
      </w:r>
      <w:r w:rsidRPr="00E366FB">
        <w:rPr>
          <w:rFonts w:eastAsia="Fira Sans Light" w:cs="Times New Roman"/>
          <w:spacing w:val="-2"/>
          <w:szCs w:val="19"/>
        </w:rPr>
        <w:t xml:space="preserve"> mld zł, na co składały się zyski netto </w:t>
      </w:r>
      <w:r w:rsidR="00C920E8" w:rsidRPr="00E366FB">
        <w:rPr>
          <w:rFonts w:eastAsia="Fira Sans Light" w:cs="Times New Roman"/>
          <w:spacing w:val="-2"/>
          <w:szCs w:val="19"/>
        </w:rPr>
        <w:t>5</w:t>
      </w:r>
      <w:r w:rsidR="00E366FB" w:rsidRPr="00E366FB">
        <w:rPr>
          <w:rFonts w:eastAsia="Fira Sans Light" w:cs="Times New Roman"/>
          <w:spacing w:val="-2"/>
          <w:szCs w:val="19"/>
        </w:rPr>
        <w:t>8</w:t>
      </w:r>
      <w:r w:rsidR="00FC3AEA">
        <w:rPr>
          <w:rFonts w:eastAsia="Fira Sans Light" w:cs="Times New Roman"/>
          <w:spacing w:val="-2"/>
          <w:szCs w:val="19"/>
        </w:rPr>
        <w:t>8</w:t>
      </w:r>
      <w:r w:rsidRPr="00E366FB">
        <w:rPr>
          <w:rFonts w:eastAsia="Fira Sans Light" w:cs="Times New Roman"/>
          <w:spacing w:val="-2"/>
          <w:szCs w:val="19"/>
        </w:rPr>
        <w:t xml:space="preserve"> banków w kwocie </w:t>
      </w:r>
      <w:r w:rsidR="00E366FB" w:rsidRPr="00E366FB">
        <w:rPr>
          <w:rFonts w:eastAsia="Fira Sans Light" w:cs="Times New Roman"/>
          <w:spacing w:val="-2"/>
          <w:szCs w:val="19"/>
        </w:rPr>
        <w:t>1</w:t>
      </w:r>
      <w:r w:rsidR="00FC3AEA">
        <w:rPr>
          <w:rFonts w:eastAsia="Fira Sans Light" w:cs="Times New Roman"/>
          <w:spacing w:val="-2"/>
          <w:szCs w:val="19"/>
        </w:rPr>
        <w:t>6</w:t>
      </w:r>
      <w:r w:rsidR="00C920E8" w:rsidRPr="00E366FB">
        <w:rPr>
          <w:rFonts w:eastAsia="Fira Sans Light" w:cs="Times New Roman"/>
          <w:spacing w:val="-2"/>
          <w:szCs w:val="19"/>
        </w:rPr>
        <w:t>,</w:t>
      </w:r>
      <w:r w:rsidR="00FC3AEA">
        <w:rPr>
          <w:rFonts w:eastAsia="Fira Sans Light" w:cs="Times New Roman"/>
          <w:spacing w:val="-2"/>
          <w:szCs w:val="19"/>
        </w:rPr>
        <w:t>0</w:t>
      </w:r>
      <w:r w:rsidR="00C920E8" w:rsidRPr="00E366FB">
        <w:rPr>
          <w:rFonts w:eastAsia="Fira Sans Light" w:cs="Times New Roman"/>
          <w:spacing w:val="-2"/>
          <w:szCs w:val="19"/>
        </w:rPr>
        <w:t> </w:t>
      </w:r>
      <w:r w:rsidRPr="00E366FB">
        <w:rPr>
          <w:rFonts w:eastAsia="Fira Sans Light" w:cs="Times New Roman"/>
          <w:spacing w:val="-2"/>
          <w:szCs w:val="19"/>
        </w:rPr>
        <w:t xml:space="preserve">mld zł oraz straty netto </w:t>
      </w:r>
      <w:r w:rsidR="00B91DD1" w:rsidRPr="00E366FB">
        <w:rPr>
          <w:rFonts w:eastAsia="Fira Sans Light" w:cs="Times New Roman"/>
          <w:spacing w:val="-2"/>
          <w:szCs w:val="19"/>
        </w:rPr>
        <w:t>24</w:t>
      </w:r>
      <w:r w:rsidRPr="00E366FB">
        <w:rPr>
          <w:rFonts w:eastAsia="Fira Sans Light" w:cs="Times New Roman"/>
          <w:spacing w:val="-2"/>
          <w:szCs w:val="19"/>
        </w:rPr>
        <w:t xml:space="preserve"> banków (</w:t>
      </w:r>
      <w:r w:rsidR="00B91DD1" w:rsidRPr="00E366FB">
        <w:rPr>
          <w:rFonts w:eastAsia="Fira Sans Light" w:cs="Times New Roman"/>
          <w:spacing w:val="-2"/>
          <w:szCs w:val="19"/>
        </w:rPr>
        <w:t>1</w:t>
      </w:r>
      <w:r w:rsidR="00FC3AEA">
        <w:rPr>
          <w:rFonts w:eastAsia="Fira Sans Light" w:cs="Times New Roman"/>
          <w:spacing w:val="-2"/>
          <w:szCs w:val="19"/>
        </w:rPr>
        <w:t>5</w:t>
      </w:r>
      <w:r w:rsidR="00C920E8" w:rsidRPr="00E366FB">
        <w:rPr>
          <w:rFonts w:eastAsia="Fira Sans Light" w:cs="Times New Roman"/>
          <w:spacing w:val="-2"/>
          <w:szCs w:val="19"/>
        </w:rPr>
        <w:t xml:space="preserve"> </w:t>
      </w:r>
      <w:r w:rsidRPr="00E366FB">
        <w:rPr>
          <w:rFonts w:eastAsia="Fira Sans Light" w:cs="Times New Roman"/>
          <w:spacing w:val="-2"/>
          <w:szCs w:val="19"/>
        </w:rPr>
        <w:t xml:space="preserve">komercyjnych, w tym </w:t>
      </w:r>
      <w:r w:rsidR="00C920E8" w:rsidRPr="00E366FB">
        <w:rPr>
          <w:rFonts w:eastAsia="Fira Sans Light" w:cs="Times New Roman"/>
          <w:spacing w:val="-2"/>
          <w:szCs w:val="19"/>
        </w:rPr>
        <w:t>1</w:t>
      </w:r>
      <w:r w:rsidR="00FC3AEA">
        <w:rPr>
          <w:rFonts w:eastAsia="Fira Sans Light" w:cs="Times New Roman"/>
          <w:spacing w:val="-2"/>
          <w:szCs w:val="19"/>
        </w:rPr>
        <w:t>0</w:t>
      </w:r>
      <w:r w:rsidRPr="00E366FB">
        <w:rPr>
          <w:rFonts w:eastAsia="Fira Sans Light" w:cs="Times New Roman"/>
          <w:spacing w:val="-2"/>
          <w:szCs w:val="19"/>
        </w:rPr>
        <w:t xml:space="preserve"> oddziałów instytucji kredytowych oraz </w:t>
      </w:r>
      <w:r w:rsidR="00FC3AEA">
        <w:rPr>
          <w:rFonts w:eastAsia="Fira Sans Light" w:cs="Times New Roman"/>
          <w:spacing w:val="-2"/>
          <w:szCs w:val="19"/>
        </w:rPr>
        <w:t>9</w:t>
      </w:r>
      <w:r w:rsidRPr="00E366FB">
        <w:rPr>
          <w:rFonts w:eastAsia="Fira Sans Light" w:cs="Times New Roman"/>
          <w:spacing w:val="-2"/>
          <w:szCs w:val="19"/>
        </w:rPr>
        <w:t xml:space="preserve"> bank</w:t>
      </w:r>
      <w:r w:rsidR="00C920E8" w:rsidRPr="00E366FB">
        <w:rPr>
          <w:rFonts w:eastAsia="Fira Sans Light" w:cs="Times New Roman"/>
          <w:spacing w:val="-2"/>
          <w:szCs w:val="19"/>
        </w:rPr>
        <w:t>ów</w:t>
      </w:r>
      <w:r w:rsidRPr="00E366FB">
        <w:rPr>
          <w:rFonts w:eastAsia="Fira Sans Light" w:cs="Times New Roman"/>
          <w:spacing w:val="-2"/>
          <w:szCs w:val="19"/>
        </w:rPr>
        <w:t xml:space="preserve"> spółdzielcz</w:t>
      </w:r>
      <w:r w:rsidR="00C920E8" w:rsidRPr="00E366FB">
        <w:rPr>
          <w:rFonts w:eastAsia="Fira Sans Light" w:cs="Times New Roman"/>
          <w:spacing w:val="-2"/>
          <w:szCs w:val="19"/>
        </w:rPr>
        <w:t>ych</w:t>
      </w:r>
      <w:r w:rsidRPr="00E366FB">
        <w:rPr>
          <w:rFonts w:eastAsia="Fira Sans Light" w:cs="Times New Roman"/>
          <w:spacing w:val="-2"/>
          <w:szCs w:val="19"/>
        </w:rPr>
        <w:t>)</w:t>
      </w:r>
      <w:r w:rsidR="00C302B5" w:rsidRPr="00E366FB">
        <w:rPr>
          <w:rFonts w:eastAsia="Fira Sans Light" w:cs="Times New Roman"/>
          <w:spacing w:val="-2"/>
          <w:szCs w:val="19"/>
        </w:rPr>
        <w:t xml:space="preserve"> o wartości </w:t>
      </w:r>
      <w:r w:rsidR="00FC3AEA">
        <w:rPr>
          <w:rFonts w:eastAsia="Fira Sans Light" w:cs="Times New Roman"/>
          <w:spacing w:val="-2"/>
          <w:szCs w:val="19"/>
        </w:rPr>
        <w:t>1</w:t>
      </w:r>
      <w:r w:rsidR="00C302B5" w:rsidRPr="00E366FB">
        <w:rPr>
          <w:rFonts w:eastAsia="Fira Sans Light" w:cs="Times New Roman"/>
          <w:spacing w:val="-2"/>
          <w:szCs w:val="19"/>
        </w:rPr>
        <w:t>,</w:t>
      </w:r>
      <w:r w:rsidR="00FC3AEA">
        <w:rPr>
          <w:rFonts w:eastAsia="Fira Sans Light" w:cs="Times New Roman"/>
          <w:spacing w:val="-2"/>
          <w:szCs w:val="19"/>
        </w:rPr>
        <w:t>3</w:t>
      </w:r>
      <w:r w:rsidR="00C302B5" w:rsidRPr="00E366FB">
        <w:rPr>
          <w:rFonts w:eastAsia="Fira Sans Light" w:cs="Times New Roman"/>
          <w:spacing w:val="-2"/>
          <w:szCs w:val="19"/>
        </w:rPr>
        <w:t> mld zł.</w:t>
      </w:r>
    </w:p>
    <w:p w:rsidR="00E648D4" w:rsidRDefault="00E648D4">
      <w:pPr>
        <w:spacing w:before="0" w:after="160" w:line="259" w:lineRule="auto"/>
        <w:rPr>
          <w:rFonts w:eastAsia="Fira Sans Light" w:cs="Times New Roman"/>
          <w:spacing w:val="-2"/>
          <w:szCs w:val="19"/>
        </w:rPr>
      </w:pPr>
      <w:r>
        <w:rPr>
          <w:rFonts w:eastAsia="Fira Sans Light" w:cs="Times New Roman"/>
          <w:spacing w:val="-2"/>
          <w:szCs w:val="19"/>
        </w:rPr>
        <w:br w:type="page"/>
      </w:r>
    </w:p>
    <w:p w:rsidR="00A55AAF" w:rsidRDefault="000A33CB">
      <w:pPr>
        <w:rPr>
          <w:rFonts w:eastAsia="Fira Sans Light" w:cs="Times New Roman"/>
          <w:b/>
          <w:spacing w:val="-2"/>
          <w:sz w:val="18"/>
        </w:rPr>
      </w:pPr>
      <w:r>
        <w:rPr>
          <w:rFonts w:eastAsia="Fira Sans Light" w:cs="Times New Roman"/>
          <w:b/>
          <w:spacing w:val="-2"/>
          <w:sz w:val="18"/>
        </w:rPr>
        <w:lastRenderedPageBreak/>
        <w:t>Wykres 1.</w:t>
      </w:r>
      <w:r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 Struktura całkowitych przychodów operacyjnych, </w:t>
      </w:r>
      <w:r w:rsidRPr="007C7560">
        <w:rPr>
          <w:rFonts w:eastAsia="Fira Sans Light" w:cs="Times New Roman"/>
          <w:b/>
          <w:spacing w:val="-2"/>
          <w:sz w:val="18"/>
          <w:shd w:val="clear" w:color="auto" w:fill="FFFFFF"/>
        </w:rPr>
        <w:t>netto</w:t>
      </w:r>
      <w:r w:rsidR="009A1EAC" w:rsidRPr="007C7560"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 (w %</w:t>
      </w:r>
      <w:r w:rsidR="003312D7" w:rsidRPr="007C7560">
        <w:rPr>
          <w:rFonts w:eastAsia="Fira Sans Light" w:cs="Times New Roman"/>
          <w:b/>
          <w:spacing w:val="-2"/>
          <w:sz w:val="18"/>
          <w:shd w:val="clear" w:color="auto" w:fill="FFFFFF"/>
        </w:rPr>
        <w:t>, zmiany w p. proc.</w:t>
      </w:r>
      <w:r w:rsidR="009A1EAC" w:rsidRPr="007C7560">
        <w:rPr>
          <w:rFonts w:eastAsia="Fira Sans Light" w:cs="Times New Roman"/>
          <w:b/>
          <w:spacing w:val="-2"/>
          <w:sz w:val="18"/>
          <w:shd w:val="clear" w:color="auto" w:fill="FFFFFF"/>
        </w:rPr>
        <w:t>)</w:t>
      </w:r>
    </w:p>
    <w:p w:rsidR="00C6753E" w:rsidRDefault="007C7560" w:rsidP="00B47FC4">
      <w:pPr>
        <w:keepNext/>
        <w:spacing w:before="240" w:line="240" w:lineRule="auto"/>
        <w:jc w:val="both"/>
        <w:outlineLvl w:val="0"/>
        <w:rPr>
          <w:rFonts w:ascii="Fira Sans SemiBold" w:eastAsia="Times New Roman" w:hAnsi="Fira Sans SemiBold" w:cs="Times New Roman"/>
          <w:bCs/>
          <w:noProof/>
          <w:color w:val="001D77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3024806</wp:posOffset>
                </wp:positionV>
                <wp:extent cx="1648460" cy="831850"/>
                <wp:effectExtent l="0" t="0" r="0" b="6350"/>
                <wp:wrapTight wrapText="bothSides">
                  <wp:wrapPolygon edited="0">
                    <wp:start x="749" y="0"/>
                    <wp:lineTo x="749" y="21270"/>
                    <wp:lineTo x="20718" y="21270"/>
                    <wp:lineTo x="20718" y="0"/>
                    <wp:lineTo x="749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6E04F3" w:rsidP="002724B6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Wzrost sumy </w:t>
                            </w:r>
                            <w:r w:rsidR="00380AB2">
                              <w:t>bilansowej</w:t>
                            </w:r>
                            <w:r w:rsidR="00C809BD">
                              <w:t xml:space="preserve"> </w:t>
                            </w:r>
                            <w:r w:rsidR="00A425D1">
                              <w:t>banków</w:t>
                            </w:r>
                            <w:r w:rsidR="00435134">
                              <w:t xml:space="preserve"> </w:t>
                            </w:r>
                            <w:r w:rsidR="00C809BD">
                              <w:t>o 1</w:t>
                            </w:r>
                            <w:r w:rsidR="00FC3AEA">
                              <w:t>17</w:t>
                            </w:r>
                            <w:r w:rsidR="00B91DD1">
                              <w:t>,</w:t>
                            </w:r>
                            <w:r w:rsidR="00FC3AEA">
                              <w:t>1</w:t>
                            </w:r>
                            <w:r w:rsidR="00C809BD">
                              <w:t> mld zł</w:t>
                            </w:r>
                            <w:r w:rsidR="002724B6">
                              <w:t>,</w:t>
                            </w:r>
                            <w:r w:rsidR="00380AB2">
                              <w:t xml:space="preserve"> </w:t>
                            </w:r>
                            <w:r w:rsidR="00B526D4">
                              <w:br/>
                            </w:r>
                            <w:r w:rsidR="002724B6">
                              <w:t xml:space="preserve">w tym </w:t>
                            </w:r>
                            <w:r w:rsidR="00380AB2">
                              <w:t>kapitałów</w:t>
                            </w:r>
                            <w:r w:rsidR="00B526D4">
                              <w:t xml:space="preserve"> </w:t>
                            </w:r>
                            <w:r w:rsidR="00380AB2">
                              <w:t>własnych</w:t>
                            </w:r>
                            <w:r w:rsidR="00C809BD">
                              <w:t xml:space="preserve"> o</w:t>
                            </w:r>
                            <w:r w:rsidR="00A425D1">
                              <w:t> </w:t>
                            </w:r>
                            <w:r w:rsidR="00F27C3F">
                              <w:t>2</w:t>
                            </w:r>
                            <w:r w:rsidR="00C809BD">
                              <w:t>,</w:t>
                            </w:r>
                            <w:r w:rsidR="00F27C3F">
                              <w:t>3</w:t>
                            </w:r>
                            <w:r w:rsidR="00C809BD">
                              <w:t> mld zł</w:t>
                            </w:r>
                            <w:r>
                              <w:t>.</w:t>
                            </w:r>
                          </w:p>
                          <w:p w:rsidR="006E04F3" w:rsidRDefault="006E04F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left:0;text-align:left;margin-left:426.2pt;margin-top:238.15pt;width:129.8pt;height:65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" filled="f" stroked="f">
                <v:textbox>
                  <w:txbxContent>
                    <w:p w:rsidR="006E04F3" w:rsidRDefault="006E04F3" w:rsidP="002724B6">
                      <w:pPr>
                        <w:pStyle w:val="tekstzboku"/>
                        <w:spacing w:before="0"/>
                      </w:pPr>
                      <w:r>
                        <w:t xml:space="preserve">Wzrost sumy </w:t>
                      </w:r>
                      <w:r w:rsidR="00380AB2">
                        <w:t>bilansowej</w:t>
                      </w:r>
                      <w:r w:rsidR="00C809BD">
                        <w:t xml:space="preserve"> </w:t>
                      </w:r>
                      <w:r w:rsidR="00A425D1">
                        <w:t>banków</w:t>
                      </w:r>
                      <w:r w:rsidR="00435134">
                        <w:t xml:space="preserve"> </w:t>
                      </w:r>
                      <w:r w:rsidR="00C809BD">
                        <w:t>o 1</w:t>
                      </w:r>
                      <w:r w:rsidR="00FC3AEA">
                        <w:t>17</w:t>
                      </w:r>
                      <w:r w:rsidR="00B91DD1">
                        <w:t>,</w:t>
                      </w:r>
                      <w:r w:rsidR="00FC3AEA">
                        <w:t>1</w:t>
                      </w:r>
                      <w:r w:rsidR="00C809BD">
                        <w:t> mld zł</w:t>
                      </w:r>
                      <w:r w:rsidR="002724B6">
                        <w:t>,</w:t>
                      </w:r>
                      <w:r w:rsidR="00380AB2">
                        <w:t xml:space="preserve"> </w:t>
                      </w:r>
                      <w:r w:rsidR="00B526D4">
                        <w:br/>
                      </w:r>
                      <w:r w:rsidR="002724B6">
                        <w:t xml:space="preserve">w tym </w:t>
                      </w:r>
                      <w:r w:rsidR="00380AB2">
                        <w:t>kapitałów</w:t>
                      </w:r>
                      <w:r w:rsidR="00B526D4">
                        <w:t xml:space="preserve"> </w:t>
                      </w:r>
                      <w:r w:rsidR="00380AB2">
                        <w:t>własnych</w:t>
                      </w:r>
                      <w:r w:rsidR="00C809BD">
                        <w:t xml:space="preserve"> o</w:t>
                      </w:r>
                      <w:r w:rsidR="00A425D1">
                        <w:t> </w:t>
                      </w:r>
                      <w:r w:rsidR="00F27C3F">
                        <w:t>2</w:t>
                      </w:r>
                      <w:r w:rsidR="00C809BD">
                        <w:t>,</w:t>
                      </w:r>
                      <w:r w:rsidR="00F27C3F">
                        <w:t>3</w:t>
                      </w:r>
                      <w:r w:rsidR="00C809BD">
                        <w:t> mld zł</w:t>
                      </w:r>
                      <w:r>
                        <w:t>.</w:t>
                      </w:r>
                    </w:p>
                    <w:p w:rsidR="006E04F3" w:rsidRDefault="006E04F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0C12">
        <w:rPr>
          <w:noProof/>
          <w:lang w:eastAsia="pl-PL"/>
        </w:rPr>
        <w:drawing>
          <wp:inline distT="0" distB="0" distL="0" distR="0" wp14:anchorId="58EFE69D" wp14:editId="6BB30E9F">
            <wp:extent cx="5280338" cy="2832735"/>
            <wp:effectExtent l="0" t="0" r="0" b="571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AAF" w:rsidRDefault="000A33CB" w:rsidP="00B47FC4">
      <w:pPr>
        <w:keepNext/>
        <w:spacing w:before="240" w:line="240" w:lineRule="auto"/>
        <w:jc w:val="both"/>
        <w:outlineLvl w:val="0"/>
        <w:rPr>
          <w:rFonts w:eastAsia="Fira Sans Light" w:cs="Times New Roman"/>
          <w:sz w:val="18"/>
        </w:rPr>
      </w:pPr>
      <w:r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Tablica 2. Wybrane pozycje bilansowe </w:t>
      </w:r>
      <w:r w:rsidR="007C5D07"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sektora </w:t>
      </w:r>
      <w:r>
        <w:rPr>
          <w:rFonts w:eastAsia="Fira Sans Light" w:cs="Times New Roman"/>
          <w:b/>
          <w:spacing w:val="-2"/>
          <w:sz w:val="18"/>
          <w:shd w:val="clear" w:color="auto" w:fill="FFFFFF"/>
        </w:rPr>
        <w:t>bank</w:t>
      </w:r>
      <w:r w:rsidR="007C5D07">
        <w:rPr>
          <w:rFonts w:eastAsia="Fira Sans Light" w:cs="Times New Roman"/>
          <w:b/>
          <w:spacing w:val="-2"/>
          <w:sz w:val="18"/>
          <w:shd w:val="clear" w:color="auto" w:fill="FFFFFF"/>
        </w:rPr>
        <w:t>o</w:t>
      </w:r>
      <w:r>
        <w:rPr>
          <w:rFonts w:eastAsia="Fira Sans Light" w:cs="Times New Roman"/>
          <w:b/>
          <w:spacing w:val="-2"/>
          <w:sz w:val="18"/>
          <w:shd w:val="clear" w:color="auto" w:fill="FFFFFF"/>
        </w:rPr>
        <w:t>w</w:t>
      </w:r>
      <w:r w:rsidR="007C5D07">
        <w:rPr>
          <w:rFonts w:eastAsia="Fira Sans Light" w:cs="Times New Roman"/>
          <w:b/>
          <w:spacing w:val="-2"/>
          <w:sz w:val="18"/>
          <w:shd w:val="clear" w:color="auto" w:fill="FFFFFF"/>
        </w:rPr>
        <w:t>ego</w:t>
      </w:r>
    </w:p>
    <w:tbl>
      <w:tblPr>
        <w:tblStyle w:val="GridTableLight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00"/>
        <w:gridCol w:w="960"/>
        <w:gridCol w:w="961"/>
        <w:gridCol w:w="867"/>
      </w:tblGrid>
      <w:tr w:rsidR="00A55AAF">
        <w:trPr>
          <w:trHeight w:val="57"/>
        </w:trPr>
        <w:tc>
          <w:tcPr>
            <w:tcW w:w="5400" w:type="dxa"/>
            <w:vMerge w:val="restart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60" w:type="dxa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8" w:type="dxa"/>
            <w:gridSpan w:val="2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2018</w:t>
            </w:r>
          </w:p>
        </w:tc>
      </w:tr>
      <w:tr w:rsidR="00A55AAF">
        <w:trPr>
          <w:trHeight w:val="454"/>
        </w:trPr>
        <w:tc>
          <w:tcPr>
            <w:tcW w:w="5400" w:type="dxa"/>
            <w:vMerge/>
            <w:tcBorders>
              <w:bottom w:val="single" w:sz="12" w:space="0" w:color="212492"/>
            </w:tcBorders>
            <w:vAlign w:val="center"/>
          </w:tcPr>
          <w:p w:rsidR="00A55AAF" w:rsidRDefault="00A55AAF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2"/>
            <w:tcBorders>
              <w:bottom w:val="single" w:sz="12" w:space="0" w:color="212492"/>
            </w:tcBorders>
            <w:vAlign w:val="center"/>
          </w:tcPr>
          <w:p w:rsidR="00A55AAF" w:rsidRDefault="000A33C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A55AAF" w:rsidRDefault="001D0C12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Fira Sans Light" w:cs="Times New Roman"/>
                <w:color w:val="000000"/>
                <w:sz w:val="16"/>
                <w:szCs w:val="16"/>
              </w:rPr>
              <w:t>2017=100</w:t>
            </w:r>
          </w:p>
        </w:tc>
      </w:tr>
      <w:tr w:rsidR="004821C2" w:rsidTr="004821C2">
        <w:trPr>
          <w:trHeight w:val="283"/>
        </w:trPr>
        <w:tc>
          <w:tcPr>
            <w:tcW w:w="5400" w:type="dxa"/>
            <w:tcBorders>
              <w:top w:val="single" w:sz="12" w:space="0" w:color="212492"/>
            </w:tcBorders>
            <w:vAlign w:val="center"/>
          </w:tcPr>
          <w:p w:rsidR="004821C2" w:rsidRDefault="004821C2" w:rsidP="004821C2">
            <w:pPr>
              <w:tabs>
                <w:tab w:val="right" w:leader="dot" w:pos="5103"/>
                <w:tab w:val="left" w:leader="dot" w:pos="6237"/>
              </w:tabs>
              <w:spacing w:before="0" w:after="0"/>
              <w:rPr>
                <w:rFonts w:eastAsia="Fira Sans Light" w:cs="Tahoma"/>
                <w:b/>
                <w:sz w:val="16"/>
                <w:szCs w:val="16"/>
              </w:rPr>
            </w:pPr>
            <w:r>
              <w:rPr>
                <w:rFonts w:eastAsia="Fira Sans Light" w:cs="Tahoma"/>
                <w:b/>
                <w:sz w:val="16"/>
                <w:szCs w:val="16"/>
              </w:rPr>
              <w:t>Suma bilansowa</w:t>
            </w:r>
            <w:r>
              <w:rPr>
                <w:rFonts w:eastAsia="Fira Sans Light" w:cs="Tahoma"/>
                <w:b/>
                <w:color w:val="000000"/>
                <w:sz w:val="16"/>
                <w:szCs w:val="16"/>
              </w:rPr>
              <w:t>,</w:t>
            </w:r>
            <w:r>
              <w:rPr>
                <w:rFonts w:eastAsia="Fira Sans Light" w:cs="Tahoma"/>
                <w:b/>
                <w:bCs/>
                <w:sz w:val="16"/>
                <w:szCs w:val="16"/>
              </w:rPr>
              <w:t xml:space="preserve"> </w:t>
            </w:r>
            <w:r w:rsidRPr="009E5124">
              <w:rPr>
                <w:rFonts w:eastAsia="Fira Sans Light" w:cs="Tahoma"/>
                <w:bCs/>
                <w:sz w:val="16"/>
                <w:szCs w:val="16"/>
              </w:rPr>
              <w:t>w tym:</w:t>
            </w:r>
            <w:r>
              <w:rPr>
                <w:rFonts w:eastAsia="Fira Sans Light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212492"/>
            </w:tcBorders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1 772 069</w:t>
            </w:r>
          </w:p>
        </w:tc>
        <w:tc>
          <w:tcPr>
            <w:tcW w:w="961" w:type="dxa"/>
            <w:tcBorders>
              <w:top w:val="single" w:sz="12" w:space="0" w:color="212492"/>
            </w:tcBorders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1 889 124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106,6</w:t>
            </w:r>
          </w:p>
        </w:tc>
      </w:tr>
      <w:tr w:rsidR="004821C2" w:rsidTr="004821C2">
        <w:trPr>
          <w:trHeight w:val="283"/>
        </w:trPr>
        <w:tc>
          <w:tcPr>
            <w:tcW w:w="5400" w:type="dxa"/>
            <w:vAlign w:val="center"/>
          </w:tcPr>
          <w:p w:rsidR="004821C2" w:rsidRDefault="004821C2" w:rsidP="004821C2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170"/>
              <w:rPr>
                <w:rFonts w:eastAsia="Fira Sans Light" w:cs="Tahoma"/>
                <w:color w:val="000000"/>
                <w:sz w:val="16"/>
                <w:szCs w:val="16"/>
              </w:rPr>
            </w:pPr>
            <w:r>
              <w:rPr>
                <w:rFonts w:eastAsia="Fira Sans Light" w:cs="Tahoma"/>
                <w:color w:val="000000"/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960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1 282 254</w:t>
            </w:r>
          </w:p>
        </w:tc>
        <w:tc>
          <w:tcPr>
            <w:tcW w:w="961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1 343 574</w:t>
            </w:r>
          </w:p>
        </w:tc>
        <w:tc>
          <w:tcPr>
            <w:tcW w:w="867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104,8</w:t>
            </w:r>
          </w:p>
        </w:tc>
      </w:tr>
      <w:tr w:rsidR="004821C2" w:rsidTr="004821C2">
        <w:trPr>
          <w:trHeight w:val="283"/>
        </w:trPr>
        <w:tc>
          <w:tcPr>
            <w:tcW w:w="5400" w:type="dxa"/>
            <w:vAlign w:val="center"/>
          </w:tcPr>
          <w:p w:rsidR="004821C2" w:rsidRDefault="004821C2" w:rsidP="004821C2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57"/>
              <w:rPr>
                <w:rFonts w:eastAsia="Fira Sans Light" w:cs="Tahoma"/>
                <w:color w:val="000000"/>
                <w:sz w:val="16"/>
                <w:szCs w:val="16"/>
              </w:rPr>
            </w:pPr>
            <w:r>
              <w:rPr>
                <w:rFonts w:eastAsia="Fira Sans Light" w:cs="Tahoma"/>
                <w:color w:val="000000"/>
                <w:sz w:val="16"/>
                <w:szCs w:val="16"/>
              </w:rPr>
              <w:t>Zobowiązania razem,</w:t>
            </w:r>
            <w:r>
              <w:rPr>
                <w:rFonts w:eastAsia="Fira Sans Light" w:cs="Tahoma"/>
                <w:bCs/>
                <w:sz w:val="16"/>
                <w:szCs w:val="16"/>
              </w:rPr>
              <w:t xml:space="preserve"> w tym:</w:t>
            </w:r>
          </w:p>
        </w:tc>
        <w:tc>
          <w:tcPr>
            <w:tcW w:w="960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1 568 164</w:t>
            </w:r>
          </w:p>
        </w:tc>
        <w:tc>
          <w:tcPr>
            <w:tcW w:w="961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1 682 922</w:t>
            </w:r>
          </w:p>
        </w:tc>
        <w:tc>
          <w:tcPr>
            <w:tcW w:w="867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107,3</w:t>
            </w:r>
          </w:p>
        </w:tc>
      </w:tr>
      <w:tr w:rsidR="004821C2" w:rsidTr="004821C2">
        <w:trPr>
          <w:trHeight w:val="283"/>
        </w:trPr>
        <w:tc>
          <w:tcPr>
            <w:tcW w:w="5400" w:type="dxa"/>
            <w:vAlign w:val="center"/>
          </w:tcPr>
          <w:p w:rsidR="004821C2" w:rsidRDefault="004821C2" w:rsidP="004821C2">
            <w:pPr>
              <w:tabs>
                <w:tab w:val="left" w:leader="dot" w:pos="6237"/>
              </w:tabs>
              <w:spacing w:before="0" w:after="0"/>
              <w:ind w:left="170"/>
              <w:rPr>
                <w:rFonts w:eastAsia="Fira Sans Light" w:cs="Times New Roman"/>
                <w:sz w:val="16"/>
                <w:szCs w:val="16"/>
              </w:rPr>
            </w:pPr>
            <w:r>
              <w:rPr>
                <w:rFonts w:eastAsia="Fira Sans Light" w:cs="Times New Roman"/>
                <w:sz w:val="16"/>
                <w:szCs w:val="16"/>
              </w:rPr>
              <w:t xml:space="preserve">zobowiązania finansowe wyceniane według zamortyzowanego kosztu </w:t>
            </w:r>
          </w:p>
        </w:tc>
        <w:tc>
          <w:tcPr>
            <w:tcW w:w="960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1 505 004</w:t>
            </w:r>
          </w:p>
        </w:tc>
        <w:tc>
          <w:tcPr>
            <w:tcW w:w="961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1 618 773</w:t>
            </w:r>
          </w:p>
        </w:tc>
        <w:tc>
          <w:tcPr>
            <w:tcW w:w="867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107,6</w:t>
            </w:r>
          </w:p>
        </w:tc>
      </w:tr>
      <w:tr w:rsidR="004821C2" w:rsidTr="004821C2">
        <w:trPr>
          <w:trHeight w:val="283"/>
        </w:trPr>
        <w:tc>
          <w:tcPr>
            <w:tcW w:w="5400" w:type="dxa"/>
            <w:vAlign w:val="center"/>
          </w:tcPr>
          <w:p w:rsidR="004821C2" w:rsidRDefault="004821C2" w:rsidP="004821C2">
            <w:pPr>
              <w:tabs>
                <w:tab w:val="right" w:leader="dot" w:pos="5103"/>
              </w:tabs>
              <w:spacing w:before="0" w:after="0"/>
              <w:ind w:left="57"/>
              <w:rPr>
                <w:rFonts w:eastAsia="Fira Sans Light" w:cs="Tahoma"/>
                <w:bCs/>
                <w:sz w:val="16"/>
                <w:szCs w:val="16"/>
              </w:rPr>
            </w:pPr>
            <w:r>
              <w:rPr>
                <w:rFonts w:eastAsia="Fira Sans Light" w:cs="Tahoma"/>
                <w:bCs/>
                <w:sz w:val="16"/>
                <w:szCs w:val="16"/>
              </w:rPr>
              <w:t>Kapitały własne</w:t>
            </w:r>
          </w:p>
        </w:tc>
        <w:tc>
          <w:tcPr>
            <w:tcW w:w="960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203 905</w:t>
            </w:r>
          </w:p>
        </w:tc>
        <w:tc>
          <w:tcPr>
            <w:tcW w:w="961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206 202</w:t>
            </w:r>
          </w:p>
        </w:tc>
        <w:tc>
          <w:tcPr>
            <w:tcW w:w="867" w:type="dxa"/>
            <w:vAlign w:val="center"/>
          </w:tcPr>
          <w:p w:rsidR="004821C2" w:rsidRPr="004821C2" w:rsidRDefault="004821C2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101,1</w:t>
            </w:r>
          </w:p>
        </w:tc>
      </w:tr>
    </w:tbl>
    <w:p w:rsidR="00A55AAF" w:rsidRDefault="00D450CB" w:rsidP="007C7560">
      <w:pPr>
        <w:spacing w:before="240"/>
        <w:rPr>
          <w:rFonts w:eastAsia="Fira Sans Light" w:cs="Times New Roman"/>
          <w:shd w:val="clear" w:color="auto" w:fill="FFFFFF"/>
        </w:rPr>
      </w:pPr>
      <w:r>
        <w:rPr>
          <w:rFonts w:eastAsia="Fira Sans Light" w:cs="Times New Roman"/>
          <w:shd w:val="clear" w:color="auto" w:fill="FFFFFF"/>
        </w:rPr>
        <w:t>Według stanu w dniu</w:t>
      </w:r>
      <w:r w:rsidR="00FC3AEA">
        <w:rPr>
          <w:rFonts w:eastAsia="Fira Sans Light" w:cs="Times New Roman"/>
          <w:shd w:val="clear" w:color="auto" w:fill="FFFFFF"/>
        </w:rPr>
        <w:t xml:space="preserve"> 31 </w:t>
      </w:r>
      <w:r w:rsidR="001D0C12">
        <w:rPr>
          <w:rFonts w:eastAsia="Fira Sans Light" w:cs="Times New Roman"/>
          <w:shd w:val="clear" w:color="auto" w:fill="FFFFFF"/>
        </w:rPr>
        <w:t>grud</w:t>
      </w:r>
      <w:r>
        <w:rPr>
          <w:rFonts w:eastAsia="Fira Sans Light" w:cs="Times New Roman"/>
          <w:shd w:val="clear" w:color="auto" w:fill="FFFFFF"/>
        </w:rPr>
        <w:t>nia 2018 r. n</w:t>
      </w:r>
      <w:r w:rsidR="000A33CB">
        <w:rPr>
          <w:rFonts w:eastAsia="Fira Sans Light" w:cs="Times New Roman"/>
          <w:shd w:val="clear" w:color="auto" w:fill="FFFFFF"/>
        </w:rPr>
        <w:t xml:space="preserve">ajwiększą pozycją aktywów </w:t>
      </w:r>
      <w:r w:rsidR="00543D4F">
        <w:rPr>
          <w:rFonts w:eastAsia="Fira Sans Light" w:cs="Times New Roman"/>
          <w:shd w:val="clear" w:color="auto" w:fill="FFFFFF"/>
        </w:rPr>
        <w:t xml:space="preserve">sektora bankowego </w:t>
      </w:r>
      <w:r w:rsidR="000A33CB">
        <w:rPr>
          <w:rFonts w:eastAsia="Fira Sans Light" w:cs="Times New Roman"/>
          <w:shd w:val="clear" w:color="auto" w:fill="FFFFFF"/>
        </w:rPr>
        <w:t xml:space="preserve">były aktywa finansowe wyceniane według zamortyzowanego kosztu i stanowiły one </w:t>
      </w:r>
      <w:r w:rsidR="00C04E04">
        <w:rPr>
          <w:rFonts w:eastAsia="Fira Sans Light" w:cs="Times New Roman"/>
          <w:shd w:val="clear" w:color="auto" w:fill="FFFFFF"/>
        </w:rPr>
        <w:t>71,</w:t>
      </w:r>
      <w:r w:rsidR="0014178A">
        <w:rPr>
          <w:rFonts w:eastAsia="Fira Sans Light" w:cs="Times New Roman"/>
          <w:shd w:val="clear" w:color="auto" w:fill="FFFFFF"/>
        </w:rPr>
        <w:t>1</w:t>
      </w:r>
      <w:r w:rsidR="000A33CB">
        <w:rPr>
          <w:rFonts w:eastAsia="Fira Sans Light" w:cs="Times New Roman"/>
          <w:shd w:val="clear" w:color="auto" w:fill="FFFFFF"/>
        </w:rPr>
        <w:t>% aktywów. Po stronie pasywów dominującą pozycją były zobowiązania finansowe wyceniane według zamortyzowanego kosztu</w:t>
      </w:r>
      <w:r w:rsidR="00A425D1">
        <w:rPr>
          <w:rFonts w:eastAsia="Fira Sans Light" w:cs="Times New Roman"/>
          <w:shd w:val="clear" w:color="auto" w:fill="FFFFFF"/>
        </w:rPr>
        <w:t>, które</w:t>
      </w:r>
      <w:r w:rsidR="000A33CB">
        <w:rPr>
          <w:rFonts w:eastAsia="Fira Sans Light" w:cs="Times New Roman"/>
          <w:shd w:val="clear" w:color="auto" w:fill="FFFFFF"/>
        </w:rPr>
        <w:t xml:space="preserve"> stanowił</w:t>
      </w:r>
      <w:r w:rsidR="00A425D1">
        <w:rPr>
          <w:rFonts w:eastAsia="Fira Sans Light" w:cs="Times New Roman"/>
          <w:shd w:val="clear" w:color="auto" w:fill="FFFFFF"/>
        </w:rPr>
        <w:t>y</w:t>
      </w:r>
      <w:r w:rsidR="000A33CB">
        <w:rPr>
          <w:rFonts w:eastAsia="Fira Sans Light" w:cs="Times New Roman"/>
          <w:shd w:val="clear" w:color="auto" w:fill="FFFFFF"/>
        </w:rPr>
        <w:t xml:space="preserve"> </w:t>
      </w:r>
      <w:r w:rsidR="00C04E04">
        <w:rPr>
          <w:rFonts w:eastAsia="Fira Sans Light" w:cs="Times New Roman"/>
          <w:shd w:val="clear" w:color="auto" w:fill="FFFFFF"/>
        </w:rPr>
        <w:t>85,</w:t>
      </w:r>
      <w:r w:rsidR="0014178A">
        <w:rPr>
          <w:rFonts w:eastAsia="Fira Sans Light" w:cs="Times New Roman"/>
          <w:shd w:val="clear" w:color="auto" w:fill="FFFFFF"/>
        </w:rPr>
        <w:t>7</w:t>
      </w:r>
      <w:r w:rsidR="000A33CB">
        <w:rPr>
          <w:rFonts w:eastAsia="Fira Sans Light" w:cs="Times New Roman"/>
          <w:shd w:val="clear" w:color="auto" w:fill="FFFFFF"/>
        </w:rPr>
        <w:t xml:space="preserve">% pasywów. </w:t>
      </w:r>
      <w:r w:rsidR="00A425D1">
        <w:rPr>
          <w:rFonts w:eastAsia="Fira Sans Light" w:cs="Times New Roman"/>
          <w:shd w:val="clear" w:color="auto" w:fill="FFFFFF"/>
        </w:rPr>
        <w:t>Udział k</w:t>
      </w:r>
      <w:r w:rsidR="000A33CB">
        <w:rPr>
          <w:rFonts w:eastAsia="Fira Sans Light" w:cs="Times New Roman"/>
          <w:shd w:val="clear" w:color="auto" w:fill="FFFFFF"/>
        </w:rPr>
        <w:t>apitał</w:t>
      </w:r>
      <w:r w:rsidR="00A425D1">
        <w:rPr>
          <w:rFonts w:eastAsia="Fira Sans Light" w:cs="Times New Roman"/>
          <w:shd w:val="clear" w:color="auto" w:fill="FFFFFF"/>
        </w:rPr>
        <w:t>ów</w:t>
      </w:r>
      <w:r w:rsidR="000A33CB">
        <w:rPr>
          <w:rFonts w:eastAsia="Fira Sans Light" w:cs="Times New Roman"/>
          <w:shd w:val="clear" w:color="auto" w:fill="FFFFFF"/>
        </w:rPr>
        <w:t xml:space="preserve"> własn</w:t>
      </w:r>
      <w:r w:rsidR="00A425D1">
        <w:rPr>
          <w:rFonts w:eastAsia="Fira Sans Light" w:cs="Times New Roman"/>
          <w:shd w:val="clear" w:color="auto" w:fill="FFFFFF"/>
        </w:rPr>
        <w:t>ych</w:t>
      </w:r>
      <w:r w:rsidR="000A33CB">
        <w:rPr>
          <w:rFonts w:eastAsia="Fira Sans Light" w:cs="Times New Roman"/>
          <w:shd w:val="clear" w:color="auto" w:fill="FFFFFF"/>
        </w:rPr>
        <w:t xml:space="preserve"> w pasywach wyniósł </w:t>
      </w:r>
      <w:r w:rsidR="00500273">
        <w:rPr>
          <w:rFonts w:eastAsia="Fira Sans Light" w:cs="Times New Roman"/>
          <w:shd w:val="clear" w:color="auto" w:fill="FFFFFF"/>
        </w:rPr>
        <w:t>1</w:t>
      </w:r>
      <w:r w:rsidR="0014178A">
        <w:rPr>
          <w:rFonts w:eastAsia="Fira Sans Light" w:cs="Times New Roman"/>
          <w:shd w:val="clear" w:color="auto" w:fill="FFFFFF"/>
        </w:rPr>
        <w:t>0</w:t>
      </w:r>
      <w:r w:rsidR="00500273">
        <w:rPr>
          <w:rFonts w:eastAsia="Fira Sans Light" w:cs="Times New Roman"/>
          <w:shd w:val="clear" w:color="auto" w:fill="FFFFFF"/>
        </w:rPr>
        <w:t>,</w:t>
      </w:r>
      <w:r w:rsidR="0014178A">
        <w:rPr>
          <w:rFonts w:eastAsia="Fira Sans Light" w:cs="Times New Roman"/>
          <w:shd w:val="clear" w:color="auto" w:fill="FFFFFF"/>
        </w:rPr>
        <w:t>9</w:t>
      </w:r>
      <w:r w:rsidR="000A33CB">
        <w:rPr>
          <w:rFonts w:eastAsia="Fira Sans Light" w:cs="Times New Roman"/>
          <w:shd w:val="clear" w:color="auto" w:fill="FFFFFF"/>
        </w:rPr>
        <w:t>%.</w:t>
      </w:r>
    </w:p>
    <w:p w:rsidR="00A55AAF" w:rsidRDefault="007C7560">
      <w:pPr>
        <w:keepNext/>
        <w:spacing w:before="0" w:after="0" w:line="240" w:lineRule="auto"/>
        <w:outlineLvl w:val="0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>
                <wp:simplePos x="0" y="0"/>
                <wp:positionH relativeFrom="column">
                  <wp:posOffset>5376143</wp:posOffset>
                </wp:positionH>
                <wp:positionV relativeFrom="paragraph">
                  <wp:posOffset>49229</wp:posOffset>
                </wp:positionV>
                <wp:extent cx="1603375" cy="882015"/>
                <wp:effectExtent l="0" t="0" r="0" b="0"/>
                <wp:wrapTight wrapText="bothSides">
                  <wp:wrapPolygon edited="0">
                    <wp:start x="770" y="0"/>
                    <wp:lineTo x="770" y="20994"/>
                    <wp:lineTo x="20787" y="20994"/>
                    <wp:lineTo x="20787" y="0"/>
                    <wp:lineTo x="77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F27C3F" w:rsidP="007C7560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W</w:t>
                            </w:r>
                            <w:r w:rsidR="006E04F3">
                              <w:t>artoś</w:t>
                            </w:r>
                            <w:r>
                              <w:t xml:space="preserve">ć </w:t>
                            </w:r>
                            <w:r w:rsidR="006E04F3">
                              <w:t>kredytów dla sektora niefinansowego</w:t>
                            </w:r>
                            <w:r w:rsidR="00C809BD">
                              <w:t xml:space="preserve"> </w:t>
                            </w:r>
                            <w:r>
                              <w:t xml:space="preserve">zwiększyła się </w:t>
                            </w:r>
                            <w:r w:rsidR="00C809BD">
                              <w:t>o</w:t>
                            </w:r>
                            <w:r w:rsidR="00266F75">
                              <w:t xml:space="preserve"> </w:t>
                            </w:r>
                            <w:r>
                              <w:t>58</w:t>
                            </w:r>
                            <w:r w:rsidR="00384D0D">
                              <w:t>,</w:t>
                            </w:r>
                            <w:r>
                              <w:t>5</w:t>
                            </w:r>
                            <w:r w:rsidR="00384D0D">
                              <w:t> mld zł</w:t>
                            </w:r>
                            <w:r w:rsidR="00904E41">
                              <w:t xml:space="preserve"> (w</w:t>
                            </w:r>
                            <w:r>
                              <w:t> </w:t>
                            </w:r>
                            <w:r w:rsidR="00904E41">
                              <w:t>tym dla gospodarstw domowych o </w:t>
                            </w:r>
                            <w:r>
                              <w:t>3</w:t>
                            </w:r>
                            <w:r w:rsidR="00B91DD1">
                              <w:t>6</w:t>
                            </w:r>
                            <w:r w:rsidR="00904E41">
                              <w:t>,</w:t>
                            </w:r>
                            <w:r>
                              <w:t>1</w:t>
                            </w:r>
                            <w:r w:rsidR="00904E41">
                              <w:t> mld </w:t>
                            </w:r>
                            <w:r w:rsidR="005E22A0">
                              <w:t>zł).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423.3pt;margin-top:3.9pt;width:126.25pt;height:69.4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" filled="f" stroked="f">
                <v:textbox>
                  <w:txbxContent>
                    <w:p w:rsidR="006E04F3" w:rsidRDefault="00F27C3F" w:rsidP="007C7560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W</w:t>
                      </w:r>
                      <w:r w:rsidR="006E04F3">
                        <w:t>artoś</w:t>
                      </w:r>
                      <w:r>
                        <w:t xml:space="preserve">ć </w:t>
                      </w:r>
                      <w:r w:rsidR="006E04F3">
                        <w:t>kredytów dla sektora niefinansowego</w:t>
                      </w:r>
                      <w:r w:rsidR="00C809BD">
                        <w:t xml:space="preserve"> </w:t>
                      </w:r>
                      <w:r>
                        <w:t xml:space="preserve">zwiększyła się </w:t>
                      </w:r>
                      <w:r w:rsidR="00C809BD">
                        <w:t>o</w:t>
                      </w:r>
                      <w:r w:rsidR="00266F75">
                        <w:t xml:space="preserve"> </w:t>
                      </w:r>
                      <w:r>
                        <w:t>58</w:t>
                      </w:r>
                      <w:r w:rsidR="00384D0D">
                        <w:t>,</w:t>
                      </w:r>
                      <w:r>
                        <w:t>5</w:t>
                      </w:r>
                      <w:r w:rsidR="00384D0D">
                        <w:t> mld zł</w:t>
                      </w:r>
                      <w:r w:rsidR="00904E41">
                        <w:t xml:space="preserve"> (w</w:t>
                      </w:r>
                      <w:r>
                        <w:t> </w:t>
                      </w:r>
                      <w:r w:rsidR="00904E41">
                        <w:t>tym dla gospodarstw domowych o </w:t>
                      </w:r>
                      <w:r>
                        <w:t>3</w:t>
                      </w:r>
                      <w:r w:rsidR="00B91DD1">
                        <w:t>6</w:t>
                      </w:r>
                      <w:r w:rsidR="00904E41">
                        <w:t>,</w:t>
                      </w:r>
                      <w:r>
                        <w:t>1</w:t>
                      </w:r>
                      <w:r w:rsidR="00904E41">
                        <w:t> mld </w:t>
                      </w:r>
                      <w:r w:rsidR="005E22A0">
                        <w:t>zł).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AAF" w:rsidRDefault="000A33CB">
      <w:pPr>
        <w:spacing w:before="0"/>
        <w:rPr>
          <w:rFonts w:eastAsia="Fira Sans Light" w:cs="Times New Roman"/>
          <w:sz w:val="18"/>
        </w:rPr>
      </w:pPr>
      <w:r>
        <w:rPr>
          <w:rFonts w:eastAsia="Fira Sans Light" w:cs="Times New Roman"/>
          <w:b/>
          <w:spacing w:val="-2"/>
          <w:sz w:val="18"/>
          <w:shd w:val="clear" w:color="auto" w:fill="FFFFFF"/>
        </w:rPr>
        <w:t>Tablica 3. Kredyty</w:t>
      </w:r>
      <w:r w:rsidR="00A766C9" w:rsidRPr="00A766C9">
        <w:rPr>
          <w:rFonts w:eastAsia="Fira Sans Light" w:cs="Arial"/>
          <w:b/>
          <w:sz w:val="16"/>
          <w:szCs w:val="16"/>
          <w:vertAlign w:val="superscript"/>
        </w:rPr>
        <w:t>3</w:t>
      </w:r>
      <w:r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 dla sektora niefinansowego oraz instytucji rządowych i samorządowych </w:t>
      </w:r>
    </w:p>
    <w:tbl>
      <w:tblPr>
        <w:tblStyle w:val="GridTableLight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A55AAF">
        <w:trPr>
          <w:trHeight w:val="57"/>
        </w:trPr>
        <w:tc>
          <w:tcPr>
            <w:tcW w:w="5211" w:type="dxa"/>
            <w:vMerge w:val="restart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22" w:type="dxa"/>
            <w:gridSpan w:val="2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2018</w:t>
            </w:r>
          </w:p>
        </w:tc>
      </w:tr>
      <w:tr w:rsidR="00A55AAF">
        <w:trPr>
          <w:trHeight w:val="57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A55AAF" w:rsidRDefault="00A55AAF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A55AAF" w:rsidRDefault="000A33C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A55AAF" w:rsidRDefault="001D0C12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Fira Sans Light" w:cs="Times New Roman"/>
                <w:color w:val="000000"/>
                <w:sz w:val="16"/>
                <w:szCs w:val="16"/>
              </w:rPr>
              <w:t>2017=100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D758CE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84AC8">
              <w:rPr>
                <w:rFonts w:eastAsia="Times New Roman" w:cs="Arial"/>
                <w:b/>
                <w:kern w:val="36"/>
                <w:sz w:val="16"/>
                <w:szCs w:val="16"/>
              </w:rPr>
              <w:t>Sektor niefinansowy</w:t>
            </w:r>
            <w:r w:rsidR="00D758CE">
              <w:rPr>
                <w:rFonts w:eastAsia="Times New Roman" w:cs="Arial"/>
                <w:sz w:val="16"/>
                <w:szCs w:val="16"/>
                <w:vertAlign w:val="superscript"/>
              </w:rPr>
              <w:t>4</w:t>
            </w:r>
            <w:r>
              <w:rPr>
                <w:rFonts w:eastAsia="Times New Roman" w:cs="Arial"/>
                <w:kern w:val="36"/>
                <w:sz w:val="16"/>
                <w:szCs w:val="16"/>
              </w:rPr>
              <w:t>, w tym: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1 040 266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1 098 767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105,6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Przedsiębiorstwa, z tego: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365 844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387 898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106,0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D758CE">
            <w:pPr>
              <w:tabs>
                <w:tab w:val="left" w:leader="dot" w:pos="6237"/>
              </w:tabs>
              <w:spacing w:before="0" w:after="0"/>
              <w:ind w:left="284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Duże przedsiębiorstwa</w:t>
            </w:r>
            <w:r w:rsidR="00D758CE">
              <w:rPr>
                <w:rFonts w:eastAsia="Times New Roman" w:cs="Arial"/>
                <w:kern w:val="36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159 289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179 441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112,7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D758CE">
            <w:pPr>
              <w:tabs>
                <w:tab w:val="left" w:leader="dot" w:pos="6237"/>
              </w:tabs>
              <w:spacing w:before="0" w:after="0"/>
              <w:ind w:left="284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MŚP</w:t>
            </w:r>
            <w:r w:rsidR="00D758CE">
              <w:rPr>
                <w:rFonts w:eastAsia="Times New Roman" w:cs="Arial"/>
                <w:kern w:val="36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206 555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208 457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100,9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Gospodarstwa domowe, w tym: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667 503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703 610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105,4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6" w:firstLine="142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84AC8">
              <w:rPr>
                <w:rFonts w:eastAsia="Times New Roman" w:cs="Arial"/>
                <w:kern w:val="36"/>
                <w:sz w:val="16"/>
                <w:szCs w:val="16"/>
              </w:rPr>
              <w:t>mieszkaniowe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390 910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417 979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106,9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318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k</w:t>
            </w:r>
            <w:r w:rsidRPr="00E84AC8">
              <w:rPr>
                <w:rFonts w:eastAsia="Times New Roman" w:cs="Arial"/>
                <w:kern w:val="36"/>
                <w:sz w:val="16"/>
                <w:szCs w:val="16"/>
              </w:rPr>
              <w:t>onsumpcyjne</w:t>
            </w: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 </w:t>
            </w:r>
            <w:r w:rsidRPr="00E84AC8">
              <w:rPr>
                <w:rFonts w:eastAsia="Times New Roman" w:cs="Arial"/>
                <w:kern w:val="36"/>
                <w:sz w:val="16"/>
                <w:szCs w:val="16"/>
              </w:rPr>
              <w:t>dla osób prywatnych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147 939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159 130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4821C2">
              <w:rPr>
                <w:sz w:val="16"/>
                <w:szCs w:val="16"/>
              </w:rPr>
              <w:t>107,6</w:t>
            </w:r>
          </w:p>
        </w:tc>
      </w:tr>
      <w:tr w:rsidR="00025AEC" w:rsidTr="004821C2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D758CE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84AC8">
              <w:rPr>
                <w:rFonts w:eastAsia="Times New Roman" w:cs="Arial"/>
                <w:b/>
                <w:kern w:val="36"/>
                <w:sz w:val="16"/>
                <w:szCs w:val="16"/>
              </w:rPr>
              <w:t>Sektor instytucji rządowych i samorządowych</w:t>
            </w:r>
            <w:r w:rsidR="00D758CE" w:rsidRPr="00D758CE">
              <w:rPr>
                <w:rFonts w:eastAsia="Times New Roman" w:cs="Arial"/>
                <w:kern w:val="3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85 805</w:t>
            </w:r>
          </w:p>
        </w:tc>
        <w:tc>
          <w:tcPr>
            <w:tcW w:w="1055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87 178</w:t>
            </w:r>
          </w:p>
        </w:tc>
        <w:tc>
          <w:tcPr>
            <w:tcW w:w="867" w:type="dxa"/>
            <w:vAlign w:val="center"/>
          </w:tcPr>
          <w:p w:rsidR="00025AEC" w:rsidRPr="004821C2" w:rsidRDefault="00025AEC" w:rsidP="004821C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4821C2">
              <w:rPr>
                <w:b/>
                <w:sz w:val="16"/>
                <w:szCs w:val="16"/>
              </w:rPr>
              <w:t>101,6</w:t>
            </w:r>
          </w:p>
        </w:tc>
      </w:tr>
    </w:tbl>
    <w:p w:rsidR="00A55AAF" w:rsidRDefault="00A55AAF">
      <w:pPr>
        <w:jc w:val="both"/>
        <w:rPr>
          <w:rFonts w:eastAsia="Fira Sans Light" w:cs="Times New Roman"/>
          <w:spacing w:val="-2"/>
          <w:szCs w:val="19"/>
          <w:shd w:val="clear" w:color="auto" w:fill="FFFFFF"/>
        </w:rPr>
      </w:pPr>
    </w:p>
    <w:p w:rsidR="00A55AAF" w:rsidRDefault="000A33CB" w:rsidP="007C7560">
      <w:pPr>
        <w:rPr>
          <w:rFonts w:eastAsia="Fira Sans Light" w:cs="Times New Roman"/>
          <w:spacing w:val="-2"/>
          <w:szCs w:val="19"/>
          <w:shd w:val="clear" w:color="auto" w:fill="FFFFFF"/>
        </w:rPr>
      </w:pPr>
      <w:r>
        <w:rPr>
          <w:rFonts w:eastAsia="Fira Sans Light" w:cs="Times New Roman"/>
          <w:spacing w:val="-2"/>
          <w:szCs w:val="19"/>
          <w:shd w:val="clear" w:color="auto" w:fill="FFFFFF"/>
        </w:rPr>
        <w:lastRenderedPageBreak/>
        <w:t xml:space="preserve">Kredyty dla przedsiębiorstw </w:t>
      </w:r>
      <w:r w:rsidR="007C7247">
        <w:rPr>
          <w:rFonts w:eastAsia="Fira Sans Light" w:cs="Times New Roman"/>
          <w:spacing w:val="-2"/>
          <w:szCs w:val="19"/>
          <w:shd w:val="clear" w:color="auto" w:fill="FFFFFF"/>
        </w:rPr>
        <w:t>zo</w:t>
      </w:r>
      <w:r w:rsidR="00500FA8">
        <w:rPr>
          <w:rFonts w:eastAsia="Fira Sans Light" w:cs="Times New Roman"/>
          <w:spacing w:val="-2"/>
          <w:szCs w:val="19"/>
          <w:shd w:val="clear" w:color="auto" w:fill="FFFFFF"/>
        </w:rPr>
        <w:t>s</w:t>
      </w:r>
      <w:r w:rsidR="007C7247">
        <w:rPr>
          <w:rFonts w:eastAsia="Fira Sans Light" w:cs="Times New Roman"/>
          <w:spacing w:val="-2"/>
          <w:szCs w:val="19"/>
          <w:shd w:val="clear" w:color="auto" w:fill="FFFFFF"/>
        </w:rPr>
        <w:t>tały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</w:t>
      </w:r>
      <w:r w:rsidR="00B526D4">
        <w:rPr>
          <w:rFonts w:eastAsia="Fira Sans Light" w:cs="Times New Roman"/>
          <w:spacing w:val="-2"/>
          <w:szCs w:val="19"/>
          <w:shd w:val="clear" w:color="auto" w:fill="FFFFFF"/>
        </w:rPr>
        <w:t>w większości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(</w:t>
      </w:r>
      <w:r w:rsidR="005A09C2">
        <w:rPr>
          <w:rFonts w:eastAsia="Fira Sans Light" w:cs="Times New Roman"/>
          <w:spacing w:val="-2"/>
          <w:szCs w:val="19"/>
          <w:shd w:val="clear" w:color="auto" w:fill="FFFFFF"/>
        </w:rPr>
        <w:t>5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3</w:t>
      </w:r>
      <w:r w:rsidR="005A09C2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7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%) zaciągnięte przez MŚP. Kredyty udzielone na nieruchomości mieszkaniowe (</w:t>
      </w:r>
      <w:r w:rsidR="0096215D" w:rsidRPr="0096215D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18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EA3BCF" w:rsidRPr="0096215D">
        <w:rPr>
          <w:rFonts w:eastAsia="Fira Sans Light" w:cs="Times New Roman"/>
          <w:spacing w:val="-2"/>
          <w:szCs w:val="19"/>
          <w:shd w:val="clear" w:color="auto" w:fill="FFFFFF"/>
        </w:rPr>
        <w:t>0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 mld zł, w tym</w:t>
      </w:r>
      <w:r w:rsidR="00845CEF">
        <w:rPr>
          <w:rFonts w:eastAsia="Fira Sans Light" w:cs="Times New Roman"/>
          <w:spacing w:val="-2"/>
          <w:szCs w:val="19"/>
          <w:shd w:val="clear" w:color="auto" w:fill="FFFFFF"/>
        </w:rPr>
        <w:t xml:space="preserve"> 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10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8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 mld zł w CHF) oraz kredyty konsumpcyjne osób prywatnych (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15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9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 mld zł) stanowiły łącznie 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8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96215D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EA3BCF">
        <w:rPr>
          <w:rFonts w:eastAsia="Fira Sans Light" w:cs="Times New Roman"/>
          <w:spacing w:val="-2"/>
          <w:szCs w:val="19"/>
          <w:shd w:val="clear" w:color="auto" w:fill="FFFFFF"/>
        </w:rPr>
        <w:t>0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 kredytów gospodarstw domowych.</w:t>
      </w:r>
    </w:p>
    <w:p w:rsidR="00A55AAF" w:rsidRDefault="000A33CB">
      <w:pPr>
        <w:spacing w:before="240"/>
        <w:rPr>
          <w:rFonts w:eastAsia="Fira Sans Light" w:cs="Times New Roman"/>
          <w:sz w:val="18"/>
        </w:rPr>
      </w:pPr>
      <w:r>
        <w:rPr>
          <w:rFonts w:eastAsia="Fira Sans Light" w:cs="Times New Roman"/>
          <w:b/>
          <w:spacing w:val="-2"/>
          <w:sz w:val="18"/>
          <w:shd w:val="clear" w:color="auto" w:fill="FFFFFF"/>
        </w:rPr>
        <w:t>Tablica 4. Depozyty sektora niefinansowego oraz sektora instytucji rządowych i samorządowych</w:t>
      </w:r>
    </w:p>
    <w:tbl>
      <w:tblPr>
        <w:tblStyle w:val="GridTableLight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A55AAF">
        <w:trPr>
          <w:trHeight w:val="57"/>
        </w:trPr>
        <w:tc>
          <w:tcPr>
            <w:tcW w:w="5211" w:type="dxa"/>
            <w:vMerge w:val="restart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22" w:type="dxa"/>
            <w:gridSpan w:val="2"/>
            <w:vAlign w:val="center"/>
          </w:tcPr>
          <w:p w:rsidR="00A55AAF" w:rsidRDefault="001D0C12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Times New Roman" w:cs="Times New Roman"/>
                <w:color w:val="000000"/>
                <w:sz w:val="16"/>
                <w:szCs w:val="16"/>
              </w:rPr>
              <w:t>2018</w:t>
            </w:r>
          </w:p>
        </w:tc>
      </w:tr>
      <w:tr w:rsidR="00A55AAF">
        <w:trPr>
          <w:trHeight w:val="57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A55AAF" w:rsidRDefault="00A55AAF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A55AAF" w:rsidRDefault="000A33C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A55AAF" w:rsidRDefault="001D0C12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0A33CB">
              <w:rPr>
                <w:rFonts w:eastAsia="Fira Sans Light" w:cs="Times New Roman"/>
                <w:color w:val="000000"/>
                <w:sz w:val="16"/>
                <w:szCs w:val="16"/>
              </w:rPr>
              <w:t>2017=100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center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  <w:t>Razem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1 131 455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1 234 693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109,1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13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690 822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777 864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112,6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13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440 632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456 829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103,7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Sektor niefinansowy 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1 062 464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1 151 245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108,4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642 246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721 239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112,3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420 219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430 007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102,3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68 990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83 447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121,0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48 577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56 625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116,6</w:t>
            </w:r>
          </w:p>
        </w:tc>
      </w:tr>
      <w:tr w:rsidR="00025AEC" w:rsidTr="00025AEC">
        <w:trPr>
          <w:trHeight w:val="57"/>
        </w:trPr>
        <w:tc>
          <w:tcPr>
            <w:tcW w:w="5211" w:type="dxa"/>
            <w:vAlign w:val="bottom"/>
          </w:tcPr>
          <w:p w:rsidR="00025AEC" w:rsidRDefault="00025AEC" w:rsidP="00025AEC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terminowe 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20 414</w:t>
            </w:r>
          </w:p>
        </w:tc>
        <w:tc>
          <w:tcPr>
            <w:tcW w:w="1055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26 822</w:t>
            </w:r>
          </w:p>
        </w:tc>
        <w:tc>
          <w:tcPr>
            <w:tcW w:w="867" w:type="dxa"/>
            <w:vAlign w:val="center"/>
          </w:tcPr>
          <w:p w:rsidR="00025AEC" w:rsidRPr="00025AEC" w:rsidRDefault="00025AEC" w:rsidP="00025AEC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131,4</w:t>
            </w:r>
          </w:p>
        </w:tc>
      </w:tr>
    </w:tbl>
    <w:p w:rsidR="00A55AAF" w:rsidRDefault="000A33CB">
      <w:pPr>
        <w:jc w:val="both"/>
        <w:rPr>
          <w:rFonts w:eastAsia="Fira Sans Light" w:cs="Times New Roman"/>
          <w:spacing w:val="-2"/>
          <w:szCs w:val="19"/>
          <w:shd w:val="clear" w:color="auto" w:fill="FFFFFF"/>
        </w:rPr>
      </w:pPr>
      <w: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272415</wp:posOffset>
                </wp:positionV>
                <wp:extent cx="1509395" cy="1184275"/>
                <wp:effectExtent l="0" t="0" r="0" b="0"/>
                <wp:wrapTight wrapText="bothSides">
                  <wp:wrapPolygon edited="0">
                    <wp:start x="818" y="0"/>
                    <wp:lineTo x="818" y="21195"/>
                    <wp:lineTo x="20719" y="21195"/>
                    <wp:lineTo x="20719" y="0"/>
                    <wp:lineTo x="818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380AB2" w:rsidP="007C7560">
                            <w:pPr>
                              <w:pStyle w:val="tekstzboku"/>
                              <w:spacing w:before="0"/>
                            </w:pPr>
                            <w:r>
                              <w:t>Zwiększenie w</w:t>
                            </w:r>
                            <w:r w:rsidR="006E04F3">
                              <w:t>artoś</w:t>
                            </w:r>
                            <w:r>
                              <w:t>ci</w:t>
                            </w:r>
                            <w:r w:rsidR="006E04F3">
                              <w:t xml:space="preserve"> depozytów sektora niefinansowego</w:t>
                            </w:r>
                            <w:r w:rsidR="00F27C3F">
                              <w:t xml:space="preserve"> </w:t>
                            </w:r>
                            <w:r w:rsidR="00384D0D">
                              <w:t xml:space="preserve">o </w:t>
                            </w:r>
                            <w:r w:rsidR="00F27C3F">
                              <w:t>88</w:t>
                            </w:r>
                            <w:r w:rsidR="00384D0D">
                              <w:t>,</w:t>
                            </w:r>
                            <w:r w:rsidR="00F27C3F">
                              <w:t>8</w:t>
                            </w:r>
                            <w:r w:rsidR="00384D0D">
                              <w:t xml:space="preserve"> mld zł </w:t>
                            </w:r>
                            <w:r>
                              <w:t>oraz</w:t>
                            </w:r>
                            <w:r w:rsidR="006E04F3">
                              <w:t xml:space="preserve"> </w:t>
                            </w:r>
                            <w:r w:rsidR="00B91DD1" w:rsidRPr="00B91DD1">
                              <w:t xml:space="preserve">depozytów </w:t>
                            </w:r>
                            <w:r w:rsidR="006E04F3">
                              <w:t>sektora instytucji rządowych i</w:t>
                            </w:r>
                            <w:r w:rsidR="00384D0D">
                              <w:t xml:space="preserve"> </w:t>
                            </w:r>
                            <w:r w:rsidR="006E04F3">
                              <w:t>samorządowych</w:t>
                            </w:r>
                            <w:r w:rsidR="00384D0D">
                              <w:t xml:space="preserve"> o </w:t>
                            </w:r>
                            <w:r w:rsidR="00B91DD1">
                              <w:t>1</w:t>
                            </w:r>
                            <w:r w:rsidR="00F27C3F">
                              <w:t>4</w:t>
                            </w:r>
                            <w:r w:rsidR="00384D0D">
                              <w:t>,</w:t>
                            </w:r>
                            <w:r w:rsidR="00B91DD1">
                              <w:t>5</w:t>
                            </w:r>
                            <w:r w:rsidR="00384D0D">
                              <w:t> mld zł</w:t>
                            </w:r>
                            <w:r w:rsidR="006E04F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2" type="#_x0000_t202" style="position:absolute;left:0;text-align:left;margin-left:423.25pt;margin-top:21.45pt;width:118.85pt;height:93.2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" filled="f" stroked="f">
                <v:textbox>
                  <w:txbxContent>
                    <w:p w:rsidR="006E04F3" w:rsidRDefault="00380AB2" w:rsidP="007C7560">
                      <w:pPr>
                        <w:pStyle w:val="tekstzboku"/>
                        <w:spacing w:before="0"/>
                      </w:pPr>
                      <w:r>
                        <w:t>Zwiększenie w</w:t>
                      </w:r>
                      <w:r w:rsidR="006E04F3">
                        <w:t>artoś</w:t>
                      </w:r>
                      <w:r>
                        <w:t>ci</w:t>
                      </w:r>
                      <w:r w:rsidR="006E04F3">
                        <w:t xml:space="preserve"> depozytów sektora niefinansowego</w:t>
                      </w:r>
                      <w:r w:rsidR="00F27C3F">
                        <w:t xml:space="preserve"> </w:t>
                      </w:r>
                      <w:r w:rsidR="00384D0D">
                        <w:t xml:space="preserve">o </w:t>
                      </w:r>
                      <w:r w:rsidR="00F27C3F">
                        <w:t>88</w:t>
                      </w:r>
                      <w:r w:rsidR="00384D0D">
                        <w:t>,</w:t>
                      </w:r>
                      <w:r w:rsidR="00F27C3F">
                        <w:t>8</w:t>
                      </w:r>
                      <w:r w:rsidR="00384D0D">
                        <w:t xml:space="preserve"> mld zł </w:t>
                      </w:r>
                      <w:r>
                        <w:t>oraz</w:t>
                      </w:r>
                      <w:r w:rsidR="006E04F3">
                        <w:t xml:space="preserve"> </w:t>
                      </w:r>
                      <w:r w:rsidR="00B91DD1" w:rsidRPr="00B91DD1">
                        <w:t xml:space="preserve">depozytów </w:t>
                      </w:r>
                      <w:r w:rsidR="006E04F3">
                        <w:t>sektora instytucji rządowych i</w:t>
                      </w:r>
                      <w:r w:rsidR="00384D0D">
                        <w:t xml:space="preserve"> </w:t>
                      </w:r>
                      <w:r w:rsidR="006E04F3">
                        <w:t>samorządowych</w:t>
                      </w:r>
                      <w:r w:rsidR="00384D0D">
                        <w:t xml:space="preserve"> o </w:t>
                      </w:r>
                      <w:r w:rsidR="00B91DD1">
                        <w:t>1</w:t>
                      </w:r>
                      <w:r w:rsidR="00F27C3F">
                        <w:t>4</w:t>
                      </w:r>
                      <w:r w:rsidR="00384D0D">
                        <w:t>,</w:t>
                      </w:r>
                      <w:r w:rsidR="00B91DD1">
                        <w:t>5</w:t>
                      </w:r>
                      <w:r w:rsidR="00384D0D">
                        <w:t> mld zł</w:t>
                      </w:r>
                      <w:r w:rsidR="006E04F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AAF" w:rsidRDefault="000A33CB" w:rsidP="007C7560">
      <w:pPr>
        <w:rPr>
          <w:rFonts w:eastAsia="Fira Sans Light" w:cs="Times New Roman"/>
          <w:spacing w:val="-2"/>
          <w:szCs w:val="19"/>
          <w:u w:val="single"/>
          <w:shd w:val="clear" w:color="auto" w:fill="FFFFFF"/>
        </w:rPr>
      </w:pPr>
      <w:r>
        <w:rPr>
          <w:rFonts w:eastAsia="Fira Sans Light" w:cs="Times New Roman"/>
          <w:spacing w:val="-2"/>
          <w:szCs w:val="19"/>
          <w:shd w:val="clear" w:color="auto" w:fill="FFFFFF"/>
        </w:rPr>
        <w:t>Depozyty sektora niefinansowego oraz sektora instytucji rządowych i samorządowych w dniu</w:t>
      </w:r>
      <w:r w:rsidR="00FC3AEA">
        <w:rPr>
          <w:rFonts w:eastAsia="Fira Sans Light" w:cs="Times New Roman"/>
          <w:spacing w:val="-2"/>
          <w:szCs w:val="19"/>
          <w:shd w:val="clear" w:color="auto" w:fill="FFFFFF"/>
        </w:rPr>
        <w:t xml:space="preserve"> 31 </w:t>
      </w:r>
      <w:r w:rsidR="001D0C12">
        <w:rPr>
          <w:rFonts w:eastAsia="Fira Sans Light" w:cs="Times New Roman"/>
          <w:spacing w:val="-2"/>
          <w:szCs w:val="19"/>
          <w:shd w:val="clear" w:color="auto" w:fill="FFFFFF"/>
        </w:rPr>
        <w:t>grud</w:t>
      </w:r>
      <w:r w:rsidR="00A9649A">
        <w:rPr>
          <w:rFonts w:eastAsia="Fira Sans Light" w:cs="Times New Roman"/>
          <w:spacing w:val="-2"/>
          <w:szCs w:val="19"/>
          <w:shd w:val="clear" w:color="auto" w:fill="FFFFFF"/>
        </w:rPr>
        <w:t>nia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2018 r. osiągnęły łączną wartość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 xml:space="preserve"> 1 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34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7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 mld zł (wzrost o 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9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%), z tego depozyty sektora niefinansowego wyniosły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 xml:space="preserve"> 1</w:t>
      </w:r>
      <w:r w:rsidR="00697989">
        <w:rPr>
          <w:rFonts w:eastAsia="Fira Sans Light" w:cs="Times New Roman"/>
          <w:spacing w:val="-2"/>
          <w:szCs w:val="19"/>
          <w:shd w:val="clear" w:color="auto" w:fill="FFFFFF"/>
        </w:rPr>
        <w:t> 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5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85546A">
        <w:t>,</w:t>
      </w:r>
      <w:r w:rsidR="0061255A">
        <w:t>2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 mld zł (więcej o 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8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%), a depozyty sektora instytucji rządowych i samorządowych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 xml:space="preserve"> 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83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 mld zł (</w:t>
      </w:r>
      <w:r w:rsidR="0061255A" w:rsidRPr="0061255A">
        <w:rPr>
          <w:rFonts w:eastAsia="Fira Sans Light" w:cs="Times New Roman"/>
          <w:spacing w:val="-2"/>
          <w:szCs w:val="19"/>
          <w:shd w:val="clear" w:color="auto" w:fill="FFFFFF"/>
        </w:rPr>
        <w:t>wzrost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o 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0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%). W porównaniu do stanu </w:t>
      </w:r>
      <w:r w:rsidR="007C7247">
        <w:rPr>
          <w:rFonts w:eastAsia="Fira Sans Light" w:cs="Times New Roman"/>
          <w:spacing w:val="-2"/>
          <w:szCs w:val="19"/>
          <w:shd w:val="clear" w:color="auto" w:fill="FFFFFF"/>
        </w:rPr>
        <w:t>na koniec 2017 r.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odnotowano wzrost łącznej wartości depozytów bieżących o 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6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 i depozytów terminowych o 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3</w:t>
      </w:r>
      <w:r w:rsidR="0085546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7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%. Wartość depozytów bieżących sektora niefinansowego zwiększyła się o 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61255A">
        <w:rPr>
          <w:rFonts w:eastAsia="Fira Sans Light" w:cs="Times New Roman"/>
          <w:spacing w:val="-2"/>
          <w:szCs w:val="19"/>
          <w:shd w:val="clear" w:color="auto" w:fill="FFFFFF"/>
        </w:rPr>
        <w:t>3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%, a depozytów terminowych o 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3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%. Wartość depozytów bieżących sektora instytucji rządowych i samorządowych wzrosła o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 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6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6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%, a</w:t>
      </w:r>
      <w:r w:rsidR="00C87CF4">
        <w:rPr>
          <w:rFonts w:eastAsia="Fira Sans Light" w:cs="Times New Roman"/>
          <w:spacing w:val="-2"/>
          <w:szCs w:val="19"/>
          <w:shd w:val="clear" w:color="auto" w:fill="FFFFFF"/>
        </w:rPr>
        <w:t> </w:t>
      </w:r>
      <w:r w:rsidR="00B22C27">
        <w:rPr>
          <w:rFonts w:eastAsia="Fira Sans Light" w:cs="Times New Roman"/>
          <w:spacing w:val="-2"/>
          <w:szCs w:val="19"/>
          <w:shd w:val="clear" w:color="auto" w:fill="FFFFFF"/>
        </w:rPr>
        <w:t xml:space="preserve">wartość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depozytów terminowych tego sektora </w:t>
      </w:r>
      <w:r w:rsidR="00FA47E9">
        <w:rPr>
          <w:rFonts w:eastAsia="Fira Sans Light" w:cs="Times New Roman"/>
          <w:spacing w:val="-2"/>
          <w:szCs w:val="19"/>
          <w:shd w:val="clear" w:color="auto" w:fill="FFFFFF"/>
        </w:rPr>
        <w:t>o 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31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7B40D4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%. Udział depozytów terminowych w łącznej kwocie depozytów sektora niefinansowego oraz sektora instytucji rządowych i samorządowych zmniejszył się w skali roku o 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="00234FB0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9</w:t>
      </w:r>
      <w:r w:rsidR="00234FB0">
        <w:rPr>
          <w:rFonts w:eastAsia="Fira Sans Light" w:cs="Times New Roman"/>
          <w:spacing w:val="-2"/>
          <w:szCs w:val="19"/>
          <w:shd w:val="clear" w:color="auto" w:fill="FFFFFF"/>
        </w:rPr>
        <w:t> 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p. proc. (do 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37</w:t>
      </w:r>
      <w:r w:rsidR="00234FB0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0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%). </w:t>
      </w:r>
      <w:r w:rsidR="00291440">
        <w:rPr>
          <w:rFonts w:eastAsia="Fira Sans Light" w:cs="Times New Roman"/>
          <w:spacing w:val="-2"/>
          <w:szCs w:val="19"/>
          <w:shd w:val="clear" w:color="auto" w:fill="FFFFFF"/>
        </w:rPr>
        <w:t>Udział depozytów terminowych w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 xml:space="preserve"> depozytach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sektor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a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niefinansow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ego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 obniżył się o 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F80069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 p. proc. (do </w:t>
      </w:r>
      <w:r w:rsidR="00234FB0">
        <w:rPr>
          <w:rFonts w:eastAsia="Fira Sans Light" w:cs="Times New Roman"/>
          <w:spacing w:val="-2"/>
          <w:szCs w:val="19"/>
          <w:shd w:val="clear" w:color="auto" w:fill="FFFFFF"/>
        </w:rPr>
        <w:t>3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7</w:t>
      </w:r>
      <w:r w:rsidR="00234FB0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162284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%), </w:t>
      </w:r>
      <w:r w:rsidRPr="003C20AF">
        <w:rPr>
          <w:rFonts w:eastAsia="Fira Sans Light" w:cs="Times New Roman"/>
          <w:spacing w:val="-2"/>
          <w:szCs w:val="19"/>
          <w:shd w:val="clear" w:color="auto" w:fill="FFFFFF"/>
        </w:rPr>
        <w:t>a w sektorze instytucji rządowych i samorządowych</w:t>
      </w:r>
      <w:r w:rsidR="002F5929" w:rsidRPr="003C20AF">
        <w:rPr>
          <w:rFonts w:eastAsia="Fira Sans Light" w:cs="Times New Roman"/>
          <w:spacing w:val="-2"/>
          <w:szCs w:val="19"/>
          <w:shd w:val="clear" w:color="auto" w:fill="FFFFFF"/>
        </w:rPr>
        <w:t xml:space="preserve"> udział depozytów terminowych</w:t>
      </w:r>
      <w:r w:rsidR="003C20AF" w:rsidRPr="003C20AF">
        <w:rPr>
          <w:rFonts w:eastAsia="Fira Sans Light" w:cs="Times New Roman"/>
          <w:spacing w:val="-2"/>
          <w:szCs w:val="19"/>
          <w:shd w:val="clear" w:color="auto" w:fill="FFFFFF"/>
        </w:rPr>
        <w:t xml:space="preserve"> w depozytach tego sektora</w:t>
      </w:r>
      <w:r w:rsidR="002F5929" w:rsidRPr="003C20AF">
        <w:rPr>
          <w:rFonts w:eastAsia="Fira Sans Light" w:cs="Times New Roman"/>
          <w:spacing w:val="-2"/>
          <w:szCs w:val="19"/>
          <w:shd w:val="clear" w:color="auto" w:fill="FFFFFF"/>
        </w:rPr>
        <w:t xml:space="preserve"> zwiększył się</w:t>
      </w:r>
      <w:r w:rsidRPr="003C20AF">
        <w:rPr>
          <w:rFonts w:eastAsia="Fira Sans Light" w:cs="Times New Roman"/>
          <w:spacing w:val="-2"/>
          <w:szCs w:val="19"/>
          <w:shd w:val="clear" w:color="auto" w:fill="FFFFFF"/>
        </w:rPr>
        <w:t xml:space="preserve"> o </w:t>
      </w:r>
      <w:r w:rsidR="002F5929" w:rsidRPr="003C20AF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291440" w:rsidRPr="003C20AF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2F5929" w:rsidRPr="003C20AF">
        <w:rPr>
          <w:rFonts w:eastAsia="Fira Sans Light" w:cs="Times New Roman"/>
          <w:spacing w:val="-2"/>
          <w:szCs w:val="19"/>
          <w:shd w:val="clear" w:color="auto" w:fill="FFFFFF"/>
        </w:rPr>
        <w:t>6</w:t>
      </w:r>
      <w:r w:rsidRPr="003C20AF">
        <w:rPr>
          <w:rFonts w:eastAsia="Fira Sans Light" w:cs="Times New Roman"/>
          <w:spacing w:val="-2"/>
          <w:szCs w:val="19"/>
          <w:shd w:val="clear" w:color="auto" w:fill="FFFFFF"/>
        </w:rPr>
        <w:t> p. proc. (do </w:t>
      </w:r>
      <w:r w:rsidR="002F5929" w:rsidRPr="003C20AF">
        <w:rPr>
          <w:rFonts w:eastAsia="Fira Sans Light" w:cs="Times New Roman"/>
          <w:spacing w:val="-2"/>
          <w:szCs w:val="19"/>
          <w:shd w:val="clear" w:color="auto" w:fill="FFFFFF"/>
        </w:rPr>
        <w:t>32</w:t>
      </w:r>
      <w:r w:rsidR="00291440" w:rsidRPr="003C20AF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F80069" w:rsidRPr="003C20AF">
        <w:rPr>
          <w:rFonts w:eastAsia="Fira Sans Light" w:cs="Times New Roman"/>
          <w:spacing w:val="-2"/>
          <w:szCs w:val="19"/>
          <w:shd w:val="clear" w:color="auto" w:fill="FFFFFF"/>
        </w:rPr>
        <w:t>1</w:t>
      </w:r>
      <w:r w:rsidRPr="003C20AF">
        <w:rPr>
          <w:rFonts w:eastAsia="Fira Sans Light" w:cs="Times New Roman"/>
          <w:spacing w:val="-2"/>
          <w:szCs w:val="19"/>
          <w:shd w:val="clear" w:color="auto" w:fill="FFFFFF"/>
        </w:rPr>
        <w:t>%).</w:t>
      </w:r>
    </w:p>
    <w:p w:rsidR="00A55AAF" w:rsidRDefault="00515DBF" w:rsidP="00EC4F88">
      <w:pPr>
        <w:spacing w:before="180"/>
        <w:ind w:left="851" w:hanging="851"/>
        <w:rPr>
          <w:rFonts w:eastAsia="Fira Sans Light" w:cs="Times New Roman"/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32198</wp:posOffset>
            </wp:positionH>
            <wp:positionV relativeFrom="paragraph">
              <wp:posOffset>537335</wp:posOffset>
            </wp:positionV>
            <wp:extent cx="5125792" cy="2802255"/>
            <wp:effectExtent l="0" t="0" r="0" b="0"/>
            <wp:wrapNone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3CB">
        <w:rPr>
          <w:rFonts w:eastAsia="Fira Sans Light" w:cs="Times New Roman"/>
          <w:b/>
          <w:sz w:val="18"/>
        </w:rPr>
        <w:t xml:space="preserve">Wykres 2. </w:t>
      </w:r>
      <w:r w:rsidR="00EC4F88" w:rsidRPr="00EC4F88">
        <w:rPr>
          <w:rFonts w:eastAsia="Fira Sans Light" w:cs="Times New Roman"/>
          <w:b/>
          <w:sz w:val="18"/>
        </w:rPr>
        <w:t>Różnica między wartością należności (w tym z ty</w:t>
      </w:r>
      <w:r w:rsidR="00D261E3">
        <w:rPr>
          <w:rFonts w:eastAsia="Fira Sans Light" w:cs="Times New Roman"/>
          <w:b/>
          <w:sz w:val="18"/>
        </w:rPr>
        <w:t>tu</w:t>
      </w:r>
      <w:r w:rsidR="00EC4F88" w:rsidRPr="00EC4F88">
        <w:rPr>
          <w:rFonts w:eastAsia="Fira Sans Light" w:cs="Times New Roman"/>
          <w:b/>
          <w:sz w:val="18"/>
        </w:rPr>
        <w:t>łu kredytów) a zobowiązaniami (w</w:t>
      </w:r>
      <w:r w:rsidR="00D261E3">
        <w:rPr>
          <w:rFonts w:eastAsia="Fira Sans Light" w:cs="Times New Roman"/>
          <w:b/>
          <w:sz w:val="18"/>
        </w:rPr>
        <w:t> </w:t>
      </w:r>
      <w:r w:rsidR="00EC4F88" w:rsidRPr="00EC4F88">
        <w:rPr>
          <w:rFonts w:eastAsia="Fira Sans Light" w:cs="Times New Roman"/>
          <w:b/>
          <w:sz w:val="18"/>
        </w:rPr>
        <w:t>tym z</w:t>
      </w:r>
      <w:r w:rsidR="00D261E3">
        <w:rPr>
          <w:rFonts w:eastAsia="Fira Sans Light" w:cs="Times New Roman"/>
          <w:b/>
          <w:sz w:val="18"/>
        </w:rPr>
        <w:t xml:space="preserve"> </w:t>
      </w:r>
      <w:r w:rsidR="00EC4F88" w:rsidRPr="00EC4F88">
        <w:rPr>
          <w:rFonts w:eastAsia="Fira Sans Light" w:cs="Times New Roman"/>
          <w:b/>
          <w:sz w:val="18"/>
        </w:rPr>
        <w:t xml:space="preserve">tytułu depozytów) sektora bankowego wobec sektora niefinansowego oraz sektora instytucji rządowych i </w:t>
      </w:r>
      <w:r w:rsidR="00EC4F88" w:rsidRPr="007C7560">
        <w:rPr>
          <w:rFonts w:eastAsia="Fira Sans Light" w:cs="Times New Roman"/>
          <w:b/>
          <w:sz w:val="18"/>
        </w:rPr>
        <w:t>samorządowych</w:t>
      </w:r>
      <w:r w:rsidR="000A33CB" w:rsidRPr="007C7560">
        <w:rPr>
          <w:rFonts w:eastAsia="Fira Sans Light" w:cs="Times New Roman"/>
          <w:b/>
          <w:sz w:val="18"/>
        </w:rPr>
        <w:t xml:space="preserve"> (</w:t>
      </w:r>
      <w:r w:rsidR="000A33CB" w:rsidRPr="00193932">
        <w:rPr>
          <w:rFonts w:eastAsia="Fira Sans Light" w:cs="Times New Roman"/>
          <w:b/>
          <w:sz w:val="18"/>
        </w:rPr>
        <w:t>wg stanu w końcu kwartału</w:t>
      </w:r>
      <w:r w:rsidR="000A33CB" w:rsidRPr="007C7560">
        <w:rPr>
          <w:rFonts w:eastAsia="Fira Sans Light" w:cs="Times New Roman"/>
          <w:b/>
          <w:sz w:val="18"/>
        </w:rPr>
        <w:t>)</w:t>
      </w:r>
    </w:p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182354" w:rsidRDefault="00182354" w:rsidP="00182354"/>
    <w:p w:rsidR="00DA6C90" w:rsidRDefault="00DA6C90" w:rsidP="00182354"/>
    <w:p w:rsidR="00DA6C90" w:rsidRDefault="00DA6C90" w:rsidP="00182354"/>
    <w:p w:rsidR="00DA6C90" w:rsidRDefault="00DA6C90" w:rsidP="00182354"/>
    <w:p w:rsidR="00A55AAF" w:rsidRDefault="000753A4" w:rsidP="00730090">
      <w:pPr>
        <w:tabs>
          <w:tab w:val="left" w:pos="3316"/>
        </w:tabs>
        <w:rPr>
          <w:rFonts w:eastAsia="Fira Sans Light" w:cs="Times New Roman"/>
        </w:rPr>
      </w:pPr>
      <w:r>
        <w:rPr>
          <w:rFonts w:eastAsia="Fira Sans Light" w:cs="Times New Roman"/>
          <w:sz w:val="18"/>
        </w:rPr>
        <w:br w:type="page"/>
      </w:r>
      <w:r w:rsidR="00126A52">
        <w:rPr>
          <w:rFonts w:eastAsia="Fira Sans Light" w:cs="Times New Roman"/>
          <w:sz w:val="18"/>
        </w:rPr>
        <w:lastRenderedPageBreak/>
        <w:tab/>
      </w:r>
      <w:r w:rsidR="000A33CB">
        <w:rPr>
          <w:rFonts w:eastAsia="Fira Sans Light" w:cs="Times New Roman"/>
          <w:sz w:val="18"/>
        </w:rPr>
        <w:t>***</w:t>
      </w:r>
    </w:p>
    <w:p w:rsidR="00A55AAF" w:rsidRDefault="000A33CB">
      <w:pPr>
        <w:rPr>
          <w:rFonts w:eastAsia="Fira Sans Light" w:cs="Times New Roman"/>
          <w:b/>
          <w:spacing w:val="-2"/>
          <w:sz w:val="18"/>
          <w:shd w:val="clear" w:color="auto" w:fill="FFFFFF"/>
        </w:rPr>
      </w:pPr>
      <w:r>
        <w:rPr>
          <w:rFonts w:eastAsia="Fira Sans Light" w:cs="Times New Roman"/>
          <w:b/>
          <w:spacing w:val="-2"/>
          <w:sz w:val="18"/>
          <w:shd w:val="clear" w:color="auto" w:fill="FFFFFF"/>
        </w:rPr>
        <w:t>Tablica 5. Liczba banków według formy organizacyjnej i struktury własności</w:t>
      </w:r>
    </w:p>
    <w:tbl>
      <w:tblPr>
        <w:tblStyle w:val="GridTableLight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A55AAF" w:rsidTr="00E867BD">
        <w:trPr>
          <w:trHeight w:val="508"/>
        </w:trPr>
        <w:tc>
          <w:tcPr>
            <w:tcW w:w="5211" w:type="dxa"/>
            <w:vMerge w:val="restart"/>
            <w:vAlign w:val="center"/>
          </w:tcPr>
          <w:p w:rsidR="00A55AAF" w:rsidRDefault="000A33C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A55AAF" w:rsidRDefault="000A33C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55" w:type="dxa"/>
            <w:vAlign w:val="center"/>
          </w:tcPr>
          <w:p w:rsidR="00A55AAF" w:rsidRDefault="000A33C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vAlign w:val="center"/>
          </w:tcPr>
          <w:p w:rsidR="00A55AAF" w:rsidRDefault="000A33C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Zmiana</w:t>
            </w:r>
          </w:p>
        </w:tc>
      </w:tr>
      <w:tr w:rsidR="00A55AAF">
        <w:trPr>
          <w:trHeight w:val="295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A55AAF" w:rsidRDefault="00A55AAF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212492"/>
            </w:tcBorders>
            <w:vAlign w:val="center"/>
          </w:tcPr>
          <w:p w:rsidR="00A55AAF" w:rsidRDefault="00FF6E3D" w:rsidP="00F44CE2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stan na 3</w:t>
            </w:r>
            <w:r w:rsidR="00F44CE2">
              <w:rPr>
                <w:rFonts w:eastAsia="Fira Sans Light" w:cs="Times New Roman"/>
                <w:color w:val="000000"/>
                <w:sz w:val="16"/>
                <w:szCs w:val="16"/>
              </w:rPr>
              <w:t>1</w:t>
            </w:r>
            <w:r w:rsidR="000A33CB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</w:t>
            </w:r>
            <w:r w:rsidR="001D0C12">
              <w:rPr>
                <w:rFonts w:eastAsia="Fira Sans Light" w:cs="Times New Roman"/>
                <w:color w:val="000000"/>
                <w:sz w:val="16"/>
                <w:szCs w:val="16"/>
              </w:rPr>
              <w:t>grud</w:t>
            </w:r>
            <w:r w:rsidR="00A9649A">
              <w:rPr>
                <w:rFonts w:eastAsia="Fira Sans Light" w:cs="Times New Roman"/>
                <w:color w:val="000000"/>
                <w:sz w:val="16"/>
                <w:szCs w:val="16"/>
              </w:rPr>
              <w:t>nia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jc w:val="both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616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025AEC">
              <w:rPr>
                <w:b/>
                <w:sz w:val="16"/>
                <w:szCs w:val="16"/>
              </w:rPr>
              <w:t>-4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100" w:firstLine="16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Komercyjne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63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63</w:t>
            </w:r>
          </w:p>
        </w:tc>
        <w:tc>
          <w:tcPr>
            <w:tcW w:w="867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–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200" w:firstLine="32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z przeważającym udziałem kapitału polskiego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14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13</w:t>
            </w:r>
          </w:p>
        </w:tc>
        <w:tc>
          <w:tcPr>
            <w:tcW w:w="867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-1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200" w:firstLine="32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z przeważającym udziałem kapitału zagranicznego, w tym: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49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50</w:t>
            </w:r>
          </w:p>
        </w:tc>
        <w:tc>
          <w:tcPr>
            <w:tcW w:w="867" w:type="dxa"/>
            <w:vAlign w:val="center"/>
          </w:tcPr>
          <w:p w:rsidR="00F44CE2" w:rsidRPr="00025AEC" w:rsidRDefault="00D3079F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44CE2" w:rsidRPr="00025AEC">
              <w:rPr>
                <w:sz w:val="16"/>
                <w:szCs w:val="16"/>
              </w:rPr>
              <w:t>1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300" w:firstLine="48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ze 100% udziałem kapitału zagranicznego, w tym: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40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40</w:t>
            </w:r>
          </w:p>
        </w:tc>
        <w:tc>
          <w:tcPr>
            <w:tcW w:w="867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–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400" w:firstLine="64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oddziały instytucji kredytowych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28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31</w:t>
            </w:r>
          </w:p>
        </w:tc>
        <w:tc>
          <w:tcPr>
            <w:tcW w:w="867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+3</w:t>
            </w:r>
          </w:p>
        </w:tc>
      </w:tr>
      <w:tr w:rsidR="00F44CE2" w:rsidTr="00F44CE2">
        <w:trPr>
          <w:trHeight w:val="57"/>
        </w:trPr>
        <w:tc>
          <w:tcPr>
            <w:tcW w:w="5211" w:type="dxa"/>
            <w:vAlign w:val="bottom"/>
          </w:tcPr>
          <w:p w:rsidR="00F44CE2" w:rsidRDefault="00F44CE2" w:rsidP="00F44CE2">
            <w:pPr>
              <w:tabs>
                <w:tab w:val="left" w:leader="dot" w:pos="6521"/>
              </w:tabs>
              <w:spacing w:before="0" w:after="0"/>
              <w:ind w:firstLineChars="100" w:firstLine="16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Spółdzielcze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553</w:t>
            </w:r>
          </w:p>
        </w:tc>
        <w:tc>
          <w:tcPr>
            <w:tcW w:w="1055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549</w:t>
            </w:r>
          </w:p>
        </w:tc>
        <w:tc>
          <w:tcPr>
            <w:tcW w:w="867" w:type="dxa"/>
            <w:vAlign w:val="center"/>
          </w:tcPr>
          <w:p w:rsidR="00F44CE2" w:rsidRPr="00025AEC" w:rsidRDefault="00F44CE2" w:rsidP="00F44CE2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25AEC">
              <w:rPr>
                <w:sz w:val="16"/>
                <w:szCs w:val="16"/>
              </w:rPr>
              <w:t>-4</w:t>
            </w:r>
          </w:p>
        </w:tc>
      </w:tr>
    </w:tbl>
    <w:p w:rsidR="00A55AAF" w:rsidRDefault="000A33CB" w:rsidP="007C7560">
      <w:pPr>
        <w:rPr>
          <w:rFonts w:eastAsia="Fira Sans Light" w:cs="Times New Roman"/>
          <w:szCs w:val="19"/>
        </w:rPr>
      </w:pPr>
      <w:r>
        <w:rPr>
          <w:rFonts w:eastAsia="Fira Sans Light" w:cs="Times New Roman"/>
          <w:noProof/>
          <w:spacing w:val="-2"/>
          <w:sz w:val="18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12065</wp:posOffset>
                </wp:positionV>
                <wp:extent cx="1592580" cy="701675"/>
                <wp:effectExtent l="0" t="0" r="0" b="3175"/>
                <wp:wrapTight wrapText="bothSides">
                  <wp:wrapPolygon edited="0">
                    <wp:start x="775" y="0"/>
                    <wp:lineTo x="775" y="21111"/>
                    <wp:lineTo x="20670" y="21111"/>
                    <wp:lineTo x="20670" y="0"/>
                    <wp:lineTo x="77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380AB2" w:rsidP="007C7560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Zmniejszenie l</w:t>
                            </w:r>
                            <w:r w:rsidR="006E04F3">
                              <w:t>iczb</w:t>
                            </w:r>
                            <w:r>
                              <w:t>y</w:t>
                            </w:r>
                            <w:r w:rsidR="006E04F3">
                              <w:t xml:space="preserve"> banków </w:t>
                            </w:r>
                            <w:r>
                              <w:t>ogółem</w:t>
                            </w:r>
                            <w:r w:rsidR="00477C6C">
                              <w:t xml:space="preserve"> o </w:t>
                            </w:r>
                            <w:r w:rsidR="00F27C3F">
                              <w:t>4</w:t>
                            </w:r>
                            <w:r w:rsidR="00477C6C">
                              <w:t xml:space="preserve"> bank</w:t>
                            </w:r>
                            <w:r w:rsidR="00F27C3F">
                              <w:t>i</w:t>
                            </w:r>
                            <w:r w:rsidR="00FA47E9">
                              <w:t xml:space="preserve"> spółdzielcz</w:t>
                            </w:r>
                            <w:r w:rsidR="00F27C3F">
                              <w:t>e</w:t>
                            </w:r>
                            <w:r w:rsidR="006E04F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margin-left:423.25pt;margin-top:.95pt;width:125.4pt;height:55.2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" filled="f" stroked="f">
                <v:textbox>
                  <w:txbxContent>
                    <w:p w:rsidR="006E04F3" w:rsidRDefault="00380AB2" w:rsidP="007C7560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Zmniejszenie l</w:t>
                      </w:r>
                      <w:r w:rsidR="006E04F3">
                        <w:t>iczb</w:t>
                      </w:r>
                      <w:r>
                        <w:t>y</w:t>
                      </w:r>
                      <w:r w:rsidR="006E04F3">
                        <w:t xml:space="preserve"> banków </w:t>
                      </w:r>
                      <w:r>
                        <w:t>ogółem</w:t>
                      </w:r>
                      <w:r w:rsidR="00477C6C">
                        <w:t xml:space="preserve"> o </w:t>
                      </w:r>
                      <w:r w:rsidR="00F27C3F">
                        <w:t>4</w:t>
                      </w:r>
                      <w:r w:rsidR="00477C6C">
                        <w:t xml:space="preserve"> bank</w:t>
                      </w:r>
                      <w:r w:rsidR="00F27C3F">
                        <w:t>i</w:t>
                      </w:r>
                      <w:r w:rsidR="00FA47E9">
                        <w:t xml:space="preserve"> spółdzielcz</w:t>
                      </w:r>
                      <w:r w:rsidR="00F27C3F">
                        <w:t>e</w:t>
                      </w:r>
                      <w:r w:rsidR="006E04F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Fira Sans Light" w:cs="Times New Roman"/>
          <w:szCs w:val="19"/>
        </w:rPr>
        <w:t xml:space="preserve">Działalność operacyjną w końcu </w:t>
      </w:r>
      <w:r w:rsidR="001D0C12">
        <w:rPr>
          <w:rFonts w:eastAsia="Fira Sans Light" w:cs="Times New Roman"/>
          <w:szCs w:val="19"/>
        </w:rPr>
        <w:t>grud</w:t>
      </w:r>
      <w:r w:rsidR="00A9649A">
        <w:rPr>
          <w:rFonts w:eastAsia="Fira Sans Light" w:cs="Times New Roman"/>
          <w:szCs w:val="19"/>
        </w:rPr>
        <w:t>nia</w:t>
      </w:r>
      <w:r>
        <w:rPr>
          <w:rFonts w:eastAsia="Fira Sans Light" w:cs="Times New Roman"/>
          <w:szCs w:val="19"/>
        </w:rPr>
        <w:t xml:space="preserve"> 2018 r. prowadziło </w:t>
      </w:r>
      <w:r w:rsidR="006E04F3">
        <w:rPr>
          <w:rFonts w:eastAsia="Fira Sans Light" w:cs="Times New Roman"/>
          <w:szCs w:val="19"/>
        </w:rPr>
        <w:t>61</w:t>
      </w:r>
      <w:r w:rsidR="00F27C3F">
        <w:rPr>
          <w:rFonts w:eastAsia="Fira Sans Light" w:cs="Times New Roman"/>
          <w:szCs w:val="19"/>
        </w:rPr>
        <w:t>2</w:t>
      </w:r>
      <w:r>
        <w:rPr>
          <w:rFonts w:eastAsia="Fira Sans Light" w:cs="Times New Roman"/>
          <w:szCs w:val="19"/>
        </w:rPr>
        <w:t xml:space="preserve"> banków, tj. o </w:t>
      </w:r>
      <w:r w:rsidR="00F27C3F">
        <w:rPr>
          <w:rFonts w:eastAsia="Fira Sans Light" w:cs="Times New Roman"/>
          <w:szCs w:val="19"/>
        </w:rPr>
        <w:t>4</w:t>
      </w:r>
      <w:r>
        <w:rPr>
          <w:rFonts w:eastAsia="Fira Sans Light" w:cs="Times New Roman"/>
          <w:szCs w:val="19"/>
        </w:rPr>
        <w:t xml:space="preserve"> mniej niż rok wcześniej. </w:t>
      </w:r>
      <w:r w:rsidR="00BE4185">
        <w:rPr>
          <w:rFonts w:eastAsia="Fira Sans Light" w:cs="Times New Roman"/>
          <w:szCs w:val="19"/>
        </w:rPr>
        <w:t xml:space="preserve">Liczba banków komercyjnych </w:t>
      </w:r>
      <w:r w:rsidR="0056590A">
        <w:rPr>
          <w:rFonts w:eastAsia="Fira Sans Light" w:cs="Times New Roman"/>
          <w:szCs w:val="19"/>
        </w:rPr>
        <w:t xml:space="preserve">nie </w:t>
      </w:r>
      <w:r w:rsidR="00BE4185">
        <w:rPr>
          <w:rFonts w:eastAsia="Fira Sans Light" w:cs="Times New Roman"/>
          <w:szCs w:val="19"/>
        </w:rPr>
        <w:t>z</w:t>
      </w:r>
      <w:r w:rsidR="0056590A">
        <w:rPr>
          <w:rFonts w:eastAsia="Fira Sans Light" w:cs="Times New Roman"/>
          <w:szCs w:val="19"/>
        </w:rPr>
        <w:t>m</w:t>
      </w:r>
      <w:r w:rsidR="00BE4185">
        <w:rPr>
          <w:rFonts w:eastAsia="Fira Sans Light" w:cs="Times New Roman"/>
          <w:szCs w:val="19"/>
        </w:rPr>
        <w:t>i</w:t>
      </w:r>
      <w:r w:rsidR="0056590A">
        <w:rPr>
          <w:rFonts w:eastAsia="Fira Sans Light" w:cs="Times New Roman"/>
          <w:szCs w:val="19"/>
        </w:rPr>
        <w:t>eniła się</w:t>
      </w:r>
      <w:r w:rsidR="00057E24">
        <w:rPr>
          <w:rFonts w:eastAsia="Fira Sans Light" w:cs="Times New Roman"/>
          <w:szCs w:val="19"/>
        </w:rPr>
        <w:t xml:space="preserve"> i wyniosła 63 banki. Jednak</w:t>
      </w:r>
      <w:r w:rsidR="00DD0577">
        <w:rPr>
          <w:rFonts w:eastAsia="Fira Sans Light" w:cs="Times New Roman"/>
          <w:szCs w:val="19"/>
        </w:rPr>
        <w:t>,</w:t>
      </w:r>
      <w:r w:rsidR="00057E24">
        <w:rPr>
          <w:rFonts w:eastAsia="Fira Sans Light" w:cs="Times New Roman"/>
          <w:szCs w:val="19"/>
        </w:rPr>
        <w:t xml:space="preserve"> </w:t>
      </w:r>
      <w:r w:rsidR="00DD0577">
        <w:rPr>
          <w:rFonts w:eastAsia="Fira Sans Light" w:cs="Times New Roman"/>
          <w:szCs w:val="19"/>
        </w:rPr>
        <w:t>na skutek połączenia dwóch</w:t>
      </w:r>
      <w:r w:rsidR="00DD0577" w:rsidRPr="00057E24">
        <w:t xml:space="preserve"> </w:t>
      </w:r>
      <w:r w:rsidR="00DD0577" w:rsidRPr="00057E24">
        <w:rPr>
          <w:rFonts w:eastAsia="Fira Sans Light" w:cs="Times New Roman"/>
          <w:szCs w:val="19"/>
        </w:rPr>
        <w:t>banków</w:t>
      </w:r>
      <w:r w:rsidR="00DD0577">
        <w:rPr>
          <w:rFonts w:eastAsia="Fira Sans Light" w:cs="Times New Roman"/>
          <w:szCs w:val="19"/>
        </w:rPr>
        <w:t xml:space="preserve"> </w:t>
      </w:r>
      <w:r w:rsidR="00DD0577" w:rsidRPr="00057E24">
        <w:rPr>
          <w:rFonts w:eastAsia="Fira Sans Light" w:cs="Times New Roman"/>
          <w:szCs w:val="19"/>
        </w:rPr>
        <w:t xml:space="preserve">z przeważającym udziałem kapitału polskiego </w:t>
      </w:r>
      <w:r w:rsidR="00DD0577">
        <w:rPr>
          <w:rFonts w:eastAsia="Fira Sans Light" w:cs="Times New Roman"/>
          <w:szCs w:val="19"/>
        </w:rPr>
        <w:t xml:space="preserve">oraz rozpoczęcia działalności przez jeden nowy oddział instytucji kredytowej </w:t>
      </w:r>
      <w:r w:rsidR="00057E24">
        <w:rPr>
          <w:rFonts w:eastAsia="Fira Sans Light" w:cs="Times New Roman"/>
          <w:szCs w:val="19"/>
        </w:rPr>
        <w:t>zaszły zmiany w strukturze tej grupy</w:t>
      </w:r>
      <w:r w:rsidR="00BE4185">
        <w:rPr>
          <w:rFonts w:eastAsia="Fira Sans Light" w:cs="Times New Roman"/>
          <w:szCs w:val="19"/>
        </w:rPr>
        <w:t xml:space="preserve">. </w:t>
      </w:r>
      <w:r w:rsidR="009A59F9" w:rsidRPr="005902D7">
        <w:rPr>
          <w:rFonts w:eastAsia="Fira Sans Light" w:cs="Times New Roman"/>
          <w:szCs w:val="19"/>
        </w:rPr>
        <w:t xml:space="preserve">Liczba banków </w:t>
      </w:r>
      <w:r w:rsidR="00550028">
        <w:rPr>
          <w:rFonts w:eastAsia="Fira Sans Light" w:cs="Times New Roman"/>
          <w:szCs w:val="19"/>
        </w:rPr>
        <w:t xml:space="preserve">komercyjnych </w:t>
      </w:r>
      <w:r w:rsidR="009A59F9" w:rsidRPr="005902D7">
        <w:rPr>
          <w:rFonts w:eastAsia="Fira Sans Light" w:cs="Times New Roman"/>
          <w:szCs w:val="19"/>
        </w:rPr>
        <w:t>z przewagą kapitału polskiego</w:t>
      </w:r>
      <w:r w:rsidR="009A59F9">
        <w:rPr>
          <w:rFonts w:eastAsia="Fira Sans Light" w:cs="Times New Roman"/>
          <w:szCs w:val="19"/>
        </w:rPr>
        <w:t xml:space="preserve"> zmniejszyła się </w:t>
      </w:r>
      <w:r w:rsidR="00BE4185">
        <w:rPr>
          <w:rFonts w:eastAsia="Fira Sans Light" w:cs="Times New Roman"/>
          <w:szCs w:val="19"/>
        </w:rPr>
        <w:t>o </w:t>
      </w:r>
      <w:r w:rsidR="0056590A">
        <w:rPr>
          <w:rFonts w:eastAsia="Fira Sans Light" w:cs="Times New Roman"/>
          <w:szCs w:val="19"/>
        </w:rPr>
        <w:t>1</w:t>
      </w:r>
      <w:r w:rsidR="00BE4185">
        <w:rPr>
          <w:rFonts w:eastAsia="Fira Sans Light" w:cs="Times New Roman"/>
          <w:szCs w:val="19"/>
        </w:rPr>
        <w:t xml:space="preserve"> bank</w:t>
      </w:r>
      <w:r w:rsidR="005902D7">
        <w:rPr>
          <w:rFonts w:eastAsia="Fira Sans Light" w:cs="Times New Roman"/>
          <w:szCs w:val="19"/>
        </w:rPr>
        <w:t>, a </w:t>
      </w:r>
      <w:r w:rsidR="009A59F9">
        <w:rPr>
          <w:rFonts w:eastAsia="Fira Sans Light" w:cs="Times New Roman"/>
          <w:szCs w:val="19"/>
        </w:rPr>
        <w:t>liczba banków z przewagą kapitału zagranicznego</w:t>
      </w:r>
      <w:r w:rsidR="009A59F9" w:rsidRPr="005902D7">
        <w:rPr>
          <w:rFonts w:eastAsia="Fira Sans Light" w:cs="Times New Roman"/>
          <w:szCs w:val="19"/>
        </w:rPr>
        <w:t xml:space="preserve"> </w:t>
      </w:r>
      <w:r w:rsidR="00B526D4">
        <w:rPr>
          <w:rFonts w:eastAsia="Fira Sans Light" w:cs="Times New Roman"/>
          <w:szCs w:val="19"/>
        </w:rPr>
        <w:t xml:space="preserve">zwiększyła się </w:t>
      </w:r>
      <w:r w:rsidR="00FA47E9">
        <w:rPr>
          <w:rFonts w:eastAsia="Fira Sans Light" w:cs="Times New Roman"/>
          <w:szCs w:val="19"/>
        </w:rPr>
        <w:t xml:space="preserve">o </w:t>
      </w:r>
      <w:r w:rsidR="005902D7" w:rsidRPr="005902D7">
        <w:rPr>
          <w:rFonts w:eastAsia="Fira Sans Light" w:cs="Times New Roman"/>
          <w:szCs w:val="19"/>
        </w:rPr>
        <w:t>1</w:t>
      </w:r>
      <w:r w:rsidR="00BE4185">
        <w:rPr>
          <w:rFonts w:eastAsia="Fira Sans Light" w:cs="Times New Roman"/>
          <w:szCs w:val="19"/>
        </w:rPr>
        <w:t xml:space="preserve">. </w:t>
      </w:r>
      <w:r w:rsidR="009B3E61">
        <w:rPr>
          <w:rFonts w:eastAsia="Fira Sans Light" w:cs="Times New Roman"/>
          <w:szCs w:val="19"/>
        </w:rPr>
        <w:t xml:space="preserve">Ponadto, dwa banki ze 100% udziałem kapitału zagranicznego zmieniły formę prawną ze spółek akcyjnych na oddziały instytucji kredytowych. </w:t>
      </w:r>
      <w:r w:rsidR="006E04F3">
        <w:rPr>
          <w:rFonts w:eastAsia="Fira Sans Light" w:cs="Times New Roman"/>
          <w:szCs w:val="19"/>
        </w:rPr>
        <w:t>L</w:t>
      </w:r>
      <w:r>
        <w:rPr>
          <w:rFonts w:eastAsia="Fira Sans Light" w:cs="Times New Roman"/>
          <w:szCs w:val="19"/>
        </w:rPr>
        <w:t>iczb</w:t>
      </w:r>
      <w:r w:rsidR="006E04F3">
        <w:rPr>
          <w:rFonts w:eastAsia="Fira Sans Light" w:cs="Times New Roman"/>
          <w:szCs w:val="19"/>
        </w:rPr>
        <w:t>a</w:t>
      </w:r>
      <w:r>
        <w:rPr>
          <w:rFonts w:eastAsia="Fira Sans Light" w:cs="Times New Roman"/>
          <w:szCs w:val="19"/>
        </w:rPr>
        <w:t xml:space="preserve"> </w:t>
      </w:r>
      <w:r w:rsidR="002D22B8">
        <w:rPr>
          <w:rFonts w:eastAsia="Fira Sans Light" w:cs="Times New Roman"/>
          <w:szCs w:val="19"/>
        </w:rPr>
        <w:t>banków spółdzielczych zmniejszył</w:t>
      </w:r>
      <w:r w:rsidR="006E04F3">
        <w:rPr>
          <w:rFonts w:eastAsia="Fira Sans Light" w:cs="Times New Roman"/>
          <w:szCs w:val="19"/>
        </w:rPr>
        <w:t xml:space="preserve">a się </w:t>
      </w:r>
      <w:r>
        <w:rPr>
          <w:rFonts w:eastAsia="Fira Sans Light" w:cs="Times New Roman"/>
          <w:szCs w:val="19"/>
        </w:rPr>
        <w:t xml:space="preserve">do </w:t>
      </w:r>
      <w:r w:rsidR="006E04F3">
        <w:rPr>
          <w:rFonts w:eastAsia="Fira Sans Light" w:cs="Times New Roman"/>
          <w:szCs w:val="19"/>
        </w:rPr>
        <w:t>5</w:t>
      </w:r>
      <w:r w:rsidR="00F27C3F">
        <w:rPr>
          <w:rFonts w:eastAsia="Fira Sans Light" w:cs="Times New Roman"/>
          <w:szCs w:val="19"/>
        </w:rPr>
        <w:t>49</w:t>
      </w:r>
      <w:r>
        <w:rPr>
          <w:rFonts w:eastAsia="Fira Sans Light" w:cs="Times New Roman"/>
          <w:szCs w:val="19"/>
        </w:rPr>
        <w:t xml:space="preserve">, z powodu połączenia </w:t>
      </w:r>
      <w:r w:rsidR="00F27C3F">
        <w:rPr>
          <w:rFonts w:eastAsia="Fira Sans Light" w:cs="Times New Roman"/>
          <w:szCs w:val="19"/>
        </w:rPr>
        <w:t>4</w:t>
      </w:r>
      <w:r>
        <w:rPr>
          <w:rFonts w:eastAsia="Fira Sans Light" w:cs="Times New Roman"/>
          <w:szCs w:val="19"/>
        </w:rPr>
        <w:t xml:space="preserve"> banków spółdzielczych z</w:t>
      </w:r>
      <w:r w:rsidR="00F86BDA">
        <w:rPr>
          <w:rFonts w:eastAsia="Fira Sans Light" w:cs="Times New Roman"/>
          <w:szCs w:val="19"/>
        </w:rPr>
        <w:t xml:space="preserve"> innymi bankami spółdzielczymi.</w:t>
      </w:r>
    </w:p>
    <w:p w:rsidR="007C7560" w:rsidRDefault="007C7560" w:rsidP="007C7560">
      <w:pPr>
        <w:rPr>
          <w:rFonts w:eastAsia="Fira Sans Light" w:cs="Times New Roman"/>
          <w:szCs w:val="19"/>
        </w:rPr>
      </w:pPr>
    </w:p>
    <w:p w:rsidR="007C7560" w:rsidRDefault="007C7560" w:rsidP="007C7560">
      <w:pPr>
        <w:rPr>
          <w:rFonts w:eastAsia="Fira Sans Light" w:cs="Times New Roman"/>
          <w:szCs w:val="19"/>
        </w:rPr>
      </w:pPr>
    </w:p>
    <w:p w:rsidR="00A55AAF" w:rsidRDefault="000A33CB">
      <w:pPr>
        <w:jc w:val="both"/>
        <w:rPr>
          <w:rFonts w:eastAsia="Fira Sans Light" w:cs="Times New Roman"/>
          <w:sz w:val="16"/>
          <w:szCs w:val="16"/>
        </w:rPr>
      </w:pPr>
      <w:r>
        <w:rPr>
          <w:rFonts w:eastAsia="Fira Sans Light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6439</wp:posOffset>
                </wp:positionH>
                <wp:positionV relativeFrom="paragraph">
                  <wp:posOffset>143904</wp:posOffset>
                </wp:positionV>
                <wp:extent cx="2028423" cy="0"/>
                <wp:effectExtent l="0" t="0" r="101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4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D982" id="Łącznik prostoliniowy 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1.35pt" to="16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A55AAF" w:rsidRPr="007C7560" w:rsidRDefault="000A33CB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>1</w:t>
      </w:r>
      <w:r w:rsidRPr="007C7560">
        <w:rPr>
          <w:rFonts w:eastAsia="Fira Sans Light" w:cs="Times New Roman"/>
          <w:sz w:val="16"/>
          <w:szCs w:val="16"/>
        </w:rPr>
        <w:t xml:space="preserve"> Opracowano na podstawie danych Narodowego Banku Polskiego z sektora bankowego za 2018 r. przekazanych do GUS </w:t>
      </w:r>
      <w:r w:rsidR="00845CEF" w:rsidRPr="007C7560">
        <w:rPr>
          <w:rFonts w:eastAsia="Fira Sans Light" w:cs="Times New Roman"/>
          <w:sz w:val="16"/>
          <w:szCs w:val="16"/>
        </w:rPr>
        <w:t xml:space="preserve">w dniu </w:t>
      </w:r>
      <w:r w:rsidRPr="007C7560">
        <w:rPr>
          <w:rFonts w:eastAsia="Fira Sans Light" w:cs="Times New Roman"/>
          <w:sz w:val="16"/>
          <w:szCs w:val="16"/>
        </w:rPr>
        <w:t>1</w:t>
      </w:r>
      <w:r w:rsidR="003542AE" w:rsidRPr="007C7560">
        <w:rPr>
          <w:rFonts w:eastAsia="Fira Sans Light" w:cs="Times New Roman"/>
          <w:sz w:val="16"/>
          <w:szCs w:val="16"/>
        </w:rPr>
        <w:t>8</w:t>
      </w:r>
      <w:r w:rsidR="00AE20ED" w:rsidRPr="007C7560">
        <w:rPr>
          <w:rFonts w:eastAsia="Fira Sans Light" w:cs="Times New Roman"/>
          <w:sz w:val="16"/>
          <w:szCs w:val="16"/>
        </w:rPr>
        <w:t>.</w:t>
      </w:r>
      <w:r w:rsidR="003542AE" w:rsidRPr="007C7560">
        <w:rPr>
          <w:rFonts w:eastAsia="Fira Sans Light" w:cs="Times New Roman"/>
          <w:sz w:val="16"/>
          <w:szCs w:val="16"/>
        </w:rPr>
        <w:t>02</w:t>
      </w:r>
      <w:r w:rsidRPr="007C7560">
        <w:rPr>
          <w:rFonts w:eastAsia="Fira Sans Light" w:cs="Times New Roman"/>
          <w:sz w:val="16"/>
          <w:szCs w:val="16"/>
        </w:rPr>
        <w:t>.201</w:t>
      </w:r>
      <w:r w:rsidR="003542AE" w:rsidRPr="007C7560">
        <w:rPr>
          <w:rFonts w:eastAsia="Fira Sans Light" w:cs="Times New Roman"/>
          <w:sz w:val="16"/>
          <w:szCs w:val="16"/>
        </w:rPr>
        <w:t>9</w:t>
      </w:r>
      <w:r w:rsidRPr="007C7560">
        <w:rPr>
          <w:rFonts w:eastAsia="Fira Sans Light" w:cs="Times New Roman"/>
          <w:sz w:val="16"/>
          <w:szCs w:val="16"/>
        </w:rPr>
        <w:t> r. Porównawcze dane za</w:t>
      </w:r>
      <w:r w:rsidR="003542AE" w:rsidRPr="007C7560">
        <w:rPr>
          <w:rFonts w:eastAsia="Fira Sans Light" w:cs="Times New Roman"/>
          <w:sz w:val="16"/>
          <w:szCs w:val="16"/>
        </w:rPr>
        <w:t xml:space="preserve"> </w:t>
      </w:r>
      <w:r w:rsidRPr="007C7560">
        <w:rPr>
          <w:rFonts w:eastAsia="Fira Sans Light" w:cs="Times New Roman"/>
          <w:sz w:val="16"/>
          <w:szCs w:val="16"/>
        </w:rPr>
        <w:t xml:space="preserve">2017 r. podano na podstawie danych Narodowego Banku Polskiego dostępnych na stronie internetowej NBP (stan w dniu </w:t>
      </w:r>
      <w:r w:rsidR="003542AE" w:rsidRPr="007C7560">
        <w:rPr>
          <w:rFonts w:eastAsia="Fira Sans Light" w:cs="Times New Roman"/>
          <w:sz w:val="16"/>
          <w:szCs w:val="16"/>
        </w:rPr>
        <w:t>1</w:t>
      </w:r>
      <w:r w:rsidR="0050005A" w:rsidRPr="007C7560">
        <w:rPr>
          <w:rFonts w:eastAsia="Fira Sans Light" w:cs="Times New Roman"/>
          <w:sz w:val="16"/>
          <w:szCs w:val="16"/>
        </w:rPr>
        <w:t>1.</w:t>
      </w:r>
      <w:r w:rsidR="003542AE" w:rsidRPr="007C7560">
        <w:rPr>
          <w:rFonts w:eastAsia="Fira Sans Light" w:cs="Times New Roman"/>
          <w:sz w:val="16"/>
          <w:szCs w:val="16"/>
        </w:rPr>
        <w:t>03</w:t>
      </w:r>
      <w:r w:rsidRPr="007C7560">
        <w:rPr>
          <w:rFonts w:eastAsia="Fira Sans Light" w:cs="Times New Roman"/>
          <w:sz w:val="16"/>
          <w:szCs w:val="16"/>
        </w:rPr>
        <w:t>.201</w:t>
      </w:r>
      <w:r w:rsidR="003542AE" w:rsidRPr="007C7560">
        <w:rPr>
          <w:rFonts w:eastAsia="Fira Sans Light" w:cs="Times New Roman"/>
          <w:sz w:val="16"/>
          <w:szCs w:val="16"/>
        </w:rPr>
        <w:t>9</w:t>
      </w:r>
      <w:r w:rsidRPr="007C7560">
        <w:rPr>
          <w:rFonts w:eastAsia="Fira Sans Light" w:cs="Times New Roman"/>
          <w:sz w:val="16"/>
          <w:szCs w:val="16"/>
        </w:rPr>
        <w:t> r.). Liczba banków została podana według danych UKNF. Niniejsza informacja nie uwzględnia wyników banków w fazie organizacji, upadł</w:t>
      </w:r>
      <w:r w:rsidR="003542AE" w:rsidRPr="007C7560">
        <w:rPr>
          <w:rFonts w:eastAsia="Fira Sans Light" w:cs="Times New Roman"/>
          <w:sz w:val="16"/>
          <w:szCs w:val="16"/>
        </w:rPr>
        <w:t>ości lub likwidacji.</w:t>
      </w:r>
    </w:p>
    <w:p w:rsidR="00252BCF" w:rsidRPr="007C7560" w:rsidRDefault="000A33CB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</w:rPr>
        <w:t xml:space="preserve">Dodatkowe uwagi. Od 2018 r. banki obowiązuje zmieniony Międzynarodowy Standard Sprawozdawczości Finansowej nr 9 (MSSF 9) </w:t>
      </w:r>
      <w:r w:rsidRPr="007C7560">
        <w:rPr>
          <w:rFonts w:eastAsia="Fira Sans Light" w:cs="Times New Roman"/>
          <w:i/>
          <w:sz w:val="16"/>
          <w:szCs w:val="16"/>
        </w:rPr>
        <w:t>Instrumenty finansowe</w:t>
      </w:r>
      <w:r w:rsidRPr="007C7560">
        <w:rPr>
          <w:rFonts w:eastAsia="Fira Sans Light" w:cs="Times New Roman"/>
          <w:sz w:val="16"/>
          <w:szCs w:val="16"/>
        </w:rPr>
        <w:t>. Zgodnie z zapisami MSSF 9 banki były zwolnione z obowiązku przekształcania danych porównawczych dla okresów wcześniejszych w odniesieniu do zmian wynikających z klasyfikacji i wyceny aktywów i zobowiązań (w tym z tytułu utraty wartości). W związku z tym, w c</w:t>
      </w:r>
      <w:r w:rsidR="00B02836" w:rsidRPr="007C7560">
        <w:rPr>
          <w:rFonts w:eastAsia="Fira Sans Light" w:cs="Times New Roman"/>
          <w:sz w:val="16"/>
          <w:szCs w:val="16"/>
        </w:rPr>
        <w:t>elu zwiększenia porównywalności</w:t>
      </w:r>
      <w:r w:rsidRPr="007C7560">
        <w:rPr>
          <w:rFonts w:eastAsia="Fira Sans Light" w:cs="Times New Roman"/>
          <w:sz w:val="16"/>
          <w:szCs w:val="16"/>
        </w:rPr>
        <w:t>, dane za 2017 r. zostały skorygowa</w:t>
      </w:r>
      <w:r w:rsidR="00AE20ED" w:rsidRPr="007C7560">
        <w:rPr>
          <w:rFonts w:eastAsia="Fira Sans Light" w:cs="Times New Roman"/>
          <w:sz w:val="16"/>
          <w:szCs w:val="16"/>
        </w:rPr>
        <w:t>ne zgodnie ze wskazaniami UKNF.</w:t>
      </w:r>
      <w:r w:rsidR="002377E1" w:rsidRPr="007C7560">
        <w:rPr>
          <w:rFonts w:eastAsia="Fira Sans Light" w:cs="Times New Roman"/>
          <w:sz w:val="16"/>
          <w:szCs w:val="16"/>
        </w:rPr>
        <w:t xml:space="preserve"> Dodatkowe zaburzenia </w:t>
      </w:r>
      <w:r w:rsidR="00F16394" w:rsidRPr="007C7560">
        <w:rPr>
          <w:rFonts w:eastAsia="Fira Sans Light" w:cs="Times New Roman"/>
          <w:sz w:val="16"/>
          <w:szCs w:val="16"/>
        </w:rPr>
        <w:t xml:space="preserve">w porównywalności danych wprowadziły zmiany własnościowe w bankach </w:t>
      </w:r>
      <w:r w:rsidR="00503A35" w:rsidRPr="007C7560">
        <w:rPr>
          <w:rFonts w:eastAsia="Fira Sans Light" w:cs="Times New Roman"/>
          <w:sz w:val="16"/>
          <w:szCs w:val="16"/>
        </w:rPr>
        <w:t>przeprowadzo</w:t>
      </w:r>
      <w:r w:rsidR="00F16394" w:rsidRPr="007C7560">
        <w:rPr>
          <w:rFonts w:eastAsia="Fira Sans Light" w:cs="Times New Roman"/>
          <w:sz w:val="16"/>
          <w:szCs w:val="16"/>
        </w:rPr>
        <w:t>ne w IV kwartale 2018 r.</w:t>
      </w:r>
    </w:p>
    <w:p w:rsidR="00A55AAF" w:rsidRPr="007C7560" w:rsidRDefault="000A33CB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</w:rPr>
        <w:t>Mając na względzie powyższe zastrzeżenia zwraca</w:t>
      </w:r>
      <w:r w:rsidR="00252BCF" w:rsidRPr="007C7560">
        <w:rPr>
          <w:rFonts w:eastAsia="Fira Sans Light" w:cs="Times New Roman"/>
          <w:sz w:val="16"/>
          <w:szCs w:val="16"/>
        </w:rPr>
        <w:t>m</w:t>
      </w:r>
      <w:r w:rsidRPr="007C7560">
        <w:rPr>
          <w:rFonts w:eastAsia="Fira Sans Light" w:cs="Times New Roman"/>
          <w:sz w:val="16"/>
          <w:szCs w:val="16"/>
        </w:rPr>
        <w:t xml:space="preserve">y uwagę, że prezentowane </w:t>
      </w:r>
      <w:r w:rsidR="00252BCF" w:rsidRPr="007C7560">
        <w:rPr>
          <w:rFonts w:eastAsia="Fira Sans Light" w:cs="Times New Roman"/>
          <w:sz w:val="16"/>
          <w:szCs w:val="16"/>
        </w:rPr>
        <w:t xml:space="preserve">w </w:t>
      </w:r>
      <w:r w:rsidR="00252BCF" w:rsidRPr="007C7560">
        <w:rPr>
          <w:rFonts w:eastAsia="Fira Sans Light" w:cs="Times New Roman"/>
          <w:i/>
          <w:sz w:val="16"/>
          <w:szCs w:val="16"/>
        </w:rPr>
        <w:t>I</w:t>
      </w:r>
      <w:r w:rsidRPr="007C7560">
        <w:rPr>
          <w:rFonts w:eastAsia="Fira Sans Light" w:cs="Times New Roman"/>
          <w:i/>
          <w:sz w:val="16"/>
          <w:szCs w:val="16"/>
        </w:rPr>
        <w:t>nformacji sygnalnej</w:t>
      </w:r>
      <w:r w:rsidRPr="007C7560">
        <w:rPr>
          <w:rFonts w:eastAsia="Fira Sans Light" w:cs="Times New Roman"/>
          <w:sz w:val="16"/>
          <w:szCs w:val="16"/>
        </w:rPr>
        <w:t xml:space="preserve"> dane za 2018 r. nie są </w:t>
      </w:r>
      <w:r w:rsidR="00252BCF" w:rsidRPr="007C7560">
        <w:rPr>
          <w:rFonts w:eastAsia="Fira Sans Light" w:cs="Times New Roman"/>
          <w:sz w:val="16"/>
          <w:szCs w:val="16"/>
        </w:rPr>
        <w:t>w pełni</w:t>
      </w:r>
      <w:r w:rsidRPr="007C7560">
        <w:rPr>
          <w:rFonts w:eastAsia="Fira Sans Light" w:cs="Times New Roman"/>
          <w:sz w:val="16"/>
          <w:szCs w:val="16"/>
        </w:rPr>
        <w:t xml:space="preserve"> porównywalne z danymi za 2017 r.</w:t>
      </w:r>
    </w:p>
    <w:p w:rsidR="00A766C9" w:rsidRPr="007C7560" w:rsidRDefault="00A766C9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2 </w:t>
      </w:r>
      <w:r w:rsidRPr="007C7560">
        <w:rPr>
          <w:rFonts w:eastAsia="Fira Sans Light" w:cs="Times New Roman"/>
          <w:sz w:val="16"/>
          <w:szCs w:val="16"/>
        </w:rPr>
        <w:t>Dane za 2017 r. dotyczą poniesionych strat kredytowych, a za 2018 r. oczekiwanych</w:t>
      </w:r>
      <w:r w:rsidRPr="007C7560">
        <w:rPr>
          <w:sz w:val="16"/>
          <w:szCs w:val="16"/>
        </w:rPr>
        <w:t xml:space="preserve"> </w:t>
      </w:r>
      <w:r w:rsidRPr="007C7560">
        <w:rPr>
          <w:rFonts w:eastAsia="Fira Sans Light" w:cs="Times New Roman"/>
          <w:sz w:val="16"/>
          <w:szCs w:val="16"/>
        </w:rPr>
        <w:t>strat kredytowych.</w:t>
      </w:r>
    </w:p>
    <w:p w:rsidR="00B02836" w:rsidRPr="007C7560" w:rsidRDefault="00A766C9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3 </w:t>
      </w:r>
      <w:r w:rsidR="000A33CB" w:rsidRPr="007C7560">
        <w:rPr>
          <w:rFonts w:eastAsia="Fira Sans Light" w:cs="Times New Roman"/>
          <w:sz w:val="16"/>
          <w:szCs w:val="16"/>
        </w:rPr>
        <w:t>Należności z portfel</w:t>
      </w:r>
      <w:r w:rsidR="00B02836" w:rsidRPr="007C7560">
        <w:rPr>
          <w:rFonts w:eastAsia="Fira Sans Light" w:cs="Times New Roman"/>
          <w:sz w:val="16"/>
          <w:szCs w:val="16"/>
        </w:rPr>
        <w:t>a B (wartość bilansowa brutto).</w:t>
      </w:r>
      <w:r w:rsidR="00FA44C3" w:rsidRPr="007C7560">
        <w:rPr>
          <w:rFonts w:eastAsia="Fira Sans Light" w:cs="Times New Roman"/>
          <w:sz w:val="16"/>
          <w:szCs w:val="16"/>
        </w:rPr>
        <w:t xml:space="preserve"> </w:t>
      </w:r>
      <w:r w:rsidR="007C7247" w:rsidRPr="007C7560">
        <w:rPr>
          <w:rFonts w:eastAsia="Fira Sans Light" w:cs="Times New Roman"/>
          <w:sz w:val="16"/>
          <w:szCs w:val="16"/>
        </w:rPr>
        <w:t>N</w:t>
      </w:r>
      <w:r w:rsidR="00FA44C3" w:rsidRPr="007C7560">
        <w:rPr>
          <w:rFonts w:eastAsia="Fira Sans Light" w:cs="Times New Roman"/>
          <w:sz w:val="16"/>
          <w:szCs w:val="16"/>
        </w:rPr>
        <w:t>ależy zwrócić uwagę, że w</w:t>
      </w:r>
      <w:r w:rsidR="00B02836" w:rsidRPr="007C7560">
        <w:rPr>
          <w:rFonts w:eastAsia="Fira Sans Light" w:cs="Times New Roman"/>
          <w:sz w:val="16"/>
          <w:szCs w:val="16"/>
        </w:rPr>
        <w:t xml:space="preserve"> 2018 r. skokowo zwiększyła się wartość kredytów wykazywanych w portfelu A. Wg stanu w dniu </w:t>
      </w:r>
      <w:r w:rsidR="001D0C12" w:rsidRPr="007C7560">
        <w:rPr>
          <w:rFonts w:eastAsia="Fira Sans Light" w:cs="Times New Roman"/>
          <w:sz w:val="16"/>
          <w:szCs w:val="16"/>
        </w:rPr>
        <w:t xml:space="preserve">31 XII </w:t>
      </w:r>
      <w:r w:rsidR="00B02836" w:rsidRPr="007C7560">
        <w:rPr>
          <w:rFonts w:eastAsia="Fira Sans Light" w:cs="Times New Roman"/>
          <w:sz w:val="16"/>
          <w:szCs w:val="16"/>
        </w:rPr>
        <w:t>2018</w:t>
      </w:r>
      <w:r w:rsidR="003542AE" w:rsidRPr="007C7560">
        <w:rPr>
          <w:rFonts w:eastAsia="Fira Sans Light" w:cs="Times New Roman"/>
          <w:sz w:val="16"/>
          <w:szCs w:val="16"/>
        </w:rPr>
        <w:t> </w:t>
      </w:r>
      <w:r w:rsidR="00B02836" w:rsidRPr="007C7560">
        <w:rPr>
          <w:rFonts w:eastAsia="Fira Sans Light" w:cs="Times New Roman"/>
          <w:sz w:val="16"/>
          <w:szCs w:val="16"/>
        </w:rPr>
        <w:t xml:space="preserve">r. wartość tych kredytów </w:t>
      </w:r>
      <w:r w:rsidR="00FA44C3" w:rsidRPr="007C7560">
        <w:rPr>
          <w:rFonts w:eastAsia="Fira Sans Light" w:cs="Times New Roman"/>
          <w:sz w:val="16"/>
          <w:szCs w:val="16"/>
        </w:rPr>
        <w:t>dla</w:t>
      </w:r>
      <w:r w:rsidR="00B02836" w:rsidRPr="007C7560">
        <w:rPr>
          <w:rFonts w:eastAsia="Fira Sans Light" w:cs="Times New Roman"/>
          <w:sz w:val="16"/>
          <w:szCs w:val="16"/>
        </w:rPr>
        <w:t xml:space="preserve"> sektora niefinansowego oraz sektora instytucji rząd</w:t>
      </w:r>
      <w:r w:rsidR="00A65EA8" w:rsidRPr="007C7560">
        <w:rPr>
          <w:rFonts w:eastAsia="Fira Sans Light" w:cs="Times New Roman"/>
          <w:sz w:val="16"/>
          <w:szCs w:val="16"/>
        </w:rPr>
        <w:t xml:space="preserve">owych i samorządowych wyniosła </w:t>
      </w:r>
      <w:r w:rsidR="009F3934" w:rsidRPr="007C7560">
        <w:rPr>
          <w:rFonts w:eastAsia="Fira Sans Light" w:cs="Times New Roman"/>
          <w:sz w:val="16"/>
          <w:szCs w:val="16"/>
        </w:rPr>
        <w:t>10</w:t>
      </w:r>
      <w:r w:rsidR="00A84029" w:rsidRPr="007C7560">
        <w:rPr>
          <w:rFonts w:eastAsia="Fira Sans Light" w:cs="Times New Roman"/>
          <w:sz w:val="16"/>
          <w:szCs w:val="16"/>
        </w:rPr>
        <w:t>,</w:t>
      </w:r>
      <w:r w:rsidR="009F3934" w:rsidRPr="007C7560">
        <w:rPr>
          <w:rFonts w:eastAsia="Fira Sans Light" w:cs="Times New Roman"/>
          <w:sz w:val="16"/>
          <w:szCs w:val="16"/>
        </w:rPr>
        <w:t>7</w:t>
      </w:r>
      <w:r w:rsidR="00A84029" w:rsidRPr="007C7560">
        <w:rPr>
          <w:rFonts w:eastAsia="Fira Sans Light" w:cs="Times New Roman"/>
          <w:sz w:val="16"/>
          <w:szCs w:val="16"/>
        </w:rPr>
        <w:t> </w:t>
      </w:r>
      <w:r w:rsidR="00B02836" w:rsidRPr="007C7560">
        <w:rPr>
          <w:rFonts w:eastAsia="Fira Sans Light" w:cs="Times New Roman"/>
          <w:sz w:val="16"/>
          <w:szCs w:val="16"/>
        </w:rPr>
        <w:t xml:space="preserve">mld zł, wobec </w:t>
      </w:r>
      <w:r w:rsidR="00622DAC" w:rsidRPr="007C7560">
        <w:rPr>
          <w:rFonts w:eastAsia="Fira Sans Light" w:cs="Times New Roman"/>
          <w:sz w:val="16"/>
          <w:szCs w:val="16"/>
        </w:rPr>
        <w:t>2</w:t>
      </w:r>
      <w:r w:rsidR="00FA44C3" w:rsidRPr="007C7560">
        <w:rPr>
          <w:rFonts w:eastAsia="Fira Sans Light" w:cs="Times New Roman"/>
          <w:sz w:val="16"/>
          <w:szCs w:val="16"/>
        </w:rPr>
        <w:t>,</w:t>
      </w:r>
      <w:r w:rsidR="00622DAC" w:rsidRPr="007C7560">
        <w:rPr>
          <w:rFonts w:eastAsia="Fira Sans Light" w:cs="Times New Roman"/>
          <w:sz w:val="16"/>
          <w:szCs w:val="16"/>
        </w:rPr>
        <w:t>3</w:t>
      </w:r>
      <w:r w:rsidR="00B02836" w:rsidRPr="007C7560">
        <w:rPr>
          <w:rFonts w:eastAsia="Fira Sans Light" w:cs="Times New Roman"/>
          <w:sz w:val="16"/>
          <w:szCs w:val="16"/>
        </w:rPr>
        <w:t> mln zł rok wcześniej.</w:t>
      </w:r>
    </w:p>
    <w:p w:rsidR="00A55AAF" w:rsidRPr="007C7560" w:rsidRDefault="00A766C9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4 </w:t>
      </w:r>
      <w:r w:rsidR="00D758CE" w:rsidRPr="007C7560">
        <w:rPr>
          <w:rFonts w:eastAsia="Fira Sans Light" w:cs="Times New Roman"/>
          <w:sz w:val="16"/>
          <w:szCs w:val="16"/>
        </w:rPr>
        <w:t>Pozycja zawiera</w:t>
      </w:r>
      <w:r w:rsidR="00D758CE" w:rsidRPr="007C7560">
        <w:rPr>
          <w:rFonts w:eastAsia="Fira Sans Light" w:cs="Times New Roman"/>
          <w:sz w:val="16"/>
          <w:szCs w:val="16"/>
          <w:vertAlign w:val="superscript"/>
        </w:rPr>
        <w:t xml:space="preserve"> </w:t>
      </w:r>
      <w:r w:rsidR="00D758CE" w:rsidRPr="007C7560">
        <w:rPr>
          <w:rFonts w:eastAsia="Fira Sans Light" w:cs="Times New Roman"/>
          <w:sz w:val="16"/>
          <w:szCs w:val="16"/>
        </w:rPr>
        <w:t>wartość instrumentów dłużnych przedsiębiorstw</w:t>
      </w:r>
      <w:r w:rsidR="002377E1" w:rsidRPr="007C7560">
        <w:rPr>
          <w:rFonts w:eastAsia="Fira Sans Light" w:cs="Times New Roman"/>
          <w:sz w:val="16"/>
          <w:szCs w:val="16"/>
        </w:rPr>
        <w:t xml:space="preserve"> –</w:t>
      </w:r>
      <w:r w:rsidR="009F327B" w:rsidRPr="007C7560">
        <w:rPr>
          <w:rFonts w:eastAsia="Fira Sans Light" w:cs="Times New Roman"/>
          <w:sz w:val="16"/>
          <w:szCs w:val="16"/>
        </w:rPr>
        <w:t xml:space="preserve"> 18,1 mld zł w</w:t>
      </w:r>
      <w:r w:rsidR="00D758CE" w:rsidRPr="007C7560">
        <w:rPr>
          <w:rFonts w:eastAsia="Fira Sans Light" w:cs="Times New Roman"/>
          <w:sz w:val="16"/>
          <w:szCs w:val="16"/>
        </w:rPr>
        <w:t xml:space="preserve"> 2017 r. oraz 15,2 mld zł </w:t>
      </w:r>
      <w:r w:rsidR="009F327B" w:rsidRPr="007C7560">
        <w:rPr>
          <w:rFonts w:eastAsia="Fira Sans Light" w:cs="Times New Roman"/>
          <w:sz w:val="16"/>
          <w:szCs w:val="16"/>
        </w:rPr>
        <w:t>w 2018 r.</w:t>
      </w:r>
    </w:p>
    <w:p w:rsidR="00A55AAF" w:rsidRPr="007C7560" w:rsidRDefault="00A766C9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5 </w:t>
      </w:r>
      <w:r w:rsidR="00D758CE" w:rsidRPr="007C7560">
        <w:rPr>
          <w:rFonts w:eastAsia="Fira Sans Light" w:cs="Times New Roman"/>
          <w:sz w:val="16"/>
          <w:szCs w:val="16"/>
        </w:rPr>
        <w:t>Przedsiębiorstwa oraz osoby fizyczne prowadzące działalność gospodarczą na własny rachunek, u których liczba pracujących na koniec ostatniego zakończonego roku obrotowego wynosiła co najmniej 250 osób.</w:t>
      </w:r>
    </w:p>
    <w:p w:rsidR="00A55AAF" w:rsidRPr="007C7560" w:rsidRDefault="00A766C9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6 </w:t>
      </w:r>
      <w:r w:rsidR="00D758CE" w:rsidRPr="007C7560">
        <w:rPr>
          <w:rFonts w:eastAsia="Fira Sans Light" w:cs="Times New Roman"/>
          <w:sz w:val="16"/>
          <w:szCs w:val="16"/>
        </w:rPr>
        <w:t>Małe i średnie przedsiębiorstwa, w których liczba pracujących na koniec ostatniego zakończonego roku obrotowego wynosiła mniej niż 250 osób oraz osoby fizyczne prowadzące działalność gospodarczą na własny rachunek, o ile liczba pracujących w ramach prowadzonej działalności gospodarczej wynosiła więcej niż 9, lecz mniej niż 250 osób.</w:t>
      </w:r>
    </w:p>
    <w:p w:rsidR="00D758CE" w:rsidRPr="007C7560" w:rsidRDefault="00D758CE" w:rsidP="007C7560">
      <w:pPr>
        <w:spacing w:after="0" w:line="240" w:lineRule="auto"/>
        <w:rPr>
          <w:rFonts w:eastAsia="Fira Sans Light" w:cs="Times New Roman"/>
          <w:sz w:val="16"/>
          <w:szCs w:val="16"/>
        </w:rPr>
      </w:pPr>
      <w:r w:rsidRPr="007C7560">
        <w:rPr>
          <w:rFonts w:eastAsia="Fira Sans Light" w:cs="Times New Roman"/>
          <w:sz w:val="16"/>
          <w:szCs w:val="16"/>
          <w:vertAlign w:val="superscript"/>
        </w:rPr>
        <w:t xml:space="preserve">7 </w:t>
      </w:r>
      <w:r w:rsidRPr="007C7560">
        <w:rPr>
          <w:rFonts w:eastAsia="Fira Sans Light" w:cs="Times New Roman"/>
          <w:sz w:val="16"/>
          <w:szCs w:val="16"/>
        </w:rPr>
        <w:t>Bez instrumentów dłużnych.</w:t>
      </w:r>
    </w:p>
    <w:p w:rsidR="008732DA" w:rsidRDefault="008732DA">
      <w:pPr>
        <w:jc w:val="both"/>
        <w:rPr>
          <w:sz w:val="18"/>
        </w:rPr>
      </w:pPr>
      <w:r>
        <w:rPr>
          <w:sz w:val="18"/>
        </w:rPr>
        <w:br w:type="page"/>
      </w:r>
    </w:p>
    <w:p w:rsidR="008732DA" w:rsidRDefault="008732DA">
      <w:pPr>
        <w:jc w:val="both"/>
        <w:rPr>
          <w:sz w:val="18"/>
        </w:rPr>
        <w:sectPr w:rsidR="008732D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3119" w:bottom="720" w:left="720" w:header="170" w:footer="283" w:gutter="0"/>
          <w:pgNumType w:start="1"/>
          <w:cols w:space="708"/>
          <w:titlePg/>
          <w:docGrid w:linePitch="360"/>
        </w:sectPr>
      </w:pPr>
    </w:p>
    <w:p w:rsidR="00A55AAF" w:rsidRDefault="00A55AAF">
      <w:pPr>
        <w:jc w:val="both"/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9"/>
        <w:gridCol w:w="3818"/>
      </w:tblGrid>
      <w:tr w:rsidR="00A55AAF" w:rsidRPr="006C4807">
        <w:trPr>
          <w:trHeight w:val="1912"/>
        </w:trPr>
        <w:tc>
          <w:tcPr>
            <w:tcW w:w="4379" w:type="dxa"/>
          </w:tcPr>
          <w:p w:rsidR="00A55AAF" w:rsidRDefault="000A33CB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A55AAF" w:rsidRDefault="000A33C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Departament Studiów</w:t>
            </w:r>
          </w:p>
          <w:p w:rsidR="00A55AAF" w:rsidRDefault="000A33C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Makroekonomicznych i Finansów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Wojciech Bąbik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3776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6C4807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6C4807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w.babik@stat.gov.pl</w:t>
              </w:r>
            </w:hyperlink>
          </w:p>
        </w:tc>
        <w:tc>
          <w:tcPr>
            <w:tcW w:w="3942" w:type="dxa"/>
          </w:tcPr>
          <w:p w:rsidR="00A55AAF" w:rsidRDefault="000A33C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  <w:r>
              <w:rPr>
                <w:rFonts w:cs="Arial"/>
                <w:color w:val="000000" w:themeColor="text1"/>
                <w:sz w:val="20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A55AAF" w:rsidRDefault="000A33C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A55AAF" w:rsidRDefault="00A55AAF">
      <w:pPr>
        <w:rPr>
          <w:sz w:val="20"/>
          <w:lang w:val="en-US"/>
        </w:rPr>
      </w:pPr>
    </w:p>
    <w:p w:rsidR="00A55AAF" w:rsidRDefault="00A55AAF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55AAF">
        <w:trPr>
          <w:trHeight w:val="610"/>
        </w:trPr>
        <w:tc>
          <w:tcPr>
            <w:tcW w:w="2721" w:type="pct"/>
            <w:vMerge w:val="restart"/>
            <w:vAlign w:val="center"/>
          </w:tcPr>
          <w:p w:rsidR="00A55AAF" w:rsidRDefault="000A33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Wydział Współpracy z Mediami </w:t>
            </w:r>
          </w:p>
          <w:p w:rsidR="00A55AAF" w:rsidRDefault="007C7560">
            <w:pPr>
              <w:rPr>
                <w:sz w:val="20"/>
              </w:rPr>
            </w:pPr>
            <w:r w:rsidRPr="007C7560">
              <w:rPr>
                <w:sz w:val="20"/>
              </w:rPr>
              <w:t>Tel</w:t>
            </w:r>
            <w:r w:rsidR="000A33CB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22 608 3491, 22 608 38</w:t>
            </w:r>
            <w:r w:rsidR="000A33CB">
              <w:rPr>
                <w:sz w:val="20"/>
              </w:rPr>
              <w:t xml:space="preserve">04 </w:t>
            </w:r>
          </w:p>
          <w:p w:rsidR="00A55AAF" w:rsidRPr="007C7247" w:rsidRDefault="000A33CB">
            <w:pPr>
              <w:rPr>
                <w:sz w:val="18"/>
                <w:lang w:val="en-US"/>
              </w:rPr>
            </w:pPr>
            <w:r w:rsidRPr="007C7247">
              <w:rPr>
                <w:b/>
                <w:sz w:val="20"/>
                <w:lang w:val="en-US"/>
              </w:rPr>
              <w:t>e-mail:</w:t>
            </w:r>
            <w:r w:rsidRPr="007C7247">
              <w:rPr>
                <w:sz w:val="20"/>
                <w:lang w:val="en-US"/>
              </w:rPr>
              <w:t xml:space="preserve"> </w:t>
            </w:r>
            <w:hyperlink r:id="rId17" w:history="1">
              <w:r w:rsidRPr="007C7560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A55AAF" w:rsidRPr="007C7247" w:rsidRDefault="000A33CB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A55AAF" w:rsidRDefault="000A33CB">
            <w:pPr>
              <w:rPr>
                <w:sz w:val="18"/>
              </w:rPr>
            </w:pPr>
            <w:r>
              <w:rPr>
                <w:sz w:val="20"/>
              </w:rPr>
              <w:t>www.stat.gov.pl</w:t>
            </w:r>
          </w:p>
        </w:tc>
      </w:tr>
      <w:tr w:rsidR="00A55AAF">
        <w:trPr>
          <w:trHeight w:val="436"/>
        </w:trPr>
        <w:tc>
          <w:tcPr>
            <w:tcW w:w="2721" w:type="pct"/>
            <w:vMerge/>
            <w:vAlign w:val="center"/>
          </w:tcPr>
          <w:p w:rsidR="00A55AAF" w:rsidRDefault="00A55AA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A55AAF" w:rsidRDefault="000A33CB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A55AAF" w:rsidRDefault="000A33CB">
            <w:pPr>
              <w:rPr>
                <w:sz w:val="18"/>
              </w:rPr>
            </w:pPr>
            <w:r>
              <w:rPr>
                <w:sz w:val="20"/>
              </w:rPr>
              <w:t>@GUS_STAT</w:t>
            </w:r>
          </w:p>
        </w:tc>
      </w:tr>
      <w:tr w:rsidR="00A55AAF">
        <w:trPr>
          <w:trHeight w:val="436"/>
        </w:trPr>
        <w:tc>
          <w:tcPr>
            <w:tcW w:w="2721" w:type="pct"/>
            <w:vMerge/>
            <w:vAlign w:val="center"/>
          </w:tcPr>
          <w:p w:rsidR="00A55AAF" w:rsidRDefault="00A55AA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A55AAF" w:rsidRDefault="000A33CB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A55AAF" w:rsidRDefault="000A33CB">
            <w:pPr>
              <w:rPr>
                <w:sz w:val="20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GlownyUrzadStatystyczny</w:t>
            </w:r>
            <w:proofErr w:type="spellEnd"/>
          </w:p>
        </w:tc>
      </w:tr>
    </w:tbl>
    <w:p w:rsidR="00A55AAF" w:rsidRDefault="000A33CB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424180</wp:posOffset>
                </wp:positionV>
                <wp:extent cx="6236970" cy="3740785"/>
                <wp:effectExtent l="0" t="0" r="11430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74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3" w:rsidRDefault="006E04F3">
                            <w:pPr>
                              <w:rPr>
                                <w:b/>
                              </w:rPr>
                            </w:pPr>
                          </w:p>
                          <w:p w:rsidR="006E04F3" w:rsidRDefault="006E04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6E04F3" w:rsidRPr="007C7560" w:rsidRDefault="00C12D9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"http://stat.gov.pl/obszary-tematyczne/podmioty-gospodarcze-wyniki-finansowe/przedsiebiorstwa-finansowe/"</w:instrText>
                            </w:r>
                            <w:r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6E04F3"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sygnalne. Wyniki finansowe </w:t>
                            </w:r>
                            <w:r w:rsidR="00C302B5"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banków</w:t>
                            </w:r>
                          </w:p>
                          <w:p w:rsidR="008640BD" w:rsidRPr="007C7560" w:rsidRDefault="00C12D9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7C756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1" w:history="1">
                              <w:r w:rsidR="008640BD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Publikacje. Monitoring Banków</w:t>
                              </w:r>
                            </w:hyperlink>
                          </w:p>
                          <w:p w:rsidR="006E04F3" w:rsidRPr="00414575" w:rsidRDefault="004C7B1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6E04F3" w:rsidRPr="0041457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Narodowy Bank Polski. Dane finansowe sektora bankowego</w:t>
                              </w:r>
                            </w:hyperlink>
                          </w:p>
                          <w:p w:rsidR="006E04F3" w:rsidRPr="007C7560" w:rsidRDefault="004C7B16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23" w:history="1">
                              <w:r w:rsidR="006E04F3" w:rsidRPr="00414575">
                                <w:rPr>
                                  <w:rFonts w:eastAsia="Fira Sans Light" w:cs="Times New Roman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Komisja Nadzoru Finansowego. Dane miesięczne sektora bankowego</w:t>
                              </w:r>
                            </w:hyperlink>
                          </w:p>
                          <w:p w:rsidR="006E04F3" w:rsidRDefault="006E04F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E04F3" w:rsidRDefault="006E04F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E04F3" w:rsidRPr="007C7560" w:rsidRDefault="004C7B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6E04F3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:rsidR="006E04F3" w:rsidRDefault="006E04F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E04F3" w:rsidRDefault="006E04F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6E04F3" w:rsidRPr="007C7560" w:rsidRDefault="004C7B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6E04F3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komercyjny</w:t>
                              </w:r>
                            </w:hyperlink>
                          </w:p>
                          <w:p w:rsidR="006E04F3" w:rsidRPr="007C7560" w:rsidRDefault="004C7B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E04F3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spółdzielczy</w:t>
                              </w:r>
                            </w:hyperlink>
                          </w:p>
                          <w:p w:rsidR="006E04F3" w:rsidRPr="007C7560" w:rsidRDefault="004C7B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6E04F3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Kredyt bankowy</w:t>
                              </w:r>
                            </w:hyperlink>
                          </w:p>
                          <w:p w:rsidR="006E04F3" w:rsidRPr="007C7560" w:rsidRDefault="004C7B16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6E04F3" w:rsidRPr="007C75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Depozyt bankowy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.1pt;margin-top:33.4pt;width:491.1pt;height:294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" fillcolor="#f2f2f2 [3052]" strokecolor="white [3212]">
                <v:textbox>
                  <w:txbxContent>
                    <w:p w:rsidR="006E04F3" w:rsidRDefault="006E04F3">
                      <w:pPr>
                        <w:rPr>
                          <w:b/>
                        </w:rPr>
                      </w:pPr>
                    </w:p>
                    <w:p w:rsidR="006E04F3" w:rsidRDefault="006E04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Powiązane opracowania</w:t>
                      </w:r>
                    </w:p>
                    <w:p w:rsidR="006E04F3" w:rsidRPr="007C7560" w:rsidRDefault="00C12D9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"http://stat.gov.pl/obszary-tematyczne/podmioty-gospodarcze-wyniki-finansowe/przedsiebiorstwa-finansowe/"</w:instrText>
                      </w:r>
                      <w:r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6E04F3"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Informacje sygnalne. Wy</w:t>
                      </w:r>
                      <w:bookmarkStart w:id="1" w:name="_GoBack"/>
                      <w:bookmarkEnd w:id="1"/>
                      <w:r w:rsidR="006E04F3"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niki finansowe </w:t>
                      </w:r>
                      <w:r w:rsidR="00C302B5"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banków</w:t>
                      </w:r>
                    </w:p>
                    <w:p w:rsidR="008640BD" w:rsidRPr="007C7560" w:rsidRDefault="00C12D9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7C756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0" w:history="1">
                        <w:r w:rsidR="008640BD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Publikacje. Monitoring Banków</w:t>
                        </w:r>
                      </w:hyperlink>
                    </w:p>
                    <w:p w:rsidR="006E04F3" w:rsidRPr="00414575" w:rsidRDefault="0033709B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6E04F3" w:rsidRPr="0041457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Narodowy Bank Polski. Dane finansowe sektora bankowego</w:t>
                        </w:r>
                      </w:hyperlink>
                    </w:p>
                    <w:p w:rsidR="006E04F3" w:rsidRPr="007C7560" w:rsidRDefault="0033709B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32" w:history="1">
                        <w:r w:rsidR="006E04F3" w:rsidRPr="00414575">
                          <w:rPr>
                            <w:rFonts w:eastAsia="Fira Sans Light" w:cs="Times New Roman"/>
                            <w:color w:val="001D77"/>
                            <w:sz w:val="18"/>
                            <w:szCs w:val="18"/>
                            <w:u w:val="single"/>
                          </w:rPr>
                          <w:t>Komisja Nadzoru Finansowego. Dane miesięczne sektora bankowego</w:t>
                        </w:r>
                      </w:hyperlink>
                    </w:p>
                    <w:p w:rsidR="006E04F3" w:rsidRDefault="006E04F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E04F3" w:rsidRDefault="006E04F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E04F3" w:rsidRPr="007C7560" w:rsidRDefault="0033709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6E04F3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:rsidR="006E04F3" w:rsidRDefault="006E04F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E04F3" w:rsidRDefault="006E04F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6E04F3" w:rsidRPr="007C7560" w:rsidRDefault="0033709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6E04F3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komercyjny</w:t>
                        </w:r>
                      </w:hyperlink>
                    </w:p>
                    <w:p w:rsidR="006E04F3" w:rsidRPr="007C7560" w:rsidRDefault="0033709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6E04F3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spółdzielczy</w:t>
                        </w:r>
                      </w:hyperlink>
                    </w:p>
                    <w:p w:rsidR="006E04F3" w:rsidRPr="007C7560" w:rsidRDefault="0033709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6E04F3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Kredyt bankowy</w:t>
                        </w:r>
                      </w:hyperlink>
                    </w:p>
                    <w:p w:rsidR="006E04F3" w:rsidRPr="007C7560" w:rsidRDefault="0033709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7" w:history="1">
                        <w:r w:rsidR="006E04F3" w:rsidRPr="007C75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Depozyt bankowy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5AAF" w:rsidSect="008732DA">
      <w:headerReference w:type="first" r:id="rId38"/>
      <w:pgSz w:w="11906" w:h="16838"/>
      <w:pgMar w:top="720" w:right="3119" w:bottom="720" w:left="720" w:header="17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16" w:rsidRDefault="004C7B16">
      <w:pPr>
        <w:spacing w:after="0" w:line="240" w:lineRule="auto"/>
      </w:pPr>
      <w:r>
        <w:separator/>
      </w:r>
    </w:p>
  </w:endnote>
  <w:endnote w:type="continuationSeparator" w:id="0">
    <w:p w:rsidR="004C7B16" w:rsidRDefault="004C7B16">
      <w:pPr>
        <w:spacing w:after="0" w:line="240" w:lineRule="auto"/>
      </w:pPr>
      <w:r>
        <w:continuationSeparator/>
      </w:r>
    </w:p>
  </w:endnote>
  <w:endnote w:type="continuationNotice" w:id="1">
    <w:p w:rsidR="004C7B16" w:rsidRDefault="004C7B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572367"/>
      <w:docPartObj>
        <w:docPartGallery w:val="Page Numbers (Bottom of Page)"/>
        <w:docPartUnique/>
      </w:docPartObj>
    </w:sdtPr>
    <w:sdtEndPr/>
    <w:sdtContent>
      <w:p w:rsidR="006E04F3" w:rsidRDefault="006E04F3">
        <w:pPr>
          <w:pStyle w:val="Stopka"/>
          <w:spacing w:before="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5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F3" w:rsidRDefault="006E04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16" w:rsidRDefault="004C7B16">
      <w:pPr>
        <w:spacing w:after="0" w:line="240" w:lineRule="auto"/>
      </w:pPr>
      <w:r>
        <w:separator/>
      </w:r>
    </w:p>
  </w:footnote>
  <w:footnote w:type="continuationSeparator" w:id="0">
    <w:p w:rsidR="004C7B16" w:rsidRDefault="004C7B16">
      <w:pPr>
        <w:spacing w:after="0" w:line="240" w:lineRule="auto"/>
      </w:pPr>
      <w:r>
        <w:continuationSeparator/>
      </w:r>
    </w:p>
  </w:footnote>
  <w:footnote w:type="continuationNotice" w:id="1">
    <w:p w:rsidR="004C7B16" w:rsidRDefault="004C7B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F3" w:rsidRDefault="006E04F3">
    <w:pPr>
      <w:pStyle w:val="Nagwek"/>
      <w:tabs>
        <w:tab w:val="clear" w:pos="4536"/>
        <w:tab w:val="clear" w:pos="9072"/>
        <w:tab w:val="center" w:pos="4033"/>
        <w:tab w:val="left" w:pos="457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5371465</wp:posOffset>
              </wp:positionH>
              <wp:positionV relativeFrom="paragraph">
                <wp:posOffset>-90303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F766A" id="Prostokąt 10" o:spid="_x0000_s1026" style="position:absolute;margin-left:422.95pt;margin-top:-7.1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>
      <w:tab/>
    </w:r>
    <w:r>
      <w:tab/>
    </w:r>
  </w:p>
  <w:p w:rsidR="006E04F3" w:rsidRDefault="006E04F3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F3" w:rsidRDefault="0012663A">
    <w:pPr>
      <w:pStyle w:val="Nagwek"/>
    </w:pPr>
    <w:r>
      <w:rPr>
        <w:rFonts w:eastAsia="Fira Sans Light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column">
                <wp:posOffset>5324007</wp:posOffset>
              </wp:positionH>
              <wp:positionV relativeFrom="paragraph">
                <wp:posOffset>396240</wp:posOffset>
              </wp:positionV>
              <wp:extent cx="1871980" cy="23950930"/>
              <wp:effectExtent l="0" t="0" r="0" b="0"/>
              <wp:wrapTight wrapText="bothSides">
                <wp:wrapPolygon edited="0">
                  <wp:start x="0" y="0"/>
                  <wp:lineTo x="0" y="21578"/>
                  <wp:lineTo x="21322" y="21578"/>
                  <wp:lineTo x="21322" y="0"/>
                  <wp:lineTo x="0" y="0"/>
                </wp:wrapPolygon>
              </wp:wrapTight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39509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663A6" id="Prostokąt 27" o:spid="_x0000_s1026" style="position:absolute;margin-left:419.2pt;margin-top:31.2pt;width:147.4pt;height:1885.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" fillcolor="#f2f2f2" stroked="f" strokeweight="1pt">
              <v:path arrowok="t"/>
              <w10:wrap type="tight"/>
            </v:rect>
          </w:pict>
        </mc:Fallback>
      </mc:AlternateContent>
    </w:r>
    <w:r w:rsidR="000B3440">
      <w:rPr>
        <w:noProof/>
        <w:lang w:eastAsia="pl-PL"/>
      </w:rPr>
      <w:drawing>
        <wp:inline distT="0" distB="0" distL="0" distR="0" wp14:anchorId="2386B8EC" wp14:editId="0270F414">
          <wp:extent cx="1153274" cy="720000"/>
          <wp:effectExtent l="0" t="0" r="0" b="4445"/>
          <wp:docPr id="13" name="Obraz 1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4F3">
      <w:rPr>
        <w:rFonts w:eastAsia="Fira Sans Light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5189220</wp:posOffset>
              </wp:positionH>
              <wp:positionV relativeFrom="paragraph">
                <wp:posOffset>223520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E04F3" w:rsidRDefault="006E04F3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408.6pt;margin-top:17.6pt;width:162.25pt;height:2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E04F3" w:rsidRDefault="006E04F3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6E04F3" w:rsidRDefault="006E04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DA" w:rsidRDefault="008732DA">
    <w:pPr>
      <w:pStyle w:val="Nagwek"/>
    </w:pPr>
  </w:p>
  <w:p w:rsidR="008732DA" w:rsidRDefault="008732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2pt;height:122pt;visibility:visible" o:bullet="t">
        <v:imagedata r:id="rId1" o:title=""/>
      </v:shape>
    </w:pict>
  </w:numPicBullet>
  <w:numPicBullet w:numPicBulletId="1">
    <w:pict>
      <v:shape id="_x0000_i1037" type="#_x0000_t75" style="width:122pt;height:122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F"/>
    <w:rsid w:val="00003DA5"/>
    <w:rsid w:val="000163AF"/>
    <w:rsid w:val="00020946"/>
    <w:rsid w:val="00020B0E"/>
    <w:rsid w:val="00025AEC"/>
    <w:rsid w:val="00044D7A"/>
    <w:rsid w:val="000530D1"/>
    <w:rsid w:val="00057E24"/>
    <w:rsid w:val="000753A4"/>
    <w:rsid w:val="00083963"/>
    <w:rsid w:val="000A1C0B"/>
    <w:rsid w:val="000A33CB"/>
    <w:rsid w:val="000A71C3"/>
    <w:rsid w:val="000A7BED"/>
    <w:rsid w:val="000B3440"/>
    <w:rsid w:val="000C43B0"/>
    <w:rsid w:val="000D1DEE"/>
    <w:rsid w:val="000D4330"/>
    <w:rsid w:val="000F065E"/>
    <w:rsid w:val="001068F7"/>
    <w:rsid w:val="00110865"/>
    <w:rsid w:val="0012663A"/>
    <w:rsid w:val="00126A52"/>
    <w:rsid w:val="00131D90"/>
    <w:rsid w:val="0014178A"/>
    <w:rsid w:val="00162284"/>
    <w:rsid w:val="00165C4B"/>
    <w:rsid w:val="00182354"/>
    <w:rsid w:val="00193932"/>
    <w:rsid w:val="00194445"/>
    <w:rsid w:val="001A72B7"/>
    <w:rsid w:val="001B24B1"/>
    <w:rsid w:val="001B2EA9"/>
    <w:rsid w:val="001C3041"/>
    <w:rsid w:val="001D0C12"/>
    <w:rsid w:val="001F1021"/>
    <w:rsid w:val="00234FB0"/>
    <w:rsid w:val="002377E1"/>
    <w:rsid w:val="00252365"/>
    <w:rsid w:val="00252BCF"/>
    <w:rsid w:val="00255B7C"/>
    <w:rsid w:val="00255FBC"/>
    <w:rsid w:val="00257D7C"/>
    <w:rsid w:val="00266F75"/>
    <w:rsid w:val="002724B6"/>
    <w:rsid w:val="00285362"/>
    <w:rsid w:val="00291440"/>
    <w:rsid w:val="002A3653"/>
    <w:rsid w:val="002B0F28"/>
    <w:rsid w:val="002C735A"/>
    <w:rsid w:val="002D22B8"/>
    <w:rsid w:val="002D4C43"/>
    <w:rsid w:val="002F5929"/>
    <w:rsid w:val="00313545"/>
    <w:rsid w:val="003203F6"/>
    <w:rsid w:val="003312D7"/>
    <w:rsid w:val="0033709B"/>
    <w:rsid w:val="0034753E"/>
    <w:rsid w:val="003542AE"/>
    <w:rsid w:val="00380AB2"/>
    <w:rsid w:val="00384D0D"/>
    <w:rsid w:val="00386232"/>
    <w:rsid w:val="003B3A9E"/>
    <w:rsid w:val="003B75C1"/>
    <w:rsid w:val="003C20AF"/>
    <w:rsid w:val="003C2471"/>
    <w:rsid w:val="003C5E79"/>
    <w:rsid w:val="003D1C2A"/>
    <w:rsid w:val="003E59AE"/>
    <w:rsid w:val="00414575"/>
    <w:rsid w:val="0043174E"/>
    <w:rsid w:val="00435134"/>
    <w:rsid w:val="004576CC"/>
    <w:rsid w:val="004750BC"/>
    <w:rsid w:val="00477C6C"/>
    <w:rsid w:val="004821C2"/>
    <w:rsid w:val="00491BD2"/>
    <w:rsid w:val="00492AB0"/>
    <w:rsid w:val="004C7B16"/>
    <w:rsid w:val="004D0C40"/>
    <w:rsid w:val="004E7353"/>
    <w:rsid w:val="0050005A"/>
    <w:rsid w:val="00500273"/>
    <w:rsid w:val="00500FA8"/>
    <w:rsid w:val="00503A35"/>
    <w:rsid w:val="00514A30"/>
    <w:rsid w:val="00515DBF"/>
    <w:rsid w:val="00543D4F"/>
    <w:rsid w:val="00545432"/>
    <w:rsid w:val="00550028"/>
    <w:rsid w:val="00555DD3"/>
    <w:rsid w:val="0056065E"/>
    <w:rsid w:val="005617C1"/>
    <w:rsid w:val="0056590A"/>
    <w:rsid w:val="00572499"/>
    <w:rsid w:val="005902D7"/>
    <w:rsid w:val="005A09C2"/>
    <w:rsid w:val="005D5C1C"/>
    <w:rsid w:val="005E22A0"/>
    <w:rsid w:val="005F2236"/>
    <w:rsid w:val="00600BA4"/>
    <w:rsid w:val="006015A7"/>
    <w:rsid w:val="00606E14"/>
    <w:rsid w:val="0061255A"/>
    <w:rsid w:val="00617FB9"/>
    <w:rsid w:val="00621BD3"/>
    <w:rsid w:val="00622DAC"/>
    <w:rsid w:val="00623B13"/>
    <w:rsid w:val="006274A5"/>
    <w:rsid w:val="00637DD1"/>
    <w:rsid w:val="00640342"/>
    <w:rsid w:val="006550FE"/>
    <w:rsid w:val="006850B1"/>
    <w:rsid w:val="00697989"/>
    <w:rsid w:val="006A68AF"/>
    <w:rsid w:val="006A68EE"/>
    <w:rsid w:val="006A7876"/>
    <w:rsid w:val="006B146A"/>
    <w:rsid w:val="006C4807"/>
    <w:rsid w:val="006D132D"/>
    <w:rsid w:val="006E04F3"/>
    <w:rsid w:val="006E2BDD"/>
    <w:rsid w:val="006F1D69"/>
    <w:rsid w:val="006F342E"/>
    <w:rsid w:val="007238CE"/>
    <w:rsid w:val="00724B31"/>
    <w:rsid w:val="00730090"/>
    <w:rsid w:val="007864E2"/>
    <w:rsid w:val="007B40D4"/>
    <w:rsid w:val="007C5D07"/>
    <w:rsid w:val="007C7247"/>
    <w:rsid w:val="007C7560"/>
    <w:rsid w:val="007E4385"/>
    <w:rsid w:val="007E7C28"/>
    <w:rsid w:val="00806435"/>
    <w:rsid w:val="008305D2"/>
    <w:rsid w:val="00845CEF"/>
    <w:rsid w:val="0085546A"/>
    <w:rsid w:val="008640BD"/>
    <w:rsid w:val="008732DA"/>
    <w:rsid w:val="008E74CF"/>
    <w:rsid w:val="008F6C88"/>
    <w:rsid w:val="00904E41"/>
    <w:rsid w:val="00933AD5"/>
    <w:rsid w:val="00937B8B"/>
    <w:rsid w:val="0094093F"/>
    <w:rsid w:val="00941B61"/>
    <w:rsid w:val="0096215D"/>
    <w:rsid w:val="009770E7"/>
    <w:rsid w:val="0099277E"/>
    <w:rsid w:val="00996488"/>
    <w:rsid w:val="009A1EAC"/>
    <w:rsid w:val="009A59F9"/>
    <w:rsid w:val="009B3E61"/>
    <w:rsid w:val="009C0131"/>
    <w:rsid w:val="009D2202"/>
    <w:rsid w:val="009E5124"/>
    <w:rsid w:val="009F095F"/>
    <w:rsid w:val="009F327B"/>
    <w:rsid w:val="009F3934"/>
    <w:rsid w:val="00A0740B"/>
    <w:rsid w:val="00A262F7"/>
    <w:rsid w:val="00A31D8F"/>
    <w:rsid w:val="00A425D1"/>
    <w:rsid w:val="00A44A1A"/>
    <w:rsid w:val="00A502E3"/>
    <w:rsid w:val="00A55AAF"/>
    <w:rsid w:val="00A56B29"/>
    <w:rsid w:val="00A65EA8"/>
    <w:rsid w:val="00A72FEF"/>
    <w:rsid w:val="00A766C9"/>
    <w:rsid w:val="00A84029"/>
    <w:rsid w:val="00A87E30"/>
    <w:rsid w:val="00A9649A"/>
    <w:rsid w:val="00AB6025"/>
    <w:rsid w:val="00AC13E2"/>
    <w:rsid w:val="00AC5B37"/>
    <w:rsid w:val="00AC6628"/>
    <w:rsid w:val="00AE0CD8"/>
    <w:rsid w:val="00AE20ED"/>
    <w:rsid w:val="00B02836"/>
    <w:rsid w:val="00B0640C"/>
    <w:rsid w:val="00B14345"/>
    <w:rsid w:val="00B22C27"/>
    <w:rsid w:val="00B27CD5"/>
    <w:rsid w:val="00B27F7C"/>
    <w:rsid w:val="00B425A1"/>
    <w:rsid w:val="00B47FC4"/>
    <w:rsid w:val="00B526D4"/>
    <w:rsid w:val="00B91DD1"/>
    <w:rsid w:val="00BB19A0"/>
    <w:rsid w:val="00BB74CE"/>
    <w:rsid w:val="00BB7E24"/>
    <w:rsid w:val="00BC0D2A"/>
    <w:rsid w:val="00BD1D28"/>
    <w:rsid w:val="00BE139F"/>
    <w:rsid w:val="00BE23F5"/>
    <w:rsid w:val="00BE4185"/>
    <w:rsid w:val="00BF1DC4"/>
    <w:rsid w:val="00C04E04"/>
    <w:rsid w:val="00C12D93"/>
    <w:rsid w:val="00C23A7A"/>
    <w:rsid w:val="00C260AC"/>
    <w:rsid w:val="00C302B5"/>
    <w:rsid w:val="00C318BD"/>
    <w:rsid w:val="00C53530"/>
    <w:rsid w:val="00C6374A"/>
    <w:rsid w:val="00C6753E"/>
    <w:rsid w:val="00C71D32"/>
    <w:rsid w:val="00C773B6"/>
    <w:rsid w:val="00C77B2A"/>
    <w:rsid w:val="00C809BD"/>
    <w:rsid w:val="00C83073"/>
    <w:rsid w:val="00C87CF4"/>
    <w:rsid w:val="00C920E8"/>
    <w:rsid w:val="00CA7A64"/>
    <w:rsid w:val="00CB00B6"/>
    <w:rsid w:val="00CB4608"/>
    <w:rsid w:val="00CE0D03"/>
    <w:rsid w:val="00CF0802"/>
    <w:rsid w:val="00CF7163"/>
    <w:rsid w:val="00D261E3"/>
    <w:rsid w:val="00D3079F"/>
    <w:rsid w:val="00D40A4C"/>
    <w:rsid w:val="00D450CB"/>
    <w:rsid w:val="00D71254"/>
    <w:rsid w:val="00D758CE"/>
    <w:rsid w:val="00D831C9"/>
    <w:rsid w:val="00D91C21"/>
    <w:rsid w:val="00D933D6"/>
    <w:rsid w:val="00DA6C90"/>
    <w:rsid w:val="00DC088C"/>
    <w:rsid w:val="00DC49C2"/>
    <w:rsid w:val="00DD0577"/>
    <w:rsid w:val="00DD72AE"/>
    <w:rsid w:val="00DD78AF"/>
    <w:rsid w:val="00DE342C"/>
    <w:rsid w:val="00E25685"/>
    <w:rsid w:val="00E366FB"/>
    <w:rsid w:val="00E42135"/>
    <w:rsid w:val="00E648D4"/>
    <w:rsid w:val="00E677C7"/>
    <w:rsid w:val="00E84AC8"/>
    <w:rsid w:val="00E867BD"/>
    <w:rsid w:val="00EA2F7F"/>
    <w:rsid w:val="00EA3BCF"/>
    <w:rsid w:val="00EA4E46"/>
    <w:rsid w:val="00EA4F57"/>
    <w:rsid w:val="00EC4F88"/>
    <w:rsid w:val="00EC7A6E"/>
    <w:rsid w:val="00ED3D2D"/>
    <w:rsid w:val="00EE0390"/>
    <w:rsid w:val="00EE5621"/>
    <w:rsid w:val="00EF22A8"/>
    <w:rsid w:val="00EF4F05"/>
    <w:rsid w:val="00F04C23"/>
    <w:rsid w:val="00F1067B"/>
    <w:rsid w:val="00F16394"/>
    <w:rsid w:val="00F27C3F"/>
    <w:rsid w:val="00F40448"/>
    <w:rsid w:val="00F428EC"/>
    <w:rsid w:val="00F44CE2"/>
    <w:rsid w:val="00F623CC"/>
    <w:rsid w:val="00F63E38"/>
    <w:rsid w:val="00F75D29"/>
    <w:rsid w:val="00F80069"/>
    <w:rsid w:val="00F86BDA"/>
    <w:rsid w:val="00F958AE"/>
    <w:rsid w:val="00FA44C3"/>
    <w:rsid w:val="00FA47E9"/>
    <w:rsid w:val="00FC3AEA"/>
    <w:rsid w:val="00FC63E8"/>
    <w:rsid w:val="00FE4A37"/>
    <w:rsid w:val="00FF66C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tytuinformacji">
    <w:name w:val="tytuł informacji"/>
    <w:basedOn w:val="Normalny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table" w:customStyle="1" w:styleId="GridTableLight1">
    <w:name w:val="Grid Table Light1"/>
    <w:basedOn w:val="Standardowy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37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yperlink" Target="http://stat.gov.pl/metainformacje/slownik-pojec/pojecia-stosowane-w-statystyce-publicznej/1576,pojecie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at.gov.pl/obszary-tematyczne/podmioty-gospodarcze-wyniki-finansowe/przedsiebiorstwa-finansowe/monitoring-bankow-2017,13,13.html" TargetMode="External"/><Relationship Id="rId34" Type="http://schemas.openxmlformats.org/officeDocument/2006/relationships/hyperlink" Target="http://stat.gov.pl/metainformacje/slownik-pojec/pojecia-stosowane-w-statystyce-publicznej/1575,pojeci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1575,pojecie.html" TargetMode="External"/><Relationship Id="rId33" Type="http://schemas.openxmlformats.org/officeDocument/2006/relationships/hyperlink" Target="https://bdm.stat.gov.pl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rzecznik@stat.gov.p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bdm.stat.gov.pl/" TargetMode="External"/><Relationship Id="rId32" Type="http://schemas.openxmlformats.org/officeDocument/2006/relationships/hyperlink" Target="https://www.knf.gov.pl/aktualnosci?articleId=64081&amp;p_id=18" TargetMode="External"/><Relationship Id="rId37" Type="http://schemas.openxmlformats.org/officeDocument/2006/relationships/hyperlink" Target="http://stat.gov.pl/metainformacje/slownik-pojec/pojecia-stosowane-w-statystyce-publicznej/1580,pojecie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.babik@stat.gov.pl" TargetMode="External"/><Relationship Id="rId23" Type="http://schemas.openxmlformats.org/officeDocument/2006/relationships/hyperlink" Target="https://www.knf.gov.pl/aktualnosci?articleId=64081&amp;p_id=18" TargetMode="External"/><Relationship Id="rId28" Type="http://schemas.openxmlformats.org/officeDocument/2006/relationships/hyperlink" Target="http://stat.gov.pl/metainformacje/slownik-pojec/pojecia-stosowane-w-statystyce-publicznej/1580,pojecie.html" TargetMode="External"/><Relationship Id="rId36" Type="http://schemas.openxmlformats.org/officeDocument/2006/relationships/hyperlink" Target="http://stat.gov.pl/metainformacje/slownik-pojec/pojecia-stosowane-w-statystyce-publicznej/162,pojecie.html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6.png"/><Relationship Id="rId31" Type="http://schemas.openxmlformats.org/officeDocument/2006/relationships/hyperlink" Target="http://www.nbp.pl/home.aspx?f=/statystyka/pieniezna_i_bankowa/naleznosci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hyperlink" Target="http://www.nbp.pl/home.aspx?f=/statystyka/pieniezna_i_bankowa/naleznosci.html" TargetMode="External"/><Relationship Id="rId27" Type="http://schemas.openxmlformats.org/officeDocument/2006/relationships/hyperlink" Target="http://stat.gov.pl/metainformacje/slownik-pojec/pojecia-stosowane-w-statystyce-publicznej/162,pojecie.html" TargetMode="External"/><Relationship Id="rId30" Type="http://schemas.openxmlformats.org/officeDocument/2006/relationships/hyperlink" Target="https://stat.gov.pl/obszary-tematyczne/podmioty-gospodarcze-wyniki-finansowe/przedsiebiorstwa-finansowe/monitoring-bankow-2017,13,13.html" TargetMode="External"/><Relationship Id="rId35" Type="http://schemas.openxmlformats.org/officeDocument/2006/relationships/hyperlink" Target="http://stat.gov.pl/metainformacje/slownik-pojec/pojecia-stosowane-w-statystyce-publicznej/1576,pojecie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014506461143832E-2"/>
          <c:y val="3.5064966724360686E-2"/>
          <c:w val="0.85674007225344573"/>
          <c:h val="0.47687278689547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Wykres1!$A$2</c:f>
              <c:strCache>
                <c:ptCount val="1"/>
                <c:pt idx="0">
                  <c:v>Wynik z tytułu odsetek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chemeClr val="bg1"/>
                    </a:solidFill>
                    <a:latin typeface="Fira Sans"/>
                    <a:ea typeface="Fira Sans"/>
                    <a:cs typeface="Fira San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Wykres1!$B$2:$C$2</c:f>
              <c:numCache>
                <c:formatCode>0.0</c:formatCode>
                <c:ptCount val="2"/>
                <c:pt idx="0">
                  <c:v>66.55900268712098</c:v>
                </c:pt>
                <c:pt idx="1">
                  <c:v>68.81531760323837</c:v>
                </c:pt>
              </c:numCache>
            </c:numRef>
          </c:val>
        </c:ser>
        <c:ser>
          <c:idx val="1"/>
          <c:order val="1"/>
          <c:tx>
            <c:strRef>
              <c:f>Wykres1!$A$3</c:f>
              <c:strCache>
                <c:ptCount val="1"/>
                <c:pt idx="0">
                  <c:v>Wynik z tytułu opłat i prowizji</c:v>
                </c:pt>
              </c:strCache>
            </c:strRef>
          </c:tx>
          <c:spPr>
            <a:solidFill>
              <a:srgbClr val="334A92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chemeClr val="bg1"/>
                    </a:solidFill>
                    <a:latin typeface="Fira Sans"/>
                    <a:ea typeface="Fira Sans"/>
                    <a:cs typeface="Fira San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Wykres1!$B$3:$C$3</c:f>
              <c:numCache>
                <c:formatCode>0.0</c:formatCode>
                <c:ptCount val="2"/>
                <c:pt idx="0">
                  <c:v>21.502930814464513</c:v>
                </c:pt>
                <c:pt idx="1">
                  <c:v>18.922288405596341</c:v>
                </c:pt>
              </c:numCache>
            </c:numRef>
          </c:val>
        </c:ser>
        <c:ser>
          <c:idx val="2"/>
          <c:order val="2"/>
          <c:tx>
            <c:strRef>
              <c:f>Wykres1!$A$4</c:f>
              <c:strCache>
                <c:ptCount val="1"/>
                <c:pt idx="0">
                  <c:v>Zyski lub straty z tytułu aktywów i zobowiązań oraz różnic kursowych, netto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chemeClr val="bg1"/>
                    </a:solidFill>
                    <a:latin typeface="Fira Sans"/>
                    <a:ea typeface="Fira Sans"/>
                    <a:cs typeface="Fira San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Wykres1!$B$4:$C$4</c:f>
              <c:numCache>
                <c:formatCode>0.0</c:formatCode>
                <c:ptCount val="2"/>
                <c:pt idx="0">
                  <c:v>7.2221130653638408</c:v>
                </c:pt>
                <c:pt idx="1">
                  <c:v>6.0811746779332312</c:v>
                </c:pt>
              </c:numCache>
            </c:numRef>
          </c:val>
        </c:ser>
        <c:ser>
          <c:idx val="3"/>
          <c:order val="3"/>
          <c:tx>
            <c:strRef>
              <c:f>Wykres1!$A$5</c:f>
              <c:strCache>
                <c:ptCount val="1"/>
                <c:pt idx="0">
                  <c:v>Wynik z tytułu pozostałych przychodów i kosztów operacyjnych</c:v>
                </c:pt>
              </c:strCache>
            </c:strRef>
          </c:tx>
          <c:spPr>
            <a:solidFill>
              <a:srgbClr val="CCD2E4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/>
                    <a:ea typeface="Fira Sans"/>
                    <a:cs typeface="Fira San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Wykres1!$B$5:$C$5</c:f>
              <c:numCache>
                <c:formatCode>0.0</c:formatCode>
                <c:ptCount val="2"/>
                <c:pt idx="0">
                  <c:v>2.8865832537736251</c:v>
                </c:pt>
                <c:pt idx="1">
                  <c:v>3.8632620707700358</c:v>
                </c:pt>
              </c:numCache>
            </c:numRef>
          </c:val>
        </c:ser>
        <c:ser>
          <c:idx val="4"/>
          <c:order val="4"/>
          <c:tx>
            <c:strRef>
              <c:f>Wykres1!$A$6</c:f>
              <c:strCache>
                <c:ptCount val="1"/>
                <c:pt idx="0">
                  <c:v>Przychody z tytułu dywidend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dLbls>
            <c:dLbl>
              <c:idx val="0"/>
              <c:layout>
                <c:manualLayout>
                  <c:x val="8.62998921251348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14994606256583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Wykres1!$B$6:$C$6</c:f>
              <c:numCache>
                <c:formatCode>0.0</c:formatCode>
                <c:ptCount val="2"/>
                <c:pt idx="0">
                  <c:v>1.8293701792770451</c:v>
                </c:pt>
                <c:pt idx="1">
                  <c:v>2.3179572424620214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31947024"/>
        <c:axId val="-1731946480"/>
      </c:barChart>
      <c:catAx>
        <c:axId val="-1731947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731946480"/>
        <c:crosses val="autoZero"/>
        <c:auto val="1"/>
        <c:lblAlgn val="ctr"/>
        <c:lblOffset val="100"/>
        <c:noMultiLvlLbl val="0"/>
      </c:catAx>
      <c:valAx>
        <c:axId val="-173194648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731947024"/>
        <c:crosses val="autoZero"/>
        <c:crossBetween val="between"/>
        <c:majorUnit val="1"/>
      </c:valAx>
      <c:spPr>
        <a:ln>
          <a:noFill/>
        </a:ln>
        <a:effectLst>
          <a:softEdge rad="0"/>
        </a:effectLst>
      </c:spPr>
    </c:plotArea>
    <c:legend>
      <c:legendPos val="b"/>
      <c:layout>
        <c:manualLayout>
          <c:xMode val="edge"/>
          <c:yMode val="edge"/>
          <c:x val="0.10010623515614993"/>
          <c:y val="0.61332117768791994"/>
          <c:w val="0.82173975825837309"/>
          <c:h val="0.31166483550021368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572486707585761E-2"/>
          <c:y val="8.5350904896235341E-2"/>
          <c:w val="0.93595316163670073"/>
          <c:h val="0.68660953410735293"/>
        </c:manualLayout>
      </c:layout>
      <c:lineChart>
        <c:grouping val="standard"/>
        <c:varyColors val="0"/>
        <c:ser>
          <c:idx val="0"/>
          <c:order val="0"/>
          <c:tx>
            <c:strRef>
              <c:f>Arkusz3!$C$1</c:f>
              <c:strCache>
                <c:ptCount val="1"/>
                <c:pt idx="0">
                  <c:v>Sektor niefinansowy</c:v>
                </c:pt>
              </c:strCache>
            </c:strRef>
          </c:tx>
          <c:spPr>
            <a:ln w="28575" cap="rnd">
              <a:solidFill>
                <a:srgbClr val="99A5C9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multiLvlStrRef>
              <c:f>Arkusz3!$A$2:$B$28</c:f>
              <c:multiLvlStrCache>
                <c:ptCount val="27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</c:lvl>
              </c:multiLvlStrCache>
            </c:multiLvlStrRef>
          </c:cat>
          <c:val>
            <c:numRef>
              <c:f>Arkusz3!$C$2:$C$28</c:f>
              <c:numCache>
                <c:formatCode>#,##0</c:formatCode>
                <c:ptCount val="27"/>
                <c:pt idx="0">
                  <c:v>38584247301</c:v>
                </c:pt>
                <c:pt idx="1">
                  <c:v>58229274500</c:v>
                </c:pt>
                <c:pt idx="2">
                  <c:v>41080466887</c:v>
                </c:pt>
                <c:pt idx="3">
                  <c:v>36312255117</c:v>
                </c:pt>
                <c:pt idx="4">
                  <c:v>45584440947</c:v>
                </c:pt>
                <c:pt idx="5">
                  <c:v>49008129277</c:v>
                </c:pt>
                <c:pt idx="6">
                  <c:v>19533888776</c:v>
                </c:pt>
                <c:pt idx="7">
                  <c:v>31090131397</c:v>
                </c:pt>
                <c:pt idx="8">
                  <c:v>39572762386</c:v>
                </c:pt>
                <c:pt idx="9">
                  <c:v>39364262257</c:v>
                </c:pt>
                <c:pt idx="10">
                  <c:v>712671396</c:v>
                </c:pt>
                <c:pt idx="11">
                  <c:v>19302917576</c:v>
                </c:pt>
                <c:pt idx="12">
                  <c:v>27739469437</c:v>
                </c:pt>
                <c:pt idx="13">
                  <c:v>20001207898</c:v>
                </c:pt>
                <c:pt idx="14">
                  <c:v>-19443399424</c:v>
                </c:pt>
                <c:pt idx="15">
                  <c:v>-5692708452</c:v>
                </c:pt>
                <c:pt idx="16">
                  <c:v>-16088935574</c:v>
                </c:pt>
                <c:pt idx="17">
                  <c:v>-13286588014</c:v>
                </c:pt>
                <c:pt idx="18">
                  <c:v>-56216237608</c:v>
                </c:pt>
                <c:pt idx="19">
                  <c:v>-35806447541</c:v>
                </c:pt>
                <c:pt idx="20">
                  <c:v>-22719812174</c:v>
                </c:pt>
                <c:pt idx="21">
                  <c:v>-20569157540</c:v>
                </c:pt>
                <c:pt idx="22">
                  <c:v>-69677918321.994507</c:v>
                </c:pt>
                <c:pt idx="23">
                  <c:v>-60644102046</c:v>
                </c:pt>
                <c:pt idx="24">
                  <c:v>-55070302940</c:v>
                </c:pt>
                <c:pt idx="25">
                  <c:v>-58521469723</c:v>
                </c:pt>
                <c:pt idx="26">
                  <c:v>-101052645686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Arkusz3!$D$1</c:f>
              <c:strCache>
                <c:ptCount val="1"/>
                <c:pt idx="0">
                  <c:v>Sektor instytucji rządowych i samorządowych</c:v>
                </c:pt>
              </c:strCache>
            </c:strRef>
          </c:tx>
          <c:spPr>
            <a:ln w="28575" cap="rnd">
              <a:solidFill>
                <a:srgbClr val="001D77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Arkusz3!$A$2:$B$28</c:f>
              <c:multiLvlStrCache>
                <c:ptCount val="27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</c:lvl>
              </c:multiLvlStrCache>
            </c:multiLvlStrRef>
          </c:cat>
          <c:val>
            <c:numRef>
              <c:f>Arkusz3!$D$2:$D$28</c:f>
              <c:numCache>
                <c:formatCode>#,##0</c:formatCode>
                <c:ptCount val="27"/>
                <c:pt idx="0">
                  <c:v>149192483330</c:v>
                </c:pt>
                <c:pt idx="1">
                  <c:v>166419599839</c:v>
                </c:pt>
                <c:pt idx="2">
                  <c:v>152320265763</c:v>
                </c:pt>
                <c:pt idx="3">
                  <c:v>160864735899</c:v>
                </c:pt>
                <c:pt idx="4">
                  <c:v>163988877285</c:v>
                </c:pt>
                <c:pt idx="5">
                  <c:v>149454516810</c:v>
                </c:pt>
                <c:pt idx="6">
                  <c:v>180609086945</c:v>
                </c:pt>
                <c:pt idx="7">
                  <c:v>174965080995</c:v>
                </c:pt>
                <c:pt idx="8">
                  <c:v>168544130046</c:v>
                </c:pt>
                <c:pt idx="9">
                  <c:v>193075842204</c:v>
                </c:pt>
                <c:pt idx="10">
                  <c:v>219874626013</c:v>
                </c:pt>
                <c:pt idx="11">
                  <c:v>204178098571</c:v>
                </c:pt>
                <c:pt idx="12">
                  <c:v>225638185320</c:v>
                </c:pt>
                <c:pt idx="13">
                  <c:v>223828040928</c:v>
                </c:pt>
                <c:pt idx="14">
                  <c:v>247103047683</c:v>
                </c:pt>
                <c:pt idx="15">
                  <c:v>261003194386</c:v>
                </c:pt>
                <c:pt idx="16">
                  <c:v>271945727988</c:v>
                </c:pt>
                <c:pt idx="17">
                  <c:v>267207358374</c:v>
                </c:pt>
                <c:pt idx="18">
                  <c:v>299054427220</c:v>
                </c:pt>
                <c:pt idx="19">
                  <c:v>270732680913</c:v>
                </c:pt>
                <c:pt idx="20">
                  <c:v>269390896819</c:v>
                </c:pt>
                <c:pt idx="21">
                  <c:v>264633138528</c:v>
                </c:pt>
                <c:pt idx="22">
                  <c:v>304854156193</c:v>
                </c:pt>
                <c:pt idx="23">
                  <c:v>278309565433</c:v>
                </c:pt>
                <c:pt idx="24">
                  <c:v>279521216746</c:v>
                </c:pt>
                <c:pt idx="25">
                  <c:v>297492324752</c:v>
                </c:pt>
                <c:pt idx="26">
                  <c:v>318475527372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Arkusz3!$E$1</c:f>
              <c:strCache>
                <c:ptCount val="1"/>
                <c:pt idx="0">
                  <c:v>Razem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Arkusz3!$A$2:$B$28</c:f>
              <c:multiLvlStrCache>
                <c:ptCount val="27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</c:lvl>
              </c:multiLvlStrCache>
            </c:multiLvlStrRef>
          </c:cat>
          <c:val>
            <c:numRef>
              <c:f>Arkusz3!$E$2:$E$28</c:f>
              <c:numCache>
                <c:formatCode>0</c:formatCode>
                <c:ptCount val="27"/>
                <c:pt idx="0">
                  <c:v>187776730631</c:v>
                </c:pt>
                <c:pt idx="1">
                  <c:v>224648874339</c:v>
                </c:pt>
                <c:pt idx="2">
                  <c:v>193400732650</c:v>
                </c:pt>
                <c:pt idx="3">
                  <c:v>197176991016</c:v>
                </c:pt>
                <c:pt idx="4">
                  <c:v>209573318232</c:v>
                </c:pt>
                <c:pt idx="5">
                  <c:v>198462646087</c:v>
                </c:pt>
                <c:pt idx="6">
                  <c:v>200142975721</c:v>
                </c:pt>
                <c:pt idx="7">
                  <c:v>206055212392</c:v>
                </c:pt>
                <c:pt idx="8">
                  <c:v>208116892432</c:v>
                </c:pt>
                <c:pt idx="9">
                  <c:v>232440104461</c:v>
                </c:pt>
                <c:pt idx="10">
                  <c:v>220587297409</c:v>
                </c:pt>
                <c:pt idx="11">
                  <c:v>223481016147</c:v>
                </c:pt>
                <c:pt idx="12">
                  <c:v>253377654757</c:v>
                </c:pt>
                <c:pt idx="13">
                  <c:v>243829248826</c:v>
                </c:pt>
                <c:pt idx="14">
                  <c:v>227659648259</c:v>
                </c:pt>
                <c:pt idx="15">
                  <c:v>255310485934</c:v>
                </c:pt>
                <c:pt idx="16">
                  <c:v>255856792414</c:v>
                </c:pt>
                <c:pt idx="17">
                  <c:v>253920770360</c:v>
                </c:pt>
                <c:pt idx="18">
                  <c:v>242838189612</c:v>
                </c:pt>
                <c:pt idx="19">
                  <c:v>234926233372</c:v>
                </c:pt>
                <c:pt idx="20">
                  <c:v>246671084645</c:v>
                </c:pt>
                <c:pt idx="21">
                  <c:v>244063980988</c:v>
                </c:pt>
                <c:pt idx="22">
                  <c:v>235176237871.00537</c:v>
                </c:pt>
                <c:pt idx="23">
                  <c:v>217665463387</c:v>
                </c:pt>
                <c:pt idx="24">
                  <c:v>224450913806</c:v>
                </c:pt>
                <c:pt idx="25">
                  <c:v>238970855029</c:v>
                </c:pt>
                <c:pt idx="26">
                  <c:v>217422881686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31945936"/>
        <c:axId val="-1731944848"/>
      </c:lineChart>
      <c:catAx>
        <c:axId val="-173194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31944848"/>
        <c:crosses val="autoZero"/>
        <c:auto val="1"/>
        <c:lblAlgn val="ctr"/>
        <c:lblOffset val="1"/>
        <c:tickMarkSkip val="1"/>
        <c:noMultiLvlLbl val="0"/>
      </c:catAx>
      <c:valAx>
        <c:axId val="-173194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rgbClr val="E7E6E6">
                <a:lumMod val="90000"/>
              </a:srgb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731945936"/>
        <c:crosses val="autoZero"/>
        <c:crossBetween val="between"/>
        <c:dispUnits>
          <c:builtInUnit val="billions"/>
          <c:dispUnitsLbl>
            <c:layout>
              <c:manualLayout>
                <c:xMode val="edge"/>
                <c:yMode val="edge"/>
                <c:x val="7.2654189646305847E-5"/>
                <c:y val="1.410292782063017E-3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l-PL" sz="800"/>
                    <a:t>mld zł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687809712586715E-2"/>
          <c:y val="0.90180229850602456"/>
          <c:w val="0.9"/>
          <c:h val="7.1005315362092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0.93911</cdr:x>
      <cdr:y>0.24533</cdr:y>
    </cdr:from>
    <cdr:to>
      <cdr:x>0.97822</cdr:x>
      <cdr:y>0.28924</cdr:y>
    </cdr:to>
    <cdr:sp macro="" textlink="">
      <cdr:nvSpPr>
        <cdr:cNvPr id="15" name="Prostokąt 14"/>
        <cdr:cNvSpPr/>
      </cdr:nvSpPr>
      <cdr:spPr>
        <a:xfrm xmlns:a="http://schemas.openxmlformats.org/drawingml/2006/main">
          <a:off x="4958505" y="694961"/>
          <a:ext cx="206498" cy="12437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/>
        <a:lstStyle xmlns:a="http://schemas.openxmlformats.org/drawingml/2006/main"/>
        <a:p xmlns:a="http://schemas.openxmlformats.org/drawingml/2006/main"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+0,5</a:t>
          </a:r>
        </a:p>
      </cdr:txBody>
    </cdr:sp>
  </cdr:relSizeAnchor>
  <cdr:relSizeAnchor xmlns:cdr="http://schemas.openxmlformats.org/drawingml/2006/chartDrawing">
    <cdr:from>
      <cdr:x>0.82688</cdr:x>
      <cdr:y>0.22877</cdr:y>
    </cdr:from>
    <cdr:to>
      <cdr:x>0.86077</cdr:x>
      <cdr:y>0.2847</cdr:y>
    </cdr:to>
    <cdr:sp macro="" textlink="">
      <cdr:nvSpPr>
        <cdr:cNvPr id="14" name="Prostokąt 13"/>
        <cdr:cNvSpPr/>
      </cdr:nvSpPr>
      <cdr:spPr>
        <a:xfrm xmlns:a="http://schemas.openxmlformats.org/drawingml/2006/main">
          <a:off x="4365942" y="648036"/>
          <a:ext cx="178940" cy="15843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anchor="t" anchorCtr="0">
          <a:noAutofit/>
        </a:bodyPr>
        <a:lstStyle xmlns:a="http://schemas.openxmlformats.org/drawingml/2006/main"/>
        <a:p xmlns:a="http://schemas.openxmlformats.org/drawingml/2006/main">
          <a:r>
            <a:rPr lang="pl-PL"/>
            <a:t>-</a:t>
          </a:r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1,1</a:t>
          </a:r>
        </a:p>
      </cdr:txBody>
    </cdr:sp>
  </cdr:relSizeAnchor>
  <cdr:relSizeAnchor xmlns:cdr="http://schemas.openxmlformats.org/drawingml/2006/chartDrawing">
    <cdr:from>
      <cdr:x>0.70668</cdr:x>
      <cdr:y>0.24687</cdr:y>
    </cdr:from>
    <cdr:to>
      <cdr:x>0.74087</cdr:x>
      <cdr:y>0.28924</cdr:y>
    </cdr:to>
    <cdr:sp macro="" textlink="">
      <cdr:nvSpPr>
        <cdr:cNvPr id="13" name="Prostokąt 12"/>
        <cdr:cNvSpPr/>
      </cdr:nvSpPr>
      <cdr:spPr>
        <a:xfrm xmlns:a="http://schemas.openxmlformats.org/drawingml/2006/main">
          <a:off x="3731290" y="699317"/>
          <a:ext cx="180524" cy="12002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-2,6</a:t>
          </a:r>
        </a:p>
      </cdr:txBody>
    </cdr:sp>
  </cdr:relSizeAnchor>
  <cdr:relSizeAnchor xmlns:cdr="http://schemas.openxmlformats.org/drawingml/2006/chartDrawing">
    <cdr:from>
      <cdr:x>0.32552</cdr:x>
      <cdr:y>0.24951</cdr:y>
    </cdr:from>
    <cdr:to>
      <cdr:x>0.35999</cdr:x>
      <cdr:y>0.29325</cdr:y>
    </cdr:to>
    <cdr:sp macro="" textlink="">
      <cdr:nvSpPr>
        <cdr:cNvPr id="12" name="Prostokąt 11"/>
        <cdr:cNvSpPr/>
      </cdr:nvSpPr>
      <cdr:spPr>
        <a:xfrm xmlns:a="http://schemas.openxmlformats.org/drawingml/2006/main">
          <a:off x="1718760" y="706787"/>
          <a:ext cx="182002" cy="12390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+2,2</a:t>
          </a:r>
        </a:p>
      </cdr:txBody>
    </cdr:sp>
  </cdr:relSizeAnchor>
  <cdr:relSizeAnchor xmlns:cdr="http://schemas.openxmlformats.org/drawingml/2006/chartDrawing">
    <cdr:from>
      <cdr:x>0.36588</cdr:x>
      <cdr:y>0.20004</cdr:y>
    </cdr:from>
    <cdr:to>
      <cdr:x>0.36709</cdr:x>
      <cdr:y>0.34553</cdr:y>
    </cdr:to>
    <cdr:cxnSp macro="">
      <cdr:nvCxnSpPr>
        <cdr:cNvPr id="3" name="Łącznik prosty ze strzałką 2"/>
        <cdr:cNvCxnSpPr/>
      </cdr:nvCxnSpPr>
      <cdr:spPr>
        <a:xfrm xmlns:a="http://schemas.openxmlformats.org/drawingml/2006/main" flipV="1">
          <a:off x="1931831" y="566670"/>
          <a:ext cx="6439" cy="412124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008542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0.93298</cdr:x>
      <cdr:y>0.20004</cdr:y>
    </cdr:from>
    <cdr:to>
      <cdr:x>0.93305</cdr:x>
      <cdr:y>0.3478</cdr:y>
    </cdr:to>
    <cdr:cxnSp macro="">
      <cdr:nvCxnSpPr>
        <cdr:cNvPr id="9" name="Łącznik prosty ze strzałką 8"/>
        <cdr:cNvCxnSpPr/>
      </cdr:nvCxnSpPr>
      <cdr:spPr>
        <a:xfrm xmlns:a="http://schemas.openxmlformats.org/drawingml/2006/main" flipH="1" flipV="1">
          <a:off x="4926169" y="566670"/>
          <a:ext cx="360" cy="418556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008542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0.73486</cdr:x>
      <cdr:y>0.2205</cdr:y>
    </cdr:from>
    <cdr:to>
      <cdr:x>0.82371</cdr:x>
      <cdr:y>0.27497</cdr:y>
    </cdr:to>
    <cdr:sp macro="" textlink="">
      <cdr:nvSpPr>
        <cdr:cNvPr id="10" name="Pole tekstowe 9"/>
        <cdr:cNvSpPr txBox="1"/>
      </cdr:nvSpPr>
      <cdr:spPr>
        <a:xfrm xmlns:a="http://schemas.openxmlformats.org/drawingml/2006/main">
          <a:off x="3728434" y="624625"/>
          <a:ext cx="450760" cy="1543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0.76786</cdr:x>
      <cdr:y>0.2205</cdr:y>
    </cdr:from>
    <cdr:to>
      <cdr:x>0.82371</cdr:x>
      <cdr:y>0.27961</cdr:y>
    </cdr:to>
    <cdr:sp macro="" textlink="">
      <cdr:nvSpPr>
        <cdr:cNvPr id="11" name="Pole tekstowe 10"/>
        <cdr:cNvSpPr txBox="1"/>
      </cdr:nvSpPr>
      <cdr:spPr>
        <a:xfrm xmlns:a="http://schemas.openxmlformats.org/drawingml/2006/main">
          <a:off x="3895860" y="624625"/>
          <a:ext cx="283335" cy="167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0.91225</cdr:x>
      <cdr:y>0.20004</cdr:y>
    </cdr:from>
    <cdr:to>
      <cdr:x>0.91225</cdr:x>
      <cdr:y>0.3478</cdr:y>
    </cdr:to>
    <cdr:cxnSp macro="">
      <cdr:nvCxnSpPr>
        <cdr:cNvPr id="24" name="Łącznik prosty ze strzałką 23"/>
        <cdr:cNvCxnSpPr/>
      </cdr:nvCxnSpPr>
      <cdr:spPr>
        <a:xfrm xmlns:a="http://schemas.openxmlformats.org/drawingml/2006/main" flipV="1">
          <a:off x="4816699" y="566670"/>
          <a:ext cx="0" cy="418564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008542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0.74882</cdr:x>
      <cdr:y>0.20232</cdr:y>
    </cdr:from>
    <cdr:to>
      <cdr:x>0.74883</cdr:x>
      <cdr:y>0.3478</cdr:y>
    </cdr:to>
    <cdr:cxnSp macro="">
      <cdr:nvCxnSpPr>
        <cdr:cNvPr id="26" name="Łącznik prosty ze strzałką 25"/>
        <cdr:cNvCxnSpPr/>
      </cdr:nvCxnSpPr>
      <cdr:spPr>
        <a:xfrm xmlns:a="http://schemas.openxmlformats.org/drawingml/2006/main" flipH="1">
          <a:off x="3953814" y="573109"/>
          <a:ext cx="25" cy="412125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0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0.86712</cdr:x>
      <cdr:y>0.20232</cdr:y>
    </cdr:from>
    <cdr:to>
      <cdr:x>0.86712</cdr:x>
      <cdr:y>0.34553</cdr:y>
    </cdr:to>
    <cdr:cxnSp macro="">
      <cdr:nvCxnSpPr>
        <cdr:cNvPr id="28" name="Łącznik prosty ze strzałką 27"/>
        <cdr:cNvCxnSpPr/>
      </cdr:nvCxnSpPr>
      <cdr:spPr>
        <a:xfrm xmlns:a="http://schemas.openxmlformats.org/drawingml/2006/main">
          <a:off x="4578439" y="573110"/>
          <a:ext cx="0" cy="405684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00001E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0.87244</cdr:x>
      <cdr:y>0.24416</cdr:y>
    </cdr:from>
    <cdr:to>
      <cdr:x>0.90759</cdr:x>
      <cdr:y>0.28604</cdr:y>
    </cdr:to>
    <cdr:sp macro="" textlink="">
      <cdr:nvSpPr>
        <cdr:cNvPr id="16" name="Prostokąt 15"/>
        <cdr:cNvSpPr/>
      </cdr:nvSpPr>
      <cdr:spPr>
        <a:xfrm xmlns:a="http://schemas.openxmlformats.org/drawingml/2006/main">
          <a:off x="4606486" y="691641"/>
          <a:ext cx="185593" cy="11863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/>
        <a:lstStyle xmlns:a="http://schemas.openxmlformats.org/drawingml/2006/main"/>
        <a:p xmlns:a="http://schemas.openxmlformats.org/drawingml/2006/main"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+1,0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0.05887</cdr:x>
      <cdr:y>0.08502</cdr:y>
    </cdr:from>
    <cdr:to>
      <cdr:x>0.16041</cdr:x>
      <cdr:y>0.77181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311971" y="238259"/>
          <a:ext cx="538036" cy="1924543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alpha val="45000"/>
          </a:schemeClr>
        </a:solidFill>
        <a:ln xmlns:a="http://schemas.openxmlformats.org/drawingml/2006/main" w="6350">
          <a:solidFill>
            <a:schemeClr val="bg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0.06927</cdr:x>
      <cdr:y>0.81104</cdr:y>
    </cdr:from>
    <cdr:to>
      <cdr:x>0.16041</cdr:x>
      <cdr:y>0.91229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67048" y="2272740"/>
          <a:ext cx="482958" cy="28371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</cdr:spPr>
      <cdr:txBody>
        <a:bodyPr xmlns:a="http://schemas.openxmlformats.org/drawingml/2006/main" vertOverflow="clip" vert="vert270" wrap="square" lIns="0" tIns="0" rIns="0" bIns="0" spcCol="0" rtlCol="0"/>
        <a:lstStyle xmlns:a="http://schemas.openxmlformats.org/drawingml/2006/main"/>
        <a:p xmlns:a="http://schemas.openxmlformats.org/drawingml/2006/main">
          <a:pPr algn="ctr">
            <a:lnSpc>
              <a:spcPts val="800"/>
            </a:lnSpc>
            <a:spcBef>
              <a:spcPts val="600"/>
            </a:spcBef>
          </a:pPr>
          <a:r>
            <a:rPr lang="pl-PL" sz="700" b="0">
              <a:latin typeface="Fira Sans Light" panose="020B0403050000020004" pitchFamily="34" charset="0"/>
              <a:ea typeface="Fira Sans Light" panose="020B0403050000020004" pitchFamily="34" charset="0"/>
            </a:rPr>
            <a:t>2010</a:t>
          </a:r>
        </a:p>
        <a:p xmlns:a="http://schemas.openxmlformats.org/drawingml/2006/main">
          <a:pPr algn="ctr">
            <a:lnSpc>
              <a:spcPts val="700"/>
            </a:lnSpc>
          </a:pPr>
          <a:endParaRPr lang="pl-PL" sz="800" b="0">
            <a:latin typeface="Fira Sans Light" panose="020B0403050000020004" pitchFamily="34" charset="0"/>
            <a:ea typeface="Fira Sans Light" panose="020B0403050000020004" pitchFamily="34" charset="0"/>
          </a:endParaRPr>
        </a:p>
        <a:p xmlns:a="http://schemas.openxmlformats.org/drawingml/2006/main">
          <a:pPr algn="ctr">
            <a:lnSpc>
              <a:spcPts val="700"/>
            </a:lnSpc>
          </a:pPr>
          <a:r>
            <a:rPr lang="pl-PL" sz="700" b="0">
              <a:latin typeface="Fira Sans Light" panose="020B0403050000020004" pitchFamily="34" charset="0"/>
              <a:ea typeface="Fira Sans Light" panose="020B0403050000020004" pitchFamily="34" charset="0"/>
            </a:rPr>
            <a:t>2011</a:t>
          </a:r>
        </a:p>
        <a:p xmlns:a="http://schemas.openxmlformats.org/drawingml/2006/main">
          <a:pPr algn="ctr">
            <a:lnSpc>
              <a:spcPts val="700"/>
            </a:lnSpc>
          </a:pPr>
          <a:endParaRPr lang="pl-PL" sz="800">
            <a:latin typeface="Fira Sans Light" panose="020B0403050000020004" pitchFamily="34" charset="0"/>
            <a:ea typeface="Fira Sans Light" panose="020B0403050000020004" pitchFamily="34" charset="0"/>
          </a:endParaRPr>
        </a:p>
        <a:p xmlns:a="http://schemas.openxmlformats.org/drawingml/2006/main">
          <a:pPr algn="ctr">
            <a:lnSpc>
              <a:spcPts val="700"/>
            </a:lnSpc>
          </a:pPr>
          <a:r>
            <a:rPr lang="pl-PL" sz="700" b="0">
              <a:latin typeface="Fira Sans Light" panose="020B0403050000020004" pitchFamily="34" charset="0"/>
              <a:ea typeface="Fira Sans Light" panose="020B0403050000020004" pitchFamily="34" charset="0"/>
            </a:rPr>
            <a:t>2012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DFFF-6297-4D29-87EC-AD329963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2019-04-04T11:56:00Z</dcterms:created>
  <dcterms:modified xsi:type="dcterms:W3CDTF">2019-04-05T05:05:00Z</dcterms:modified>
</cp:coreProperties>
</file>