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24" w:rsidRDefault="006B7AF8">
      <w:pPr>
        <w:pStyle w:val="tytuinformacji"/>
        <w:ind w:right="-13"/>
        <w:rPr>
          <w:shd w:val="clear" w:color="auto" w:fill="FFFFFF"/>
        </w:rPr>
      </w:pPr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18245</wp:posOffset>
                </wp:positionV>
                <wp:extent cx="1432560" cy="336550"/>
                <wp:effectExtent l="0" t="0" r="0" b="63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05.04.2018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35pt;margin-top:1.45pt;width:112.8pt;height:26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" filled="f" stroked="f">
                <v:textbox>
                  <w:txbxContent>
                    <w:p w:rsidR="00C91C24" w:rsidRDefault="006B7AF8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05.04.2018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auto" w:fill="FFFFFF"/>
        </w:rPr>
        <w:t>Wyniki finansowe banków w 2017 r.</w:t>
      </w:r>
      <w:bookmarkEnd w:id="0"/>
    </w:p>
    <w:p w:rsidR="00C91C24" w:rsidRDefault="006B7AF8">
      <w:pPr>
        <w:pStyle w:val="tytuinformacji"/>
        <w:rPr>
          <w:sz w:val="32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pStyle w:val="tekstzboku"/>
                              <w:jc w:val="both"/>
                            </w:pPr>
                            <w:r>
                              <w:t>Wynik finansowy netto sektora bankowego był w 2017 r. niższy o 1,7% niż w 2016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:rsidR="00C91C24" w:rsidRDefault="006B7AF8">
                      <w:pPr>
                        <w:pStyle w:val="tekstzboku"/>
                        <w:jc w:val="both"/>
                      </w:pPr>
                      <w:r>
                        <w:t>Wynik finansowy netto sektora bankowego był w 2017 r. niższy o 1,7% niż w 2016 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C24" w:rsidRDefault="006B7AF8">
      <w:pPr>
        <w:pStyle w:val="LID"/>
        <w:jc w:val="both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686560" cy="1045845"/>
                <wp:effectExtent l="0" t="0" r="889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32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000" cy="342000"/>
                                  <wp:effectExtent l="0" t="0" r="1270" b="1270"/>
                                  <wp:docPr id="7" name="Obraz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 r="-372" b="-22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>
                                              <a:schemeClr val="accent1">
                                                <a:alpha val="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104,2</w:t>
                            </w:r>
                          </w:p>
                          <w:p w:rsidR="00C91C24" w:rsidRDefault="006B7AF8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Dynamika wyniku działalności bankowej r/r</w:t>
                            </w:r>
                            <w:r>
                              <w:br/>
                              <w:t>w 2017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.55pt;width:132.8pt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" fillcolor="#001d77" stroked="f">
                <v:textbox>
                  <w:txbxContent>
                    <w:p w:rsidR="00C91C24" w:rsidRDefault="006B7AF8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Light" w:hAnsi="Fira Sans Light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000" cy="342000"/>
                            <wp:effectExtent l="0" t="0" r="1270" b="1270"/>
                            <wp:docPr id="7" name="Obraz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 r="-372" b="-22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>
                                        <a:schemeClr val="accent1">
                                          <a:alpha val="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104,2</w:t>
                      </w:r>
                    </w:p>
                    <w:p w:rsidR="00C91C24" w:rsidRDefault="006B7AF8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Dynamika wyniku działalności bankowej r/r</w:t>
                      </w:r>
                      <w:r>
                        <w:br/>
                        <w:t>w 2017 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Wynik finansowy netto sektora bankowego</w:t>
      </w:r>
      <w:r>
        <w:rPr>
          <w:vertAlign w:val="superscript"/>
        </w:rPr>
        <w:t>1</w:t>
      </w:r>
      <w:r>
        <w:t xml:space="preserve"> w 2017 r. wyniósł 13,6</w:t>
      </w:r>
      <w:r>
        <w:rPr>
          <w:sz w:val="18"/>
        </w:rPr>
        <w:t> mld zł</w:t>
      </w:r>
      <w:r>
        <w:t>, tj. o 1,7% mniej niż w poprzednim roku. Suma bilansowa wzrosła w skali roku o 4,1% i wyniosła 1 777,0</w:t>
      </w:r>
      <w:r>
        <w:rPr>
          <w:sz w:val="18"/>
        </w:rPr>
        <w:t> mld zł</w:t>
      </w:r>
      <w:r>
        <w:t xml:space="preserve">. Wartość kredytów dla </w:t>
      </w:r>
      <w:r>
        <w:t>sektora niefinansowego zwiększyła się o 3,2% do 1 040,3</w:t>
      </w:r>
      <w:r>
        <w:rPr>
          <w:sz w:val="18"/>
        </w:rPr>
        <w:t> mld zł</w:t>
      </w:r>
      <w:r>
        <w:t>, a depozytów o 4,0% do kwoty 1 062,5</w:t>
      </w:r>
      <w:r>
        <w:rPr>
          <w:sz w:val="18"/>
        </w:rPr>
        <w:t> mld zł</w:t>
      </w:r>
      <w:r>
        <w:t>.</w:t>
      </w:r>
    </w:p>
    <w:p w:rsidR="00C91C24" w:rsidRDefault="00C91C24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91C24" w:rsidRDefault="00C91C24">
      <w:pPr>
        <w:rPr>
          <w:b/>
          <w:spacing w:val="-2"/>
          <w:sz w:val="18"/>
        </w:rPr>
      </w:pPr>
    </w:p>
    <w:p w:rsidR="00C91C24" w:rsidRDefault="006B7AF8">
      <w:pPr>
        <w:rPr>
          <w:b/>
          <w:spacing w:val="-2"/>
          <w:sz w:val="18"/>
        </w:rPr>
      </w:pPr>
      <w:r>
        <w:rPr>
          <w:b/>
          <w:spacing w:val="-2"/>
          <w:sz w:val="18"/>
        </w:rPr>
        <w:t>Tablica 1. Wybrane pozycje rachunku zysków i strat banków</w:t>
      </w:r>
    </w:p>
    <w:tbl>
      <w:tblPr>
        <w:tblStyle w:val="Siatkatabelijasna1"/>
        <w:tblW w:w="8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78"/>
        <w:gridCol w:w="915"/>
        <w:gridCol w:w="6"/>
        <w:gridCol w:w="922"/>
        <w:gridCol w:w="867"/>
      </w:tblGrid>
      <w:tr w:rsidR="00C91C24">
        <w:trPr>
          <w:trHeight w:val="57"/>
          <w:jc w:val="center"/>
        </w:trPr>
        <w:tc>
          <w:tcPr>
            <w:tcW w:w="5478" w:type="dxa"/>
            <w:vMerge w:val="restart"/>
            <w:vAlign w:val="center"/>
          </w:tcPr>
          <w:p w:rsidR="00C91C24" w:rsidRDefault="006B7AF8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15" w:type="dxa"/>
            <w:vAlign w:val="center"/>
          </w:tcPr>
          <w:p w:rsidR="00C91C24" w:rsidRDefault="006B7AF8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795" w:type="dxa"/>
            <w:gridSpan w:val="3"/>
            <w:vAlign w:val="center"/>
          </w:tcPr>
          <w:p w:rsidR="00C91C24" w:rsidRDefault="006B7AF8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2017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  <w:vMerge/>
            <w:tcBorders>
              <w:bottom w:val="single" w:sz="12" w:space="0" w:color="212492"/>
            </w:tcBorders>
            <w:vAlign w:val="center"/>
          </w:tcPr>
          <w:p w:rsidR="00C91C24" w:rsidRDefault="00C91C24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2016=100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  <w:tcBorders>
              <w:top w:val="single" w:sz="12" w:space="0" w:color="212492"/>
            </w:tcBorders>
          </w:tcPr>
          <w:p w:rsidR="00C91C24" w:rsidRDefault="006B7AF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Wynik działalności bankowej, w tym: </w:t>
            </w:r>
          </w:p>
        </w:tc>
        <w:tc>
          <w:tcPr>
            <w:tcW w:w="921" w:type="dxa"/>
            <w:gridSpan w:val="2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>
              <w:rPr>
                <w:sz w:val="16"/>
                <w:szCs w:val="16"/>
              </w:rPr>
              <w:t>141</w:t>
            </w:r>
          </w:p>
        </w:tc>
        <w:tc>
          <w:tcPr>
            <w:tcW w:w="922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61 628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tytułu odsetek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37 906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42 503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tytułu opłat i prowizji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12 585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13 738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działania banków, z tego: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31 555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32 881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pracownicze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15 682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16 570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ogólnego zarządu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15 873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16 311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Odpisy aktualizujące z tytułu utraty wartości aktywów finansowych niewycenianych według wartości godziwej poprzez rachunek zysków i strat/wynik z tytułu rezerw celowych, w tym: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7 658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8 253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kredytów i pożyczek wycenianych według zamortyzowanego kosztu (łącznie z leasingiem finansowym)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7 491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8 194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Wynik z działalności operacyjnej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18 065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18 390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dochodowy dotyczący działalności kontynuowanej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4 182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4 758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</w:tr>
      <w:tr w:rsidR="00C91C24">
        <w:trPr>
          <w:trHeight w:val="57"/>
          <w:jc w:val="center"/>
        </w:trPr>
        <w:tc>
          <w:tcPr>
            <w:tcW w:w="5478" w:type="dxa"/>
          </w:tcPr>
          <w:p w:rsidR="00C91C24" w:rsidRDefault="006B7AF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Wynik netto roku bieżącego </w:t>
            </w:r>
          </w:p>
        </w:tc>
        <w:tc>
          <w:tcPr>
            <w:tcW w:w="921" w:type="dxa"/>
            <w:gridSpan w:val="2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13 883</w:t>
            </w:r>
          </w:p>
        </w:tc>
        <w:tc>
          <w:tcPr>
            <w:tcW w:w="922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13 642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</w:tbl>
    <w:p w:rsidR="00C91C24" w:rsidRDefault="00C91C24">
      <w:pPr>
        <w:rPr>
          <w:spacing w:val="-2"/>
          <w:sz w:val="18"/>
        </w:rPr>
      </w:pPr>
    </w:p>
    <w:p w:rsidR="00C91C24" w:rsidRDefault="006B7AF8">
      <w:pPr>
        <w:jc w:val="both"/>
        <w:rPr>
          <w:spacing w:val="-2"/>
          <w:szCs w:val="19"/>
        </w:rPr>
      </w:pPr>
      <w:r>
        <w:rPr>
          <w:spacing w:val="-2"/>
          <w:szCs w:val="19"/>
        </w:rPr>
        <w:t>Wynik działalności bankowej wyniósł 61,6 mld zł, tj. o 4,2% więcej niż w 2016 r. Wynik z tytułu odsetek wzrósł o 12,1% do poziomu 42,5 mld zł, a wynik z tytułu opłat i prowizji zwiększył się o 9,2% do 13,7 m</w:t>
      </w:r>
      <w:r>
        <w:rPr>
          <w:spacing w:val="-2"/>
          <w:szCs w:val="19"/>
        </w:rPr>
        <w:t>ld zł. Łączny wynik z tytułu aktywów i zobowiązań finansowych przeznaczonych do obrotu oraz z tytułu różnic kursowych netto zmniejszył się o 20,2%, osiągając wartość 3,3 mld zł, a przychody banków z tytułu dywidend były niższe o 10,7% i wyniosły 1,2 mld zł</w:t>
      </w:r>
      <w:r>
        <w:rPr>
          <w:spacing w:val="-2"/>
          <w:szCs w:val="19"/>
        </w:rPr>
        <w:t>.</w:t>
      </w:r>
    </w:p>
    <w:p w:rsidR="00C91C24" w:rsidRDefault="006B7AF8">
      <w:pPr>
        <w:jc w:val="both"/>
        <w:rPr>
          <w:spacing w:val="-2"/>
          <w:szCs w:val="19"/>
        </w:rPr>
      </w:pPr>
      <w:r>
        <w:rPr>
          <w:spacing w:val="-2"/>
          <w:szCs w:val="19"/>
        </w:rPr>
        <w:t>Koszty działania banków wzrosły o 4,2% do 32,9 mld zł. Koszty pracownicze stanowiły 50,4% tych kosztów, tj. 16,6 mld zł (wzrost o 5,7%). Koszty ogólnego zarządu zwiększyły się o 2,8% do 16,3 mld zł, głównie z powodu kosztów z tytułu podatku od niektórych</w:t>
      </w:r>
      <w:r>
        <w:rPr>
          <w:spacing w:val="-2"/>
          <w:szCs w:val="19"/>
        </w:rPr>
        <w:t xml:space="preserve"> instytucji finansowych</w:t>
      </w:r>
      <w:r>
        <w:rPr>
          <w:spacing w:val="-2"/>
          <w:szCs w:val="19"/>
          <w:vertAlign w:val="superscript"/>
        </w:rPr>
        <w:t>2</w:t>
      </w:r>
      <w:r>
        <w:rPr>
          <w:spacing w:val="-2"/>
          <w:szCs w:val="19"/>
        </w:rPr>
        <w:t xml:space="preserve"> oraz kosztów informatycznych.</w:t>
      </w:r>
    </w:p>
    <w:p w:rsidR="00C91C24" w:rsidRDefault="006B7AF8">
      <w:pPr>
        <w:jc w:val="both"/>
        <w:rPr>
          <w:spacing w:val="-2"/>
          <w:sz w:val="18"/>
        </w:rPr>
      </w:pPr>
      <w:r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316230</wp:posOffset>
                </wp:positionV>
                <wp:extent cx="1673225" cy="831850"/>
                <wp:effectExtent l="0" t="0" r="0" b="6350"/>
                <wp:wrapTight wrapText="bothSides">
                  <wp:wrapPolygon edited="0">
                    <wp:start x="738" y="0"/>
                    <wp:lineTo x="738" y="21270"/>
                    <wp:lineTo x="20657" y="21270"/>
                    <wp:lineTo x="20657" y="0"/>
                    <wp:lineTo x="73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pStyle w:val="tekstzboku"/>
                              <w:spacing w:before="0"/>
                              <w:jc w:val="both"/>
                              <w:rPr>
                                <w:bCs w:val="0"/>
                              </w:rPr>
                            </w:pPr>
                            <w:r>
                              <w:t>Wynik działalności operacyjnej w</w:t>
                            </w:r>
                            <w:r>
                              <w:rPr>
                                <w:bCs w:val="0"/>
                              </w:rPr>
                              <w:t xml:space="preserve"> 2017 r. zwiększył się </w:t>
                            </w:r>
                            <w:r>
                              <w:t xml:space="preserve">o 1,8% </w:t>
                            </w:r>
                            <w:r>
                              <w:rPr>
                                <w:bCs w:val="0"/>
                              </w:rPr>
                              <w:t>w porównaniu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Cs w:val="0"/>
                              </w:rPr>
                              <w:t>do wypracowanego w </w:t>
                            </w:r>
                            <w:r>
                              <w:t>2016</w:t>
                            </w:r>
                            <w:r>
                              <w:rPr>
                                <w:bCs w:val="0"/>
                              </w:rPr>
                              <w:t> </w:t>
                            </w:r>
                            <w:r>
                              <w:t>r</w:t>
                            </w:r>
                            <w:r>
                              <w:rPr>
                                <w:bCs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2.15pt;margin-top:24.9pt;width:131.7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" filled="f" stroked="f">
                <v:textbox>
                  <w:txbxContent>
                    <w:p w:rsidR="00C91C24" w:rsidRDefault="006B7AF8">
                      <w:pPr>
                        <w:pStyle w:val="tekstzboku"/>
                        <w:spacing w:before="0"/>
                        <w:jc w:val="both"/>
                        <w:rPr>
                          <w:bCs w:val="0"/>
                        </w:rPr>
                      </w:pPr>
                      <w:r>
                        <w:t>Wynik działalności operacyjnej w</w:t>
                      </w:r>
                      <w:r>
                        <w:rPr>
                          <w:bCs w:val="0"/>
                        </w:rPr>
                        <w:t xml:space="preserve"> 2017 r. zwiększył się </w:t>
                      </w:r>
                      <w:r>
                        <w:t xml:space="preserve">o 1,8% </w:t>
                      </w:r>
                      <w:r>
                        <w:rPr>
                          <w:bCs w:val="0"/>
                        </w:rPr>
                        <w:t>w porównaniu</w:t>
                      </w:r>
                      <w:r>
                        <w:t xml:space="preserve"> </w:t>
                      </w:r>
                      <w:r>
                        <w:rPr>
                          <w:bCs w:val="0"/>
                        </w:rPr>
                        <w:t>do wypracowanego w </w:t>
                      </w:r>
                      <w:r>
                        <w:t>2016</w:t>
                      </w:r>
                      <w:r>
                        <w:rPr>
                          <w:bCs w:val="0"/>
                        </w:rPr>
                        <w:t> </w:t>
                      </w:r>
                      <w:r>
                        <w:t>r</w:t>
                      </w:r>
                      <w:r>
                        <w:rPr>
                          <w:bCs w:val="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pacing w:val="-2"/>
          <w:szCs w:val="19"/>
        </w:rPr>
        <w:t>Odpisy aktualizujące z tytułu utraty wartości aktywów finansowych wyniosły 8,3 mld zł (o 7,8% wi</w:t>
      </w:r>
      <w:r>
        <w:rPr>
          <w:spacing w:val="-2"/>
          <w:szCs w:val="19"/>
        </w:rPr>
        <w:t>ęcej), z czego 99,3% tej wartości zostało przeznaczone na pokrycie utraty wartości kredytów i pożyczek. Amortyzacja środków trwałych oraz wartości niematerialnych i prawnych zwiększyła się o 1,2% i wyniosła 2,9 mld zł. Rezerwy zmniejszyły się o 35,9% do po</w:t>
      </w:r>
      <w:r>
        <w:rPr>
          <w:spacing w:val="-2"/>
          <w:szCs w:val="19"/>
        </w:rPr>
        <w:t xml:space="preserve">ziomu 0,7 mld zł. Wynik z tytułu pozostałych przychodów i kosztów operacyjnych obniżył się o 19,7% do 2,0 mld zł. W rezultacie wynik z działalności operacyjnej zwiększył się o 0,3 mld zł (o 1,8%) i osiągnął wartość 18,4 mld zł. Podatek dochodowy dotyczący </w:t>
      </w:r>
      <w:r>
        <w:rPr>
          <w:spacing w:val="-2"/>
          <w:szCs w:val="19"/>
        </w:rPr>
        <w:t>działalności kontynuowanej wyniósł 4,8 mld zł (wzrost o 13,8%).</w:t>
      </w:r>
    </w:p>
    <w:p w:rsidR="00C91C24" w:rsidRDefault="006B7AF8">
      <w:pPr>
        <w:jc w:val="both"/>
        <w:rPr>
          <w:spacing w:val="-2"/>
          <w:szCs w:val="19"/>
        </w:rPr>
      </w:pPr>
      <w:r>
        <w:rPr>
          <w:spacing w:val="-2"/>
          <w:szCs w:val="19"/>
        </w:rPr>
        <w:lastRenderedPageBreak/>
        <w:t xml:space="preserve">Wynik finansowy netto w 2017 r. wyniósł 13,6 mld zł, na co składały się zyski netto 598 banków w kwocie 14,5 mld zł oraz straty netto 18 banków (12 komercyjnych, w tym 8 oddziałów instytucji </w:t>
      </w:r>
      <w:r>
        <w:rPr>
          <w:spacing w:val="-2"/>
          <w:szCs w:val="19"/>
        </w:rPr>
        <w:t>kredytowych oraz 6 banków spółdzielczych) o wartości 0,8 mld zł.</w:t>
      </w:r>
    </w:p>
    <w:p w:rsidR="00C91C24" w:rsidRDefault="00C91C24">
      <w:pPr>
        <w:pStyle w:val="tytuwykresu"/>
        <w:rPr>
          <w:noProof/>
          <w:lang w:eastAsia="pl-PL"/>
        </w:rPr>
      </w:pPr>
    </w:p>
    <w:p w:rsidR="00C91C24" w:rsidRDefault="006B7AF8">
      <w:pPr>
        <w:pStyle w:val="tytuwykresu"/>
      </w:pPr>
      <w:r>
        <w:t>Wykres 1.</w:t>
      </w:r>
      <w:r>
        <w:rPr>
          <w:shd w:val="clear" w:color="auto" w:fill="FFFFFF"/>
        </w:rPr>
        <w:t xml:space="preserve"> Struktura wyniku działalności bankowej</w:t>
      </w:r>
    </w:p>
    <w:p w:rsidR="00C91C24" w:rsidRDefault="006B7AF8">
      <w:pPr>
        <w:pStyle w:val="Nagwek1"/>
        <w:rPr>
          <w:lang w:val="en-US"/>
        </w:rPr>
      </w:pPr>
      <w:r>
        <w:rPr>
          <w:noProof/>
        </w:rPr>
        <w:drawing>
          <wp:inline distT="0" distB="0" distL="0" distR="0">
            <wp:extent cx="5122545" cy="2357046"/>
            <wp:effectExtent l="0" t="0" r="1905" b="571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1C24" w:rsidRDefault="006B7AF8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163195</wp:posOffset>
                </wp:positionV>
                <wp:extent cx="1686560" cy="831850"/>
                <wp:effectExtent l="0" t="0" r="0" b="6350"/>
                <wp:wrapTight wrapText="bothSides">
                  <wp:wrapPolygon edited="0">
                    <wp:start x="732" y="0"/>
                    <wp:lineTo x="732" y="21270"/>
                    <wp:lineTo x="20738" y="21270"/>
                    <wp:lineTo x="20738" y="0"/>
                    <wp:lineTo x="732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pStyle w:val="tekstzboku"/>
                            </w:pPr>
                            <w:r>
                              <w:t>Suma bilansowa zwiększyła się w 2017 r. o 4,1%, a kapitały własne o 11,2%.</w:t>
                            </w:r>
                          </w:p>
                          <w:p w:rsidR="00C91C24" w:rsidRDefault="00C91C2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margin-left:411.2pt;margin-top:12.85pt;width:132.8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" filled="f" stroked="f">
                <v:textbox>
                  <w:txbxContent>
                    <w:p w:rsidR="00C91C24" w:rsidRDefault="006B7AF8">
                      <w:pPr>
                        <w:pStyle w:val="tekstzboku"/>
                      </w:pPr>
                      <w:r>
                        <w:t>Suma bilansowa zwiększyła się w 2017 r. o 4,1%, a kapitały własne o 11,2%.</w:t>
                      </w:r>
                    </w:p>
                    <w:p w:rsidR="00C91C24" w:rsidRDefault="00C91C2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C24" w:rsidRDefault="006B7AF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Suma bilansowa sektora bankowego w dniu 31 grudnia 2017 r. </w:t>
      </w:r>
      <w:r>
        <w:rPr>
          <w:shd w:val="clear" w:color="auto" w:fill="FFFFFF"/>
        </w:rPr>
        <w:t>wyniosła 1 777,0 mld zł i była o 4,1% wyższa niż rok wcześniej. Największą pozycją aktywów były kredyty i inne należności, ich wartość wyniosła 1 236,7 mld zł (wzrost o 3,6%) i stanowiły one 69,6% aktywów. Po stronie pasywów dominującą pozycją były zobowią</w:t>
      </w:r>
      <w:r>
        <w:rPr>
          <w:shd w:val="clear" w:color="auto" w:fill="FFFFFF"/>
        </w:rPr>
        <w:t>zania finansowe wyceniane według zamortyzowanego kosztu. Osiągnęły one wartość 1 504,9 mld zł (o 3,4% więcej niż rok wcześniej), co stanowiło 84,7% pasywów. Kapitały własne zwiększyły się o 11,2% do 204,3 mld zł, a ich udział w pasywach wyniósł 11,5%.</w:t>
      </w:r>
    </w:p>
    <w:p w:rsidR="00C91C24" w:rsidRDefault="00C91C24">
      <w:pPr>
        <w:rPr>
          <w:sz w:val="18"/>
        </w:rPr>
      </w:pPr>
    </w:p>
    <w:p w:rsidR="00C91C24" w:rsidRDefault="006B7AF8">
      <w:pPr>
        <w:rPr>
          <w:sz w:val="18"/>
        </w:rPr>
      </w:pPr>
      <w:r>
        <w:rPr>
          <w:b/>
          <w:spacing w:val="-2"/>
          <w:sz w:val="18"/>
          <w:shd w:val="clear" w:color="auto" w:fill="FFFFFF"/>
        </w:rPr>
        <w:t>Tab</w:t>
      </w:r>
      <w:r>
        <w:rPr>
          <w:b/>
          <w:spacing w:val="-2"/>
          <w:sz w:val="18"/>
          <w:shd w:val="clear" w:color="auto" w:fill="FFFFFF"/>
        </w:rPr>
        <w:t>lica 2. Wybrane pozycje bilansowe banków</w:t>
      </w:r>
    </w:p>
    <w:tbl>
      <w:tblPr>
        <w:tblStyle w:val="Siatkatabelijasna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C91C24">
        <w:trPr>
          <w:trHeight w:val="57"/>
        </w:trPr>
        <w:tc>
          <w:tcPr>
            <w:tcW w:w="5211" w:type="dxa"/>
            <w:vMerge w:val="restart"/>
            <w:vAlign w:val="center"/>
          </w:tcPr>
          <w:p w:rsidR="00C91C24" w:rsidRDefault="006B7AF8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31 XII 2016</w:t>
            </w:r>
          </w:p>
        </w:tc>
        <w:tc>
          <w:tcPr>
            <w:tcW w:w="1922" w:type="dxa"/>
            <w:gridSpan w:val="2"/>
            <w:vAlign w:val="center"/>
          </w:tcPr>
          <w:p w:rsidR="00C91C24" w:rsidRDefault="006B7AF8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31 XII 2017</w:t>
            </w:r>
          </w:p>
        </w:tc>
      </w:tr>
      <w:tr w:rsidR="00C91C24">
        <w:trPr>
          <w:trHeight w:val="57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C91C24" w:rsidRDefault="00C91C24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 XII 2016=100</w:t>
            </w:r>
          </w:p>
        </w:tc>
      </w:tr>
      <w:tr w:rsidR="00C91C24">
        <w:trPr>
          <w:trHeight w:val="57"/>
        </w:trPr>
        <w:tc>
          <w:tcPr>
            <w:tcW w:w="5211" w:type="dxa"/>
            <w:tcBorders>
              <w:top w:val="single" w:sz="12" w:space="0" w:color="212492"/>
            </w:tcBorders>
            <w:vAlign w:val="bottom"/>
          </w:tcPr>
          <w:p w:rsidR="00C91C24" w:rsidRDefault="006B7AF8">
            <w:pPr>
              <w:tabs>
                <w:tab w:val="right" w:leader="dot" w:pos="5103"/>
                <w:tab w:val="left" w:leader="dot" w:pos="6237"/>
              </w:tabs>
              <w:spacing w:before="0"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Suma bilansowa</w:t>
            </w:r>
            <w:r>
              <w:rPr>
                <w:rFonts w:cs="Tahoma"/>
                <w:color w:val="000000"/>
                <w:sz w:val="16"/>
                <w:szCs w:val="16"/>
              </w:rPr>
              <w:t>,</w:t>
            </w:r>
            <w:r>
              <w:rPr>
                <w:rFonts w:cs="Tahoma"/>
                <w:bCs/>
                <w:sz w:val="16"/>
                <w:szCs w:val="16"/>
              </w:rPr>
              <w:t xml:space="preserve"> w tym: 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1 706 344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1 777 002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right" w:leader="dot" w:pos="5103"/>
                <w:tab w:val="left" w:leader="dot" w:pos="6237"/>
              </w:tabs>
              <w:spacing w:before="0" w:after="0"/>
              <w:ind w:left="17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kredyty i inne należności (włączając leasing finansowy) 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1 194 261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1 236 699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right" w:leader="dot" w:pos="5103"/>
                <w:tab w:val="left" w:leader="dot" w:pos="6237"/>
              </w:tabs>
              <w:spacing w:before="0" w:after="0"/>
              <w:ind w:left="57"/>
              <w:rPr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Zobowiązania finansowe i pozostałe pasywa,</w:t>
            </w:r>
            <w:r>
              <w:rPr>
                <w:rFonts w:cs="Tahoma"/>
                <w:bCs/>
                <w:sz w:val="16"/>
                <w:szCs w:val="16"/>
              </w:rPr>
              <w:t xml:space="preserve"> w tym: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1 522 613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1 572 679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237"/>
              </w:tabs>
              <w:spacing w:before="0" w:after="0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zobowiązania finansowe wyceniane według zamortyzowanego kosztu 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1 454 996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1 504 950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right" w:leader="dot" w:pos="5103"/>
              </w:tabs>
              <w:spacing w:before="0" w:after="0"/>
              <w:ind w:left="57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Kapitały własne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183 731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204 323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</w:tbl>
    <w:p w:rsidR="00C91C24" w:rsidRDefault="00C91C24">
      <w:pPr>
        <w:rPr>
          <w:b/>
          <w:spacing w:val="-2"/>
          <w:sz w:val="18"/>
          <w:shd w:val="clear" w:color="auto" w:fill="FFFFFF"/>
        </w:rPr>
      </w:pPr>
    </w:p>
    <w:p w:rsidR="00C91C24" w:rsidRDefault="006B7AF8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166370</wp:posOffset>
                </wp:positionV>
                <wp:extent cx="1648460" cy="831850"/>
                <wp:effectExtent l="0" t="0" r="0" b="6350"/>
                <wp:wrapTight wrapText="bothSides">
                  <wp:wrapPolygon edited="0">
                    <wp:start x="749" y="0"/>
                    <wp:lineTo x="749" y="21270"/>
                    <wp:lineTo x="20718" y="21270"/>
                    <wp:lineTo x="20718" y="0"/>
                    <wp:lineTo x="749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pStyle w:val="tekstzboku"/>
                              <w:jc w:val="both"/>
                            </w:pPr>
                            <w:r>
                              <w:t xml:space="preserve">Wartość kredytów dla sektora niefinansowego </w:t>
                            </w:r>
                            <w:r>
                              <w:t>wzrosła w 2017 r. o 3,2%.</w:t>
                            </w:r>
                          </w:p>
                          <w:p w:rsidR="00C91C24" w:rsidRDefault="00C91C2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margin-left:411.2pt;margin-top:13.1pt;width:129.8pt;height:65.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" filled="f" stroked="f">
                <v:textbox>
                  <w:txbxContent>
                    <w:p w:rsidR="00C91C24" w:rsidRDefault="006B7AF8">
                      <w:pPr>
                        <w:pStyle w:val="tekstzboku"/>
                        <w:jc w:val="both"/>
                      </w:pPr>
                      <w:r>
                        <w:t xml:space="preserve">Wartość kredytów dla sektora niefinansowego </w:t>
                      </w:r>
                      <w:r>
                        <w:t>wzrosła w 2017 r. o 3,2%.</w:t>
                      </w:r>
                    </w:p>
                    <w:p w:rsidR="00C91C24" w:rsidRDefault="00C91C2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val="en-US"/>
        </w:rPr>
        <w:t xml:space="preserve"> </w:t>
      </w:r>
    </w:p>
    <w:p w:rsidR="00C91C24" w:rsidRDefault="006B7AF8">
      <w:pPr>
        <w:jc w:val="both"/>
        <w:rPr>
          <w:spacing w:val="-2"/>
          <w:szCs w:val="19"/>
          <w:shd w:val="clear" w:color="auto" w:fill="FFFFFF"/>
        </w:rPr>
      </w:pPr>
      <w:r>
        <w:rPr>
          <w:spacing w:val="-2"/>
          <w:szCs w:val="19"/>
          <w:shd w:val="clear" w:color="auto" w:fill="FFFFFF"/>
        </w:rPr>
        <w:t xml:space="preserve">Wartość kredytów udzielonych przez banki sektorowi niefinansowemu oraz sektorowi instytucji rządowych i samorządowych wg stanu w dniu 31 grudnia 2017 r. wyniosła 1 140,4 mld zł, co oznaczało ich wzrost o 3,1% w porównaniu do </w:t>
      </w:r>
      <w:r>
        <w:rPr>
          <w:spacing w:val="-2"/>
          <w:szCs w:val="19"/>
          <w:shd w:val="clear" w:color="auto" w:fill="FFFFFF"/>
        </w:rPr>
        <w:t>stanu o rok wcześniej. Kredyty udzielone sektorowi niefinansowemu stanowiły 91,2% tej kwoty i wyniosły 1 040,3 mld zł (wzrost o 3,2%), w tym kredyty dla przedsiębiorstw – 365,8 mld zł (wzrost o 6,1%) i dla gospodarstw domowych – 667,5 mld zł (więcej o 1,7%</w:t>
      </w:r>
      <w:r>
        <w:rPr>
          <w:spacing w:val="-2"/>
          <w:szCs w:val="19"/>
          <w:shd w:val="clear" w:color="auto" w:fill="FFFFFF"/>
        </w:rPr>
        <w:t>). Kredyty dla przedsiębiorstw zostały w większości (56,5%) zaciągnięte przez MŚP. Kredyty udzielone na nieruchomości mieszkaniowe (390,9 mld zł, w tym 107,1 mld zł w CHF) oraz kredyty konsumpcyjne osób prywatnych (147,0 mld zł) stanowiły łącznie 80,6% kre</w:t>
      </w:r>
      <w:r>
        <w:rPr>
          <w:spacing w:val="-2"/>
          <w:szCs w:val="19"/>
          <w:shd w:val="clear" w:color="auto" w:fill="FFFFFF"/>
        </w:rPr>
        <w:t>dytów gospodarstw domowych.</w:t>
      </w:r>
    </w:p>
    <w:p w:rsidR="00C91C24" w:rsidRDefault="006B7AF8">
      <w:pPr>
        <w:spacing w:before="0" w:after="160" w:line="259" w:lineRule="auto"/>
        <w:rPr>
          <w:spacing w:val="-2"/>
          <w:sz w:val="18"/>
          <w:shd w:val="clear" w:color="auto" w:fill="FFFFFF"/>
        </w:rPr>
      </w:pPr>
      <w:r>
        <w:rPr>
          <w:spacing w:val="-2"/>
          <w:sz w:val="18"/>
          <w:shd w:val="clear" w:color="auto" w:fill="FFFFFF"/>
        </w:rPr>
        <w:br w:type="page"/>
      </w:r>
    </w:p>
    <w:p w:rsidR="00C91C24" w:rsidRDefault="006B7AF8">
      <w:pPr>
        <w:rPr>
          <w:sz w:val="18"/>
        </w:rPr>
      </w:pPr>
      <w:r>
        <w:rPr>
          <w:b/>
          <w:spacing w:val="-2"/>
          <w:sz w:val="18"/>
          <w:shd w:val="clear" w:color="auto" w:fill="FFFFFF"/>
        </w:rPr>
        <w:lastRenderedPageBreak/>
        <w:t>Tablica 3. Kredyty</w:t>
      </w:r>
      <w:r>
        <w:rPr>
          <w:b/>
          <w:spacing w:val="-2"/>
          <w:sz w:val="18"/>
          <w:shd w:val="clear" w:color="auto" w:fill="FFFFFF"/>
          <w:vertAlign w:val="superscript"/>
        </w:rPr>
        <w:t>3</w:t>
      </w:r>
      <w:r>
        <w:rPr>
          <w:b/>
          <w:spacing w:val="-2"/>
          <w:sz w:val="18"/>
          <w:shd w:val="clear" w:color="auto" w:fill="FFFFFF"/>
        </w:rPr>
        <w:t xml:space="preserve"> dla sektora niefinansowego oraz instytucji rządowych i samorządowych </w:t>
      </w:r>
    </w:p>
    <w:tbl>
      <w:tblPr>
        <w:tblStyle w:val="Siatkatabelijasna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C91C24">
        <w:trPr>
          <w:trHeight w:val="57"/>
        </w:trPr>
        <w:tc>
          <w:tcPr>
            <w:tcW w:w="5211" w:type="dxa"/>
            <w:vMerge w:val="restart"/>
            <w:vAlign w:val="center"/>
          </w:tcPr>
          <w:p w:rsidR="00C91C24" w:rsidRDefault="006B7AF8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31 XII 2016</w:t>
            </w:r>
          </w:p>
        </w:tc>
        <w:tc>
          <w:tcPr>
            <w:tcW w:w="1922" w:type="dxa"/>
            <w:gridSpan w:val="2"/>
            <w:vAlign w:val="center"/>
          </w:tcPr>
          <w:p w:rsidR="00C91C24" w:rsidRDefault="006B7AF8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31 XII 2017</w:t>
            </w:r>
          </w:p>
        </w:tc>
      </w:tr>
      <w:tr w:rsidR="00C91C24">
        <w:trPr>
          <w:trHeight w:val="57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C91C24" w:rsidRDefault="00C91C24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 XII 2016=100</w:t>
            </w:r>
          </w:p>
        </w:tc>
      </w:tr>
      <w:tr w:rsidR="00C91C24">
        <w:trPr>
          <w:trHeight w:val="57"/>
        </w:trPr>
        <w:tc>
          <w:tcPr>
            <w:tcW w:w="5211" w:type="dxa"/>
            <w:tcBorders>
              <w:top w:val="single" w:sz="12" w:space="0" w:color="212492"/>
            </w:tcBorders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outlineLvl w:val="0"/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  <w:t>Razem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1 105 883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1 140 419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103,1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Sektor niefinansowy, w tym: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1 007 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1 040 293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Przedsiębiorstwa, z tego: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344 858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365 829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237"/>
              </w:tabs>
              <w:spacing w:before="0" w:after="0"/>
              <w:ind w:left="284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Duże przedsiębiorstwa</w:t>
            </w:r>
            <w:r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151 281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159 282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237"/>
              </w:tabs>
              <w:spacing w:before="0" w:after="0"/>
              <w:ind w:left="284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MŚP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193 577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206 547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Gospodarstwa domowe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656 414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667 545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 xml:space="preserve">Sektor instytucji rządowych i samorządowych 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98 151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100 125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</w:tbl>
    <w:p w:rsidR="00C91C24" w:rsidRDefault="00C91C24">
      <w:pPr>
        <w:rPr>
          <w:b/>
          <w:spacing w:val="-2"/>
          <w:sz w:val="18"/>
          <w:shd w:val="clear" w:color="auto" w:fill="FFFFFF"/>
        </w:rPr>
      </w:pPr>
    </w:p>
    <w:tbl>
      <w:tblPr>
        <w:tblStyle w:val="Tabela-Siatk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969"/>
      </w:tblGrid>
      <w:tr w:rsidR="00C91C24">
        <w:trPr>
          <w:trHeight w:val="464"/>
        </w:trPr>
        <w:tc>
          <w:tcPr>
            <w:tcW w:w="4361" w:type="dxa"/>
          </w:tcPr>
          <w:p w:rsidR="00C91C24" w:rsidRDefault="006B7AF8">
            <w:pPr>
              <w:ind w:left="840" w:hanging="840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</w:rPr>
              <w:t>Wykres 2. Kredyty dla sektora niefinansowego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br/>
              <w:t>oraz sektora instytucji rządowych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br/>
              <w:t>i samorządowych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24" w:rsidRDefault="006B7AF8">
            <w:pPr>
              <w:ind w:left="497" w:hanging="497"/>
              <w:jc w:val="center"/>
              <w:rPr>
                <w:noProof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</w:rPr>
              <w:t>Wykres 3. Kredyty dla sektora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br/>
              <w:t>niefinansowego</w:t>
            </w:r>
          </w:p>
        </w:tc>
      </w:tr>
      <w:tr w:rsidR="00C91C24">
        <w:tblPrEx>
          <w:tblCellMar>
            <w:left w:w="70" w:type="dxa"/>
            <w:right w:w="70" w:type="dxa"/>
          </w:tblCellMar>
        </w:tblPrEx>
        <w:trPr>
          <w:trHeight w:val="5284"/>
        </w:trPr>
        <w:tc>
          <w:tcPr>
            <w:tcW w:w="4361" w:type="dxa"/>
          </w:tcPr>
          <w:p w:rsidR="00C91C24" w:rsidRDefault="006B7AF8">
            <w:pPr>
              <w:spacing w:before="0"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2588260" cy="3412490"/>
                  <wp:effectExtent l="0" t="0" r="2540" b="0"/>
                  <wp:wrapSquare wrapText="bothSides"/>
                  <wp:docPr id="28" name="Wykres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C91C24" w:rsidRDefault="006B7AF8">
            <w:pPr>
              <w:spacing w:before="0"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2388870" cy="3522345"/>
                  <wp:effectExtent l="0" t="0" r="0" b="0"/>
                  <wp:wrapSquare wrapText="bothSides"/>
                  <wp:docPr id="29" name="Wykres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1C24" w:rsidRDefault="006B7AF8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254635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pStyle w:val="tekstzboku"/>
                              <w:jc w:val="both"/>
                            </w:pPr>
                            <w:r>
                              <w:t>Wartość depozytów sektora niefinansowego wzrosła w 2017 r. o 4,0%.</w:t>
                            </w:r>
                          </w:p>
                          <w:p w:rsidR="00C91C24" w:rsidRDefault="00C91C2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2" type="#_x0000_t202" style="position:absolute;margin-left:411pt;margin-top:20.05pt;width:135.85pt;height:65.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" filled="f" stroked="f">
                <v:textbox>
                  <w:txbxContent>
                    <w:p w:rsidR="00C91C24" w:rsidRDefault="006B7AF8">
                      <w:pPr>
                        <w:pStyle w:val="tekstzboku"/>
                        <w:jc w:val="both"/>
                      </w:pPr>
                      <w:r>
                        <w:t>Wartość depozytów sektora niefinansowego wzrosła w 2017 r. o 4,0%.</w:t>
                      </w:r>
                    </w:p>
                    <w:p w:rsidR="00C91C24" w:rsidRDefault="00C91C2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C24" w:rsidRDefault="006B7AF8">
      <w:pPr>
        <w:jc w:val="both"/>
        <w:rPr>
          <w:spacing w:val="-2"/>
          <w:szCs w:val="19"/>
          <w:u w:val="single"/>
          <w:shd w:val="clear" w:color="auto" w:fill="FFFFFF"/>
        </w:rPr>
      </w:pPr>
      <w:r>
        <w:rPr>
          <w:spacing w:val="-2"/>
          <w:szCs w:val="19"/>
          <w:shd w:val="clear" w:color="auto" w:fill="FFFFFF"/>
        </w:rPr>
        <w:t xml:space="preserve">Depozyty sektora niefinansowego oraz </w:t>
      </w:r>
      <w:r>
        <w:rPr>
          <w:spacing w:val="-2"/>
          <w:szCs w:val="19"/>
          <w:shd w:val="clear" w:color="auto" w:fill="FFFFFF"/>
        </w:rPr>
        <w:t>sektora instytucji rządowych i samorządowych w dniu 31 grudnia 2017 r. osiągnęły łączną wartość 1 131,5 mld zł (wzrost o 4,3%), z tego depozyty sektora niefinansowego wyniosły 1 062,5 mld zł (więcej o 4,0%), a depozyty sektora instytucji rządowych i samorz</w:t>
      </w:r>
      <w:r>
        <w:rPr>
          <w:spacing w:val="-2"/>
          <w:szCs w:val="19"/>
          <w:shd w:val="clear" w:color="auto" w:fill="FFFFFF"/>
        </w:rPr>
        <w:t>ądowych 69,0 mld zł (wzrost o 8,6%). W porównaniu do stanu sprzed roku odnotowano wzrost łącznej wartości depozytów bieżących o 13,1% i spadek depozytów terminowych o 7,0%. Wartość depozytów bieżących i depozytów terminowych sektora niefinansowego zmieniła</w:t>
      </w:r>
      <w:r>
        <w:rPr>
          <w:spacing w:val="-2"/>
          <w:szCs w:val="19"/>
          <w:shd w:val="clear" w:color="auto" w:fill="FFFFFF"/>
        </w:rPr>
        <w:t xml:space="preserve"> się w podobnym zakresie. Wartość depozytów bieżących sektora instytucji rządowych i samorządowych wzrosła o 13,3%, a depozytów terminowych tego sektora zmniejszyła się o 1,1%. Udział depozytów terminowych w łącznej kwocie depozytów sektora niefinansowego </w:t>
      </w:r>
      <w:r>
        <w:rPr>
          <w:spacing w:val="-2"/>
          <w:szCs w:val="19"/>
          <w:shd w:val="clear" w:color="auto" w:fill="FFFFFF"/>
        </w:rPr>
        <w:t>oraz sektora instytucji rządowych i samorządowych zmniejszył się w skali roku o 4,7 p. proc. (do 38,9%). W sektorze niefinansowym udział depozytów terminowych obniżył się o 4,8 p. proc. (do 39,6%), a w sektorze instytucji rządowych i samorządowych o 2,9 p.</w:t>
      </w:r>
      <w:r>
        <w:rPr>
          <w:spacing w:val="-2"/>
          <w:szCs w:val="19"/>
          <w:shd w:val="clear" w:color="auto" w:fill="FFFFFF"/>
        </w:rPr>
        <w:t> proc. (do 29,6%).</w:t>
      </w:r>
    </w:p>
    <w:p w:rsidR="00C91C24" w:rsidRDefault="00C91C24">
      <w:pPr>
        <w:rPr>
          <w:b/>
          <w:spacing w:val="-2"/>
          <w:sz w:val="18"/>
          <w:shd w:val="clear" w:color="auto" w:fill="FFFFFF"/>
        </w:rPr>
      </w:pPr>
    </w:p>
    <w:p w:rsidR="00C91C24" w:rsidRDefault="00C91C24">
      <w:pPr>
        <w:rPr>
          <w:b/>
          <w:spacing w:val="-2"/>
          <w:sz w:val="18"/>
          <w:shd w:val="clear" w:color="auto" w:fill="FFFFFF"/>
        </w:rPr>
      </w:pPr>
    </w:p>
    <w:p w:rsidR="00C91C24" w:rsidRDefault="00C91C24">
      <w:pPr>
        <w:rPr>
          <w:b/>
          <w:spacing w:val="-2"/>
          <w:sz w:val="18"/>
          <w:shd w:val="clear" w:color="auto" w:fill="FFFFFF"/>
        </w:rPr>
      </w:pPr>
    </w:p>
    <w:p w:rsidR="00C91C24" w:rsidRDefault="006B7AF8">
      <w:pPr>
        <w:rPr>
          <w:sz w:val="18"/>
        </w:rPr>
      </w:pPr>
      <w:r>
        <w:rPr>
          <w:b/>
          <w:spacing w:val="-2"/>
          <w:sz w:val="18"/>
          <w:shd w:val="clear" w:color="auto" w:fill="FFFFFF"/>
        </w:rPr>
        <w:t>Tablica 4. Depozyty sektora niefinansowego oraz sektora instytucji rządowych i samorządowych</w:t>
      </w:r>
    </w:p>
    <w:tbl>
      <w:tblPr>
        <w:tblStyle w:val="Siatkatabelijasna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C91C24">
        <w:trPr>
          <w:trHeight w:val="57"/>
        </w:trPr>
        <w:tc>
          <w:tcPr>
            <w:tcW w:w="5211" w:type="dxa"/>
            <w:vMerge w:val="restart"/>
            <w:vAlign w:val="center"/>
          </w:tcPr>
          <w:p w:rsidR="00C91C24" w:rsidRDefault="006B7AF8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31 XII 2016</w:t>
            </w:r>
          </w:p>
        </w:tc>
        <w:tc>
          <w:tcPr>
            <w:tcW w:w="1922" w:type="dxa"/>
            <w:gridSpan w:val="2"/>
            <w:vAlign w:val="center"/>
          </w:tcPr>
          <w:p w:rsidR="00C91C24" w:rsidRDefault="006B7AF8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31 XII 2017</w:t>
            </w:r>
          </w:p>
        </w:tc>
      </w:tr>
      <w:tr w:rsidR="00C91C24">
        <w:trPr>
          <w:trHeight w:val="57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C91C24" w:rsidRDefault="00C91C2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mln zł</w:t>
            </w:r>
          </w:p>
        </w:tc>
        <w:tc>
          <w:tcPr>
            <w:tcW w:w="867" w:type="dxa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 XII 2016=100</w:t>
            </w:r>
          </w:p>
        </w:tc>
      </w:tr>
      <w:tr w:rsidR="00C91C24">
        <w:trPr>
          <w:trHeight w:val="57"/>
        </w:trPr>
        <w:tc>
          <w:tcPr>
            <w:tcW w:w="5211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outlineLvl w:val="0"/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kern w:val="36"/>
                <w:sz w:val="16"/>
                <w:szCs w:val="16"/>
              </w:rPr>
              <w:t>Razem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1 084 641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1 131 460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13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610 914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690 810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13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terminowe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473 727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440 650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 xml:space="preserve">Sektor niefinansowy 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1 021 120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1 062 474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568 038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642 250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terminowe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453 082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420 225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57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63 521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68 986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>bieżące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42 876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48 560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keepNext/>
              <w:tabs>
                <w:tab w:val="left" w:leader="dot" w:pos="6237"/>
              </w:tabs>
              <w:spacing w:before="0" w:after="0"/>
              <w:ind w:left="170"/>
              <w:outlineLvl w:val="0"/>
              <w:rPr>
                <w:rFonts w:eastAsia="Times New Roman" w:cs="Arial"/>
                <w:kern w:val="36"/>
                <w:sz w:val="16"/>
                <w:szCs w:val="16"/>
              </w:rPr>
            </w:pPr>
            <w:r>
              <w:rPr>
                <w:rFonts w:eastAsia="Times New Roman" w:cs="Arial"/>
                <w:kern w:val="36"/>
                <w:sz w:val="16"/>
                <w:szCs w:val="16"/>
              </w:rPr>
              <w:t xml:space="preserve">terminowe 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20 645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20 425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</w:tbl>
    <w:p w:rsidR="00C91C24" w:rsidRDefault="00C91C24">
      <w:pPr>
        <w:rPr>
          <w:sz w:val="18"/>
        </w:rPr>
      </w:pPr>
    </w:p>
    <w:p w:rsidR="00C91C24" w:rsidRDefault="006B7AF8">
      <w:pPr>
        <w:ind w:left="851" w:hanging="851"/>
        <w:rPr>
          <w:b/>
          <w:sz w:val="18"/>
        </w:rPr>
      </w:pPr>
      <w:r>
        <w:rPr>
          <w:b/>
          <w:sz w:val="18"/>
        </w:rPr>
        <w:t>Wykres 4. Depozyty bieżące i terminowe sektora niefinansowego oraz sektora instytucji rządowych i samorządowych (wg stanu w końcu kwartału)</w:t>
      </w:r>
    </w:p>
    <w:p w:rsidR="00C91C24" w:rsidRDefault="006B7AF8">
      <w:pPr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2629</wp:posOffset>
            </wp:positionV>
            <wp:extent cx="5087155" cy="2743200"/>
            <wp:effectExtent l="0" t="0" r="0" b="0"/>
            <wp:wrapNone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6B7AF8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163195</wp:posOffset>
                </wp:positionV>
                <wp:extent cx="1725295" cy="1255395"/>
                <wp:effectExtent l="0" t="0" r="0" b="1905"/>
                <wp:wrapTight wrapText="bothSides">
                  <wp:wrapPolygon edited="0">
                    <wp:start x="715" y="0"/>
                    <wp:lineTo x="715" y="21305"/>
                    <wp:lineTo x="20749" y="21305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pStyle w:val="tekstzboku"/>
                            </w:pPr>
                            <w:r>
                              <w:t>Nadwyżka kredytów sektora niefinansowego oraz sektora instytucji rządowych i samo</w:t>
                            </w:r>
                            <w:r>
                              <w:t>rządowych nad depozytami tych sektorów wyniosła na koniec 2017 r. 9,0 mld zł.</w:t>
                            </w:r>
                          </w:p>
                          <w:p w:rsidR="00C91C24" w:rsidRDefault="00C91C2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margin-left:411.2pt;margin-top:12.85pt;width:135.85pt;height:98.8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" filled="f" stroked="f">
                <v:textbox>
                  <w:txbxContent>
                    <w:p w:rsidR="00C91C24" w:rsidRDefault="006B7AF8">
                      <w:pPr>
                        <w:pStyle w:val="tekstzboku"/>
                      </w:pPr>
                      <w:r>
                        <w:t>Nadwyżka kredytów sektora niefinansowego oraz sektora instytucji rządowych i samo</w:t>
                      </w:r>
                      <w:r>
                        <w:t>rządowych nad depozytami tych sektorów wyniosła na koniec 2017 r. 9,0 mld zł.</w:t>
                      </w:r>
                    </w:p>
                    <w:p w:rsidR="00C91C24" w:rsidRDefault="00C91C2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C24" w:rsidRDefault="006B7AF8">
      <w:pPr>
        <w:jc w:val="both"/>
        <w:rPr>
          <w:szCs w:val="19"/>
        </w:rPr>
      </w:pPr>
      <w:r>
        <w:rPr>
          <w:szCs w:val="19"/>
        </w:rPr>
        <w:t>W porównaniu do stanu w dniu 31 grudnia 2016 r., przyrost wartości depozytów sektora niefinansowego oraz sektora instytucji rządowych i samorządowych łącznie był większy o 12,3</w:t>
      </w:r>
      <w:r>
        <w:rPr>
          <w:szCs w:val="19"/>
        </w:rPr>
        <w:t> mld zł</w:t>
      </w:r>
      <w:r>
        <w:rPr>
          <w:szCs w:val="19"/>
          <w:vertAlign w:val="superscript"/>
        </w:rPr>
        <w:t>6</w:t>
      </w:r>
      <w:r>
        <w:rPr>
          <w:szCs w:val="19"/>
        </w:rPr>
        <w:t xml:space="preserve"> niż przyrost wartości kredytów tych podmiotów. W rezultacie, nadwyżka wartości kredytów nad wartością depozytów tych sektorów łącznie zmniejszyła się do 9,0 mld zł. W sektorze niefinansowym wystąpiła nadwyżka depozytów nad kredytami. Nadwyżka ta b</w:t>
      </w:r>
      <w:r>
        <w:rPr>
          <w:szCs w:val="19"/>
        </w:rPr>
        <w:t>yła większa niż rok wcześniej o 8,8 mld zł i wyniosła 22,2 mld zł. W sektorze instytucji rządowych i samorządowych zanotowano wzrost wartości depozytów o 5,5 mld zł, a wartość kredytów zwiększyła się o 2,0 mld zł, co skutkowało zmniejszeniem nadwyżki stanu</w:t>
      </w:r>
      <w:r>
        <w:rPr>
          <w:szCs w:val="19"/>
        </w:rPr>
        <w:t xml:space="preserve"> kredytów nad depozytami w tym sektorze do wartości 31,1 mld zł (o 3,5 mld zł).</w:t>
      </w: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C91C24">
      <w:pPr>
        <w:rPr>
          <w:sz w:val="18"/>
        </w:rPr>
      </w:pPr>
    </w:p>
    <w:p w:rsidR="00C91C24" w:rsidRDefault="006B7AF8">
      <w:pPr>
        <w:ind w:left="851" w:hanging="851"/>
        <w:rPr>
          <w:b/>
          <w:sz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440690</wp:posOffset>
            </wp:positionV>
            <wp:extent cx="5189855" cy="2581910"/>
            <wp:effectExtent l="0" t="0" r="0" b="889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>Wykres 5. Nadwyżka wartości kredytów nad depozytami według sektorów, w latach 2010-2017</w:t>
      </w:r>
      <w:r>
        <w:rPr>
          <w:b/>
          <w:sz w:val="18"/>
        </w:rPr>
        <w:br/>
        <w:t>(wg stanu w końcu kwartału)</w:t>
      </w:r>
    </w:p>
    <w:p w:rsidR="00C91C24" w:rsidRDefault="00C91C24">
      <w:pPr>
        <w:ind w:left="851" w:hanging="851"/>
        <w:rPr>
          <w:sz w:val="18"/>
        </w:rPr>
      </w:pPr>
    </w:p>
    <w:p w:rsidR="00C91C24" w:rsidRDefault="006B7AF8">
      <w:pPr>
        <w:jc w:val="center"/>
      </w:pPr>
      <w:r>
        <w:rPr>
          <w:sz w:val="18"/>
        </w:rPr>
        <w:t>***</w:t>
      </w:r>
    </w:p>
    <w:p w:rsidR="00C91C24" w:rsidRDefault="006B7AF8">
      <w:pPr>
        <w:rPr>
          <w:b/>
          <w:spacing w:val="-2"/>
          <w:sz w:val="18"/>
          <w:shd w:val="clear" w:color="auto" w:fill="FFFFFF"/>
        </w:rPr>
      </w:pPr>
      <w:r>
        <w:rPr>
          <w:noProof/>
          <w:spacing w:val="-2"/>
          <w:sz w:val="18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1905</wp:posOffset>
                </wp:positionV>
                <wp:extent cx="1725295" cy="1017270"/>
                <wp:effectExtent l="0" t="0" r="0" b="0"/>
                <wp:wrapTight wrapText="bothSides">
                  <wp:wrapPolygon edited="0">
                    <wp:start x="715" y="0"/>
                    <wp:lineTo x="715" y="21034"/>
                    <wp:lineTo x="20749" y="21034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6B7AF8">
                            <w:pPr>
                              <w:pStyle w:val="tekstzboku"/>
                              <w:jc w:val="both"/>
                            </w:pPr>
                            <w:r>
                              <w:t xml:space="preserve">W 2017 r. liczba banków prowadzących </w:t>
                            </w:r>
                            <w:r>
                              <w:t>działalność operacyjną zmniejszyła się o 5 i wyniosła 616 banków na koniec roku.</w:t>
                            </w:r>
                          </w:p>
                          <w:p w:rsidR="00C91C24" w:rsidRDefault="00C91C2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margin-left:413.7pt;margin-top:.15pt;width:135.85pt;height:80.1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" filled="f" stroked="f">
                <v:textbox>
                  <w:txbxContent>
                    <w:p w:rsidR="00C91C24" w:rsidRDefault="006B7AF8">
                      <w:pPr>
                        <w:pStyle w:val="tekstzboku"/>
                        <w:jc w:val="both"/>
                      </w:pPr>
                      <w:r>
                        <w:t xml:space="preserve">W 2017 r. liczba banków prowadzących </w:t>
                      </w:r>
                      <w:r>
                        <w:t>działalność operacyjną zmniejszyła się o 5 i wyniosła 616 banków na koniec roku.</w:t>
                      </w:r>
                    </w:p>
                    <w:p w:rsidR="00C91C24" w:rsidRDefault="00C91C2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pacing w:val="-2"/>
          <w:sz w:val="18"/>
          <w:shd w:val="clear" w:color="auto" w:fill="FFFFFF"/>
        </w:rPr>
        <w:t>Tablica 5. Liczba banków według formy organizacyjnej i struktury własności</w:t>
      </w:r>
    </w:p>
    <w:tbl>
      <w:tblPr>
        <w:tblStyle w:val="Siatkatabelijasna1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11"/>
        <w:gridCol w:w="1055"/>
        <w:gridCol w:w="1055"/>
        <w:gridCol w:w="867"/>
      </w:tblGrid>
      <w:tr w:rsidR="00C91C24">
        <w:trPr>
          <w:trHeight w:val="508"/>
        </w:trPr>
        <w:tc>
          <w:tcPr>
            <w:tcW w:w="5211" w:type="dxa"/>
            <w:vMerge w:val="restart"/>
            <w:vAlign w:val="center"/>
          </w:tcPr>
          <w:p w:rsidR="00C91C24" w:rsidRDefault="006B7AF8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Zmiana</w:t>
            </w:r>
          </w:p>
        </w:tc>
      </w:tr>
      <w:tr w:rsidR="00C91C24">
        <w:trPr>
          <w:trHeight w:val="295"/>
        </w:trPr>
        <w:tc>
          <w:tcPr>
            <w:tcW w:w="5211" w:type="dxa"/>
            <w:vMerge/>
            <w:tcBorders>
              <w:bottom w:val="single" w:sz="12" w:space="0" w:color="212492"/>
            </w:tcBorders>
            <w:vAlign w:val="center"/>
          </w:tcPr>
          <w:p w:rsidR="00C91C24" w:rsidRDefault="00C91C24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stan na 31 grudnia</w:t>
            </w:r>
          </w:p>
        </w:tc>
      </w:tr>
      <w:tr w:rsidR="00C91C24">
        <w:trPr>
          <w:trHeight w:val="57"/>
        </w:trPr>
        <w:tc>
          <w:tcPr>
            <w:tcW w:w="5211" w:type="dxa"/>
            <w:tcBorders>
              <w:top w:val="single" w:sz="12" w:space="0" w:color="212492"/>
            </w:tcBorders>
            <w:vAlign w:val="bottom"/>
          </w:tcPr>
          <w:p w:rsidR="00C91C24" w:rsidRDefault="006B7AF8">
            <w:pPr>
              <w:tabs>
                <w:tab w:val="left" w:leader="dot" w:pos="6521"/>
              </w:tabs>
              <w:spacing w:before="0" w:after="0"/>
              <w:jc w:val="both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867" w:type="dxa"/>
            <w:tcBorders>
              <w:top w:val="single" w:sz="12" w:space="0" w:color="212492"/>
            </w:tcBorders>
            <w:vAlign w:val="center"/>
          </w:tcPr>
          <w:p w:rsidR="00C91C24" w:rsidRDefault="006B7AF8">
            <w:pPr>
              <w:spacing w:before="0"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521"/>
              </w:tabs>
              <w:spacing w:before="0" w:after="0"/>
              <w:ind w:firstLineChars="100" w:firstLine="16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Komercyjne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521"/>
              </w:tabs>
              <w:spacing w:before="0" w:after="0"/>
              <w:ind w:firstLineChars="200" w:firstLine="32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z </w:t>
            </w:r>
            <w:r>
              <w:rPr>
                <w:rFonts w:eastAsia="Times New Roman" w:cs="Arial"/>
                <w:sz w:val="16"/>
                <w:szCs w:val="16"/>
              </w:rPr>
              <w:t>przeważającym udziałem kapitału polskiego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521"/>
              </w:tabs>
              <w:spacing w:before="0" w:after="0"/>
              <w:ind w:firstLineChars="200" w:firstLine="32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z przeważającym udziałem kapitału zagranicznego, w tym: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521"/>
              </w:tabs>
              <w:spacing w:before="0" w:after="0"/>
              <w:ind w:firstLineChars="300" w:firstLine="480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ze 100% udziałem kapitału zagranicznego, w tym: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521"/>
              </w:tabs>
              <w:spacing w:before="0" w:after="0"/>
              <w:ind w:firstLineChars="400" w:firstLine="640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oddziały instytucji kredytowych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</w:tr>
      <w:tr w:rsidR="00C91C24">
        <w:trPr>
          <w:trHeight w:val="57"/>
        </w:trPr>
        <w:tc>
          <w:tcPr>
            <w:tcW w:w="5211" w:type="dxa"/>
            <w:vAlign w:val="bottom"/>
          </w:tcPr>
          <w:p w:rsidR="00C91C24" w:rsidRDefault="006B7AF8">
            <w:pPr>
              <w:tabs>
                <w:tab w:val="left" w:leader="dot" w:pos="6521"/>
              </w:tabs>
              <w:spacing w:before="0" w:after="0"/>
              <w:ind w:firstLineChars="100" w:firstLine="16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Spółdzielcze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055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867" w:type="dxa"/>
            <w:vAlign w:val="center"/>
          </w:tcPr>
          <w:p w:rsidR="00C91C24" w:rsidRDefault="006B7AF8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</w:tr>
    </w:tbl>
    <w:p w:rsidR="00C91C24" w:rsidRDefault="006B7AF8">
      <w:pPr>
        <w:jc w:val="both"/>
        <w:rPr>
          <w:szCs w:val="19"/>
        </w:rPr>
      </w:pPr>
      <w:r>
        <w:rPr>
          <w:szCs w:val="19"/>
        </w:rPr>
        <w:t xml:space="preserve">Działalność </w:t>
      </w:r>
      <w:r>
        <w:rPr>
          <w:szCs w:val="19"/>
        </w:rPr>
        <w:t>operacyjną w końcu grudnia 2017 r. prowadziło 616 banków, tj. o 5 mniej niż rok wcześniej. Zmniejszenie liczby banków ogółem było wynikiem zmniejszenia się liczby banków spółdzielczych do 553, z powodu połączenia się 5 banków spółdzielczych z innymi bankam</w:t>
      </w:r>
      <w:r>
        <w:rPr>
          <w:szCs w:val="19"/>
        </w:rPr>
        <w:t>i spółdzielczymi. Liczba banków komercyjnych nie zmieniła się i wyniosła 63. Liczba oddziałów instytucji kredytowych zwiększyła się do 28 (o 1 więcej – jeden bank ze 100% udziałem kapitału zagranicznego został przekształcony w oddział instytucji kredytowej</w:t>
      </w:r>
      <w:r>
        <w:rPr>
          <w:szCs w:val="19"/>
        </w:rPr>
        <w:t xml:space="preserve"> oraz działalność rozpoczęły dwa nowe oddziały instytucji kredytowych, a dwa oddziały instytucji kredytowych zakończyły działalność decyzją swoich właścicieli). Liczba banków z przewagą kapitału zagranicznego wyniosła 49 (o 2 mniej – podmioty z przewagą ka</w:t>
      </w:r>
      <w:r>
        <w:rPr>
          <w:szCs w:val="19"/>
        </w:rPr>
        <w:t>pitału polskiego odkupiły od zagranicznego właściciela kontrolny pakiet akcji w jednym banku, uzyskując również kontrolę nad innym bankiem wchodzącym w skład grupy kapitałowej tego banku).</w:t>
      </w:r>
    </w:p>
    <w:p w:rsidR="00C91C24" w:rsidRDefault="006B7AF8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6439</wp:posOffset>
                </wp:positionH>
                <wp:positionV relativeFrom="paragraph">
                  <wp:posOffset>143904</wp:posOffset>
                </wp:positionV>
                <wp:extent cx="2028423" cy="0"/>
                <wp:effectExtent l="0" t="0" r="1016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4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0F2D" id="Łącznik prostoliniowy 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1.35pt" to="16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C91C24" w:rsidRDefault="006B7AF8">
      <w:pPr>
        <w:jc w:val="both"/>
        <w:rPr>
          <w:sz w:val="16"/>
          <w:szCs w:val="16"/>
        </w:rPr>
      </w:pPr>
      <w:r>
        <w:rPr>
          <w:sz w:val="18"/>
          <w:szCs w:val="18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Opracowano na podstawie danych Narodowego Banku Polskiego z sek</w:t>
      </w:r>
      <w:r>
        <w:rPr>
          <w:sz w:val="18"/>
          <w:szCs w:val="18"/>
        </w:rPr>
        <w:t>tora bankowego za 2017 r. przekazanych do GUS 16.02.2018 r. Porównawcze dane za 2016 r. podano na podstawie danych Narodowego Banku Polskiego dostępnych na stronie internetowej NBP (stan w dniu 16.02.2018 r.). Liczba banków została podana według danych UKN</w:t>
      </w:r>
      <w:r>
        <w:rPr>
          <w:sz w:val="18"/>
          <w:szCs w:val="18"/>
        </w:rPr>
        <w:t>F. Niniejsza informacja nie uwzględnia wyników banków w fazie organizacji, upadłości lub likwidacji.</w:t>
      </w:r>
    </w:p>
    <w:p w:rsidR="00C91C24" w:rsidRDefault="006B7AF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Ustawa z dnia 15 stycznia 2016 r. o podatku od niektórych instytucji finansowych (D. U. 2016, poz. 68, z późn. zm.) obowiązuje od 1 lutego 2016 r. Według</w:t>
      </w:r>
      <w:r>
        <w:rPr>
          <w:sz w:val="18"/>
          <w:szCs w:val="18"/>
        </w:rPr>
        <w:t xml:space="preserve"> danych UKNF („</w:t>
      </w:r>
      <w:hyperlink r:id="rId17" w:history="1">
        <w:r>
          <w:rPr>
            <w:rStyle w:val="Hipercze"/>
            <w:rFonts w:cstheme="minorBidi"/>
            <w:sz w:val="18"/>
            <w:szCs w:val="18"/>
          </w:rPr>
          <w:t>Syntetyczna informacja na temat wpływu podatku od niektórych instytucji finansowych na sytuację banków komercyjnych</w:t>
        </w:r>
      </w:hyperlink>
      <w:r>
        <w:rPr>
          <w:sz w:val="18"/>
          <w:szCs w:val="18"/>
        </w:rPr>
        <w:t>”, UKNF, Warszawa, Luty 2018) wart</w:t>
      </w:r>
      <w:r>
        <w:rPr>
          <w:sz w:val="18"/>
          <w:szCs w:val="18"/>
        </w:rPr>
        <w:t>ość zapłaconego w 2017 r. podatku okazała się o 0,4 mld zł wyższa niż w poprzednim roku.</w:t>
      </w:r>
    </w:p>
    <w:p w:rsidR="00C91C24" w:rsidRDefault="006B7AF8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3</w:t>
      </w:r>
      <w:r>
        <w:rPr>
          <w:sz w:val="18"/>
          <w:szCs w:val="18"/>
        </w:rPr>
        <w:t xml:space="preserve"> Należności z portfela B (wartość bilansowa brutto).</w:t>
      </w:r>
    </w:p>
    <w:p w:rsidR="00C91C24" w:rsidRDefault="006B7AF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Przedsiębiorstwa oraz osoby fizyczne prowadzące działalność gospodarczą na własny rachunek, u których liczba pr</w:t>
      </w:r>
      <w:r>
        <w:rPr>
          <w:sz w:val="18"/>
          <w:szCs w:val="18"/>
        </w:rPr>
        <w:t>acujących na koniec ostatniego zakończonego roku obrotowego wynosiła co najmniej 250 osób.</w:t>
      </w:r>
    </w:p>
    <w:p w:rsidR="00C91C24" w:rsidRDefault="006B7AF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Małe i średnie przedsiębiorstwa, w których liczba pracujących na koniec ostatniego zakończonego roku obrotowego wynosiła mniej niż 250 osób oraz osoby fizyczne pro</w:t>
      </w:r>
      <w:r>
        <w:rPr>
          <w:sz w:val="18"/>
          <w:szCs w:val="18"/>
        </w:rPr>
        <w:t>wadzące działalność gospodarczą na własny rachunek, o ile liczba pracujących w ramach prowadzonej działalności gospodarczej wynosiła więcej niż 9, lecz mniej niż 250 osób.</w:t>
      </w:r>
    </w:p>
    <w:p w:rsidR="00C91C24" w:rsidRDefault="006B7AF8">
      <w:pPr>
        <w:rPr>
          <w:sz w:val="16"/>
          <w:szCs w:val="16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 Bez uwzględnienia zmian kursów walut obcych. W szczególności kurs średni CHF wg ta</w:t>
      </w:r>
      <w:r>
        <w:rPr>
          <w:sz w:val="18"/>
          <w:szCs w:val="18"/>
        </w:rPr>
        <w:t>beli NBP z 29.12.2017 r. był o 13,4% niższy niż wg tabeli z 30.12.2016 r.</w:t>
      </w:r>
    </w:p>
    <w:p w:rsidR="00C91C24" w:rsidRDefault="00C91C24">
      <w:pPr>
        <w:rPr>
          <w:sz w:val="16"/>
          <w:szCs w:val="16"/>
        </w:rPr>
      </w:pPr>
    </w:p>
    <w:p w:rsidR="00C91C24" w:rsidRDefault="00C91C24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C91C24" w:rsidRPr="00F71EEB">
        <w:trPr>
          <w:trHeight w:val="1912"/>
        </w:trPr>
        <w:tc>
          <w:tcPr>
            <w:tcW w:w="4379" w:type="dxa"/>
          </w:tcPr>
          <w:p w:rsidR="00C91C24" w:rsidRDefault="006B7AF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91C24" w:rsidRDefault="006B7AF8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Departament Studiów</w:t>
            </w:r>
          </w:p>
          <w:p w:rsidR="00C91C24" w:rsidRDefault="006B7AF8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Makroekonomicznych i Finansów</w:t>
            </w:r>
          </w:p>
          <w:p w:rsidR="00C91C24" w:rsidRDefault="006B7AF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Wojciech Bąbik</w:t>
            </w:r>
          </w:p>
          <w:p w:rsidR="00C91C24" w:rsidRDefault="006B7AF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3776</w:t>
            </w:r>
          </w:p>
          <w:p w:rsidR="00C91C24" w:rsidRDefault="006B7AF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8" w:history="1">
              <w:r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w.babik@stat.gov.pl</w:t>
              </w:r>
            </w:hyperlink>
          </w:p>
        </w:tc>
        <w:tc>
          <w:tcPr>
            <w:tcW w:w="3942" w:type="dxa"/>
          </w:tcPr>
          <w:p w:rsidR="00C91C24" w:rsidRDefault="006B7A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Rozpowszechnianie:</w:t>
            </w:r>
            <w:r>
              <w:rPr>
                <w:rFonts w:cs="Arial"/>
                <w:color w:val="000000" w:themeColor="text1"/>
                <w:sz w:val="20"/>
              </w:rPr>
              <w:br/>
            </w:r>
            <w:r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91C24" w:rsidRDefault="006B7AF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C91C24" w:rsidRDefault="006B7AF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C91C24" w:rsidRDefault="006B7AF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C91C24" w:rsidRDefault="00C91C24">
      <w:pPr>
        <w:rPr>
          <w:sz w:val="20"/>
          <w:lang w:val="en-US"/>
        </w:rPr>
      </w:pPr>
    </w:p>
    <w:p w:rsidR="00C91C24" w:rsidRDefault="00C91C24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C91C24">
        <w:trPr>
          <w:trHeight w:val="610"/>
        </w:trPr>
        <w:tc>
          <w:tcPr>
            <w:tcW w:w="2721" w:type="pct"/>
            <w:vMerge w:val="restart"/>
            <w:vAlign w:val="center"/>
          </w:tcPr>
          <w:p w:rsidR="00C91C24" w:rsidRDefault="006B7A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Wydział Współpracy z Mediami </w:t>
            </w:r>
          </w:p>
          <w:p w:rsidR="00C91C24" w:rsidRDefault="006B7AF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tel.: </w:t>
            </w:r>
            <w:r>
              <w:rPr>
                <w:sz w:val="20"/>
              </w:rPr>
              <w:t xml:space="preserve">22 608 34 91, 22 608 38 04 </w:t>
            </w:r>
          </w:p>
          <w:p w:rsidR="00C91C24" w:rsidRDefault="006B7AF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faks:</w:t>
            </w:r>
            <w:r>
              <w:rPr>
                <w:sz w:val="20"/>
                <w:lang w:val="en-US"/>
              </w:rPr>
              <w:t xml:space="preserve"> 22 608 38 86 </w:t>
            </w:r>
          </w:p>
          <w:p w:rsidR="00C91C24" w:rsidRDefault="006B7AF8">
            <w:pPr>
              <w:rPr>
                <w:sz w:val="18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20" w:history="1">
              <w:r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C91C24" w:rsidRDefault="006B7AF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C91C24" w:rsidRDefault="006B7AF8">
            <w:pPr>
              <w:rPr>
                <w:sz w:val="18"/>
              </w:rPr>
            </w:pPr>
            <w:r>
              <w:rPr>
                <w:sz w:val="20"/>
              </w:rPr>
              <w:t>www.stat.gov.pl</w:t>
            </w:r>
          </w:p>
        </w:tc>
      </w:tr>
      <w:tr w:rsidR="00C91C24">
        <w:trPr>
          <w:trHeight w:val="436"/>
        </w:trPr>
        <w:tc>
          <w:tcPr>
            <w:tcW w:w="2721" w:type="pct"/>
            <w:vMerge/>
            <w:vAlign w:val="center"/>
          </w:tcPr>
          <w:p w:rsidR="00C91C24" w:rsidRDefault="00C91C24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91C24" w:rsidRDefault="006B7AF8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C91C24" w:rsidRDefault="006B7AF8">
            <w:pPr>
              <w:rPr>
                <w:sz w:val="18"/>
              </w:rPr>
            </w:pPr>
            <w:r>
              <w:rPr>
                <w:sz w:val="20"/>
              </w:rPr>
              <w:t>@GUS_STAT</w:t>
            </w:r>
          </w:p>
        </w:tc>
      </w:tr>
      <w:tr w:rsidR="00C91C24">
        <w:trPr>
          <w:trHeight w:val="436"/>
        </w:trPr>
        <w:tc>
          <w:tcPr>
            <w:tcW w:w="2721" w:type="pct"/>
            <w:vMerge/>
            <w:vAlign w:val="center"/>
          </w:tcPr>
          <w:p w:rsidR="00C91C24" w:rsidRDefault="00C91C24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91C24" w:rsidRDefault="006B7AF8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C91C24" w:rsidRDefault="006B7AF8">
            <w:pPr>
              <w:rPr>
                <w:sz w:val="20"/>
              </w:rPr>
            </w:pPr>
            <w:r>
              <w:rPr>
                <w:sz w:val="20"/>
              </w:rPr>
              <w:t>@GlownyUrzadStatystyczny</w:t>
            </w:r>
          </w:p>
        </w:tc>
      </w:tr>
    </w:tbl>
    <w:p w:rsidR="00C91C24" w:rsidRDefault="006B7AF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427990</wp:posOffset>
                </wp:positionV>
                <wp:extent cx="5208905" cy="3740785"/>
                <wp:effectExtent l="0" t="0" r="10795" b="1206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374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24" w:rsidRDefault="00C91C24">
                            <w:pPr>
                              <w:rPr>
                                <w:b/>
                              </w:rPr>
                            </w:pPr>
                          </w:p>
                          <w:p w:rsidR="00C91C24" w:rsidRDefault="006B7A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C91C24" w:rsidRDefault="006B7AF8">
                            <w:hyperlink r:id="rId24" w:history="1">
                              <w:r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Informacja o sytuacji społeczno-gospodarczej kraju</w:t>
                              </w:r>
                            </w:hyperlink>
                          </w:p>
                          <w:p w:rsidR="00C91C24" w:rsidRDefault="006B7AF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sygnalne. Wyniki finansowe przedsiębiorstw finansowych</w:t>
                              </w:r>
                            </w:hyperlink>
                          </w:p>
                          <w:p w:rsidR="00C91C24" w:rsidRDefault="006B7AF8">
                            <w:hyperlink r:id="rId26" w:history="1">
                              <w:r>
                                <w:rPr>
                                  <w:rStyle w:val="Hipercze"/>
                                  <w:rFonts w:cstheme="minorBidi"/>
                                </w:rPr>
                                <w:t>Narodowy Bank Polski. Dane finansowe sektora bankowego</w:t>
                              </w:r>
                            </w:hyperlink>
                          </w:p>
                          <w:p w:rsidR="00C91C24" w:rsidRDefault="00C91C24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91C24" w:rsidRDefault="00C91C24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91C24" w:rsidRDefault="006B7AF8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C91C24" w:rsidRDefault="006B7AF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:rsidR="00C91C24" w:rsidRDefault="00C91C24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91C24" w:rsidRDefault="006B7AF8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C91C24" w:rsidRDefault="006B7AF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komercyjny</w:t>
                              </w:r>
                            </w:hyperlink>
                          </w:p>
                          <w:p w:rsidR="00C91C24" w:rsidRDefault="006B7AF8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spółdzielczy</w:t>
                              </w:r>
                            </w:hyperlink>
                          </w:p>
                          <w:p w:rsidR="00C91C24" w:rsidRDefault="006B7AF8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Kredyt bankowy</w:t>
                              </w:r>
                            </w:hyperlink>
                          </w:p>
                          <w:p w:rsidR="00C91C24" w:rsidRDefault="006B7AF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1" w:history="1">
                              <w:r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Depozyt bankowy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33.7pt;width:410.15pt;height:294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" fillcolor="#f2f2f2 [3052]" strokecolor="white [3212]">
                <v:textbox>
                  <w:txbxContent>
                    <w:p w:rsidR="00C91C24" w:rsidRDefault="00C91C24">
                      <w:pPr>
                        <w:rPr>
                          <w:b/>
                        </w:rPr>
                      </w:pPr>
                    </w:p>
                    <w:p w:rsidR="00C91C24" w:rsidRDefault="006B7A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Powiązane opracowania</w:t>
                      </w:r>
                    </w:p>
                    <w:p w:rsidR="00C91C24" w:rsidRDefault="006B7AF8">
                      <w:hyperlink r:id="rId32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Informacja o sytuacji społeczno-gospodarczej kraju</w:t>
                        </w:r>
                      </w:hyperlink>
                    </w:p>
                    <w:p w:rsidR="00C91C24" w:rsidRDefault="006B7AF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sygnalne. Wyniki finansowe przedsiębiorstw finansowych</w:t>
                        </w:r>
                      </w:hyperlink>
                    </w:p>
                    <w:p w:rsidR="00C91C24" w:rsidRDefault="006B7AF8">
                      <w:hyperlink r:id="rId34" w:history="1">
                        <w:r>
                          <w:rPr>
                            <w:rStyle w:val="Hipercze"/>
                            <w:rFonts w:cstheme="minorBidi"/>
                          </w:rPr>
                          <w:t>Narodowy Bank Polski. Dane finansowe sektora bankowego</w:t>
                        </w:r>
                      </w:hyperlink>
                    </w:p>
                    <w:p w:rsidR="00C91C24" w:rsidRDefault="00C91C24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91C24" w:rsidRDefault="00C91C24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91C24" w:rsidRDefault="006B7AF8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C91C24" w:rsidRDefault="006B7AF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:rsidR="00C91C24" w:rsidRDefault="00C91C24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91C24" w:rsidRDefault="006B7AF8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C91C24" w:rsidRDefault="006B7AF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komercyjny</w:t>
                        </w:r>
                      </w:hyperlink>
                    </w:p>
                    <w:p w:rsidR="00C91C24" w:rsidRDefault="006B7AF8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spółdzielczy</w:t>
                        </w:r>
                      </w:hyperlink>
                    </w:p>
                    <w:p w:rsidR="00C91C24" w:rsidRDefault="006B7AF8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Kredyt bankowy</w:t>
                        </w:r>
                      </w:hyperlink>
                    </w:p>
                    <w:p w:rsidR="00C91C24" w:rsidRDefault="006B7AF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9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Depozyt bankowy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1C24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720" w:right="3119" w:bottom="720" w:left="720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F8" w:rsidRDefault="006B7AF8">
      <w:pPr>
        <w:spacing w:after="0" w:line="240" w:lineRule="auto"/>
      </w:pPr>
      <w:r>
        <w:separator/>
      </w:r>
    </w:p>
  </w:endnote>
  <w:endnote w:type="continuationSeparator" w:id="0">
    <w:p w:rsidR="006B7AF8" w:rsidRDefault="006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572367"/>
      <w:docPartObj>
        <w:docPartGallery w:val="Page Numbers (Bottom of Page)"/>
        <w:docPartUnique/>
      </w:docPartObj>
    </w:sdtPr>
    <w:sdtEndPr/>
    <w:sdtContent>
      <w:p w:rsidR="00C91C24" w:rsidRDefault="006B7AF8">
        <w:pPr>
          <w:pStyle w:val="Stopka"/>
          <w:spacing w:before="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E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24" w:rsidRDefault="00C91C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F8" w:rsidRDefault="006B7AF8">
      <w:pPr>
        <w:spacing w:after="0" w:line="240" w:lineRule="auto"/>
      </w:pPr>
      <w:r>
        <w:separator/>
      </w:r>
    </w:p>
  </w:footnote>
  <w:footnote w:type="continuationSeparator" w:id="0">
    <w:p w:rsidR="006B7AF8" w:rsidRDefault="006B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24" w:rsidRDefault="006B7AF8">
    <w:pPr>
      <w:pStyle w:val="Nagwek"/>
      <w:tabs>
        <w:tab w:val="clear" w:pos="4536"/>
        <w:tab w:val="clear" w:pos="9072"/>
        <w:tab w:val="center" w:pos="4033"/>
        <w:tab w:val="left" w:pos="457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5371465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AABEE" id="Prostokąt 10" o:spid="_x0000_s1026" style="position:absolute;margin-left:422.95pt;margin-top:3.5pt;width:147.4pt;height:18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Oto8GDfAAAACwEAAA8AAABk&#10;cnMvZG93bnJldi54bWxMj0FPg0AUhO8m/ofNM/FmFyq0hfJojInpWaomvW3ZJ5Cybwm7tPjv3Z70&#10;OJnJzDfFbja9uNDoOssI8SICQVxb3XGD8HF4e9qAcF6xVr1lQvghB7vy/q5QubZXfqdL5RsRStjl&#10;CqH1fsildHVLRrmFHYiD921Ho3yQYyP1qK6h3PRyGUUraVTHYaFVA722VJ+rySAcG892afaZ21eD&#10;/ZzSNJu/joiPD/PLFoSn2f+F4YYf0KEMTCc7sXaiR9gkaRaiCOtw6ebHSbQGcUJ4XsVJ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62jwYN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tab/>
    </w:r>
    <w:r>
      <w:tab/>
    </w:r>
  </w:p>
  <w:p w:rsidR="00C91C24" w:rsidRDefault="00C91C24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24" w:rsidRDefault="006B7AF8">
    <w:pPr>
      <w:pStyle w:val="Nagwek"/>
    </w:pPr>
    <w:r>
      <w:rPr>
        <w:noProof/>
        <w:sz w:val="32"/>
        <w:lang w:eastAsia="pl-PL"/>
      </w:rPr>
      <w:drawing>
        <wp:inline distT="0" distB="0" distL="0" distR="0">
          <wp:extent cx="2189408" cy="740536"/>
          <wp:effectExtent l="0" t="0" r="1905" b="2540"/>
          <wp:docPr id="19" name="Obraz 19" descr="C:\Users\babikw\Documents\My docs\infokw\Logo%20jubileuszowe%20wersja%20dla%20GUS%20odmiana%20podstawowa%20wariant%20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bikw\Documents\My docs\infokw\Logo%20jubileuszowe%20wersja%20dla%20GUS%20odmiana%20podstawowa%20wariant%20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793" cy="74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Fira Sans Light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5189220</wp:posOffset>
              </wp:positionH>
              <wp:positionV relativeFrom="paragraph">
                <wp:posOffset>223520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91C24" w:rsidRDefault="006B7AF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6" style="position:absolute;margin-left:408.6pt;margin-top:17.6pt;width:162.25pt;height:28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C91C24" w:rsidRDefault="006B7AF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C91C24" w:rsidRDefault="006B7AF8">
    <w:pPr>
      <w:pStyle w:val="Nagwek"/>
    </w:pPr>
    <w:r>
      <w:rPr>
        <w:rFonts w:eastAsia="Fira Sans Light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5371465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77BAE" id="Prostokąt 27" o:spid="_x0000_s1026" style="position:absolute;margin-left:422.95pt;margin-top:3.5pt;width:147.4pt;height:180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4.5pt;visibility:visible" o:bullet="t">
        <v:imagedata r:id="rId1" o:title=""/>
      </v:shape>
    </w:pict>
  </w:numPicBullet>
  <w:numPicBullet w:numPicBulletId="1">
    <w:pict>
      <v:shape id="_x0000_i1029" type="#_x0000_t75" style="width:124.5pt;height:124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24"/>
    <w:rsid w:val="006B7AF8"/>
    <w:rsid w:val="00C91C24"/>
    <w:rsid w:val="00F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8E01D-6A2D-4395-B735-4B2CDBF6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tytuinformacji">
    <w:name w:val="tytuł informacji"/>
    <w:basedOn w:val="Normalny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w.babik@stat.gov.pl" TargetMode="External"/><Relationship Id="rId26" Type="http://schemas.openxmlformats.org/officeDocument/2006/relationships/hyperlink" Target="http://www.nbp.pl/home.aspx?f=/statystyka/pieniezna_i_bankowa/naleznosci.html" TargetMode="External"/><Relationship Id="rId39" Type="http://schemas.openxmlformats.org/officeDocument/2006/relationships/hyperlink" Target="http://stat.gov.pl/metainformacje/slownik-pojec/pojecia-stosowane-w-statystyce-publicznej/1580,pojecie.html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www.nbp.pl/home.aspx?f=/statystyka/pieniezna_i_bankowa/naleznosci.html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9" Type="http://schemas.openxmlformats.org/officeDocument/2006/relationships/hyperlink" Target="http://stat.gov.pl/metainformacje/slownik-pojec/pojecia-stosowane-w-statystyce-publicznej/157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://stat.gov.pl/obszary-tematyczne/inne-opracowania/informacje-o-sytuacji-spoleczno-gospodarczej/informacja-o-sytuacji-spoleczno-gospodarczej-kraju-w-styczniu-2018-r-,1,69.html" TargetMode="External"/><Relationship Id="rId32" Type="http://schemas.openxmlformats.org/officeDocument/2006/relationships/hyperlink" Target="http://stat.gov.pl/obszary-tematyczne/inne-opracowania/informacje-o-sytuacji-spoleczno-gospodarczej/informacja-o-sytuacji-spoleczno-gospodarczej-kraju-w-styczniu-2018-r-,1,69.html" TargetMode="External"/><Relationship Id="rId37" Type="http://schemas.openxmlformats.org/officeDocument/2006/relationships/hyperlink" Target="http://stat.gov.pl/metainformacje/slownik-pojec/pojecia-stosowane-w-statystyce-publicznej/1576,pojecie.html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6.png"/><Relationship Id="rId28" Type="http://schemas.openxmlformats.org/officeDocument/2006/relationships/hyperlink" Target="http://stat.gov.pl/metainformacje/slownik-pojec/pojecia-stosowane-w-statystyce-publicznej/1575,pojecie.html" TargetMode="External"/><Relationship Id="rId36" Type="http://schemas.openxmlformats.org/officeDocument/2006/relationships/hyperlink" Target="http://stat.gov.pl/metainformacje/slownik-pojec/pojecia-stosowane-w-statystyce-publicznej/1575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://stat.gov.pl/metainformacje/slownik-pojec/pojecia-stosowane-w-statystyce-publicznej/1580,pojecie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5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metainformacje/slownik-pojec/pojecia-stosowane-w-statystyce-publicznej/162,pojecie.html" TargetMode="External"/><Relationship Id="rId35" Type="http://schemas.openxmlformats.org/officeDocument/2006/relationships/hyperlink" Target="http://bdm.stat.gov.pl/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https://www.knf.gov.pl/knf/pl/komponenty/img/Podatek_bankowy_2017_61001.pdf" TargetMode="External"/><Relationship Id="rId25" Type="http://schemas.openxmlformats.org/officeDocument/2006/relationships/hyperlink" Target="http://stat.gov.pl/obszary-tematyczne/podmioty-gospodarcze-wyniki-finansowe/przedsiebiorstwa-finansowe/" TargetMode="External"/><Relationship Id="rId33" Type="http://schemas.openxmlformats.org/officeDocument/2006/relationships/hyperlink" Target="http://stat.gov.pl/obszary-tematyczne/podmioty-gospodarcze-wyniki-finansowe/przedsiebiorstwa-finansowe/" TargetMode="External"/><Relationship Id="rId38" Type="http://schemas.openxmlformats.org/officeDocument/2006/relationships/hyperlink" Target="http://stat.gov.pl/metainformacje/slownik-pojec/pojecia-stosowane-w-statystyce-publicznej/162,pojecie.html" TargetMode="External"/><Relationship Id="rId20" Type="http://schemas.openxmlformats.org/officeDocument/2006/relationships/hyperlink" Target="mailto:obslugaprasowa@stat.gov.pl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779010771973098E-2"/>
          <c:y val="3.5064966724360686E-2"/>
          <c:w val="0.86351159230096242"/>
          <c:h val="0.4940136352924924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Wykres1!$A$2</c:f>
              <c:strCache>
                <c:ptCount val="1"/>
                <c:pt idx="0">
                  <c:v>Wynik z tytułu odsetek</c:v>
                </c:pt>
              </c:strCache>
            </c:strRef>
          </c:tx>
          <c:spPr>
            <a:solidFill>
              <a:srgbClr val="70AD47">
                <a:lumMod val="5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50000"/>
                </a:srgbClr>
              </a:solidFill>
            </c:spPr>
          </c:dPt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Wykres1!$B$2:$C$2</c:f>
              <c:numCache>
                <c:formatCode>0.0</c:formatCode>
                <c:ptCount val="2"/>
                <c:pt idx="0">
                  <c:v>64.09428315381885</c:v>
                </c:pt>
                <c:pt idx="1">
                  <c:v>68.967027974297395</c:v>
                </c:pt>
              </c:numCache>
            </c:numRef>
          </c:val>
        </c:ser>
        <c:ser>
          <c:idx val="1"/>
          <c:order val="1"/>
          <c:tx>
            <c:strRef>
              <c:f>Wykres1!$A$3</c:f>
              <c:strCache>
                <c:ptCount val="1"/>
                <c:pt idx="0">
                  <c:v>Wynik z tytułu opłat i prowizji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Wykres1!$B$3:$C$3</c:f>
              <c:numCache>
                <c:formatCode>0.0</c:formatCode>
                <c:ptCount val="2"/>
                <c:pt idx="0">
                  <c:v>21.279653708932891</c:v>
                </c:pt>
                <c:pt idx="1">
                  <c:v>22.291815408580515</c:v>
                </c:pt>
              </c:numCache>
            </c:numRef>
          </c:val>
        </c:ser>
        <c:ser>
          <c:idx val="2"/>
          <c:order val="2"/>
          <c:tx>
            <c:strRef>
              <c:f>Wykres1!$A$4</c:f>
              <c:strCache>
                <c:ptCount val="1"/>
                <c:pt idx="0">
                  <c:v>Wynik z tytułu aktywów i zobowiązań finansowych oraz wynik z tytułu różnic kursowych netto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Wykres1!$B$4:$C$4</c:f>
              <c:numCache>
                <c:formatCode>0.0</c:formatCode>
                <c:ptCount val="2"/>
                <c:pt idx="0">
                  <c:v>12.414399485974197</c:v>
                </c:pt>
                <c:pt idx="1">
                  <c:v>6.8459141948464985</c:v>
                </c:pt>
              </c:numCache>
            </c:numRef>
          </c:val>
        </c:ser>
        <c:ser>
          <c:idx val="3"/>
          <c:order val="3"/>
          <c:tx>
            <c:strRef>
              <c:f>Wykres1!$A$5</c:f>
              <c:strCache>
                <c:ptCount val="1"/>
                <c:pt idx="0">
                  <c:v>Przychody z tytułu dywidend</c:v>
                </c:pt>
              </c:strCache>
            </c:strRef>
          </c:tx>
          <c:spPr>
            <a:solidFill>
              <a:srgbClr val="70AD47">
                <a:lumMod val="40000"/>
                <a:lumOff val="60000"/>
              </a:srgb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Wykres1!$B$5:$C$5</c:f>
              <c:numCache>
                <c:formatCode>0.0</c:formatCode>
                <c:ptCount val="2"/>
                <c:pt idx="0">
                  <c:v>2.2116636512740739</c:v>
                </c:pt>
                <c:pt idx="1">
                  <c:v>1.895242422275589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1610096"/>
        <c:axId val="1536226832"/>
      </c:barChart>
      <c:catAx>
        <c:axId val="1531610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1536226832"/>
        <c:crosses val="autoZero"/>
        <c:auto val="1"/>
        <c:lblAlgn val="ctr"/>
        <c:lblOffset val="100"/>
        <c:noMultiLvlLbl val="0"/>
      </c:catAx>
      <c:valAx>
        <c:axId val="153622683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153161009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2.7978404408850601E-2"/>
          <c:y val="0.62344945271933894"/>
          <c:w val="0.93817260021984428"/>
          <c:h val="0.3471720988436817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525261990345027E-2"/>
          <c:y val="4.7626211528028269E-2"/>
          <c:w val="0.87991195477093476"/>
          <c:h val="0.7381398586891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Arkusz1!$C$3</c:f>
              <c:strCache>
                <c:ptCount val="1"/>
                <c:pt idx="0">
                  <c:v>31 XII 2016</c:v>
                </c:pt>
              </c:strCache>
            </c:strRef>
          </c:tx>
          <c:spPr>
            <a:solidFill>
              <a:srgbClr val="00B050"/>
            </a:solidFill>
            <a:ln w="12700">
              <a:noFill/>
              <a:prstDash val="solid"/>
            </a:ln>
          </c:spPr>
          <c:invertIfNegative val="0"/>
          <c:cat>
            <c:strRef>
              <c:f>Arkusz1!$B$4:$B$6</c:f>
              <c:strCache>
                <c:ptCount val="3"/>
                <c:pt idx="0">
                  <c:v>Razem</c:v>
                </c:pt>
                <c:pt idx="1">
                  <c:v>Sektor niefinansowy</c:v>
                </c:pt>
                <c:pt idx="2">
                  <c:v>Sektor instytucji rządowych
i samorządowych</c:v>
                </c:pt>
              </c:strCache>
            </c:strRef>
          </c:cat>
          <c:val>
            <c:numRef>
              <c:f>Arkusz1!$C$4:$C$6</c:f>
              <c:numCache>
                <c:formatCode>General</c:formatCode>
                <c:ptCount val="3"/>
                <c:pt idx="0">
                  <c:v>1105883</c:v>
                </c:pt>
                <c:pt idx="1">
                  <c:v>1007732</c:v>
                </c:pt>
                <c:pt idx="2">
                  <c:v>98151</c:v>
                </c:pt>
              </c:numCache>
            </c:numRef>
          </c:val>
        </c:ser>
        <c:ser>
          <c:idx val="1"/>
          <c:order val="1"/>
          <c:tx>
            <c:strRef>
              <c:f>Arkusz1!$D$3</c:f>
              <c:strCache>
                <c:ptCount val="1"/>
                <c:pt idx="0">
                  <c:v>31 XII 2017</c:v>
                </c:pt>
              </c:strCache>
            </c:strRef>
          </c:tx>
          <c:spPr>
            <a:solidFill>
              <a:srgbClr val="0070C0"/>
            </a:solidFill>
            <a:ln w="12700">
              <a:noFill/>
              <a:prstDash val="solid"/>
            </a:ln>
          </c:spPr>
          <c:invertIfNegative val="0"/>
          <c:cat>
            <c:strRef>
              <c:f>Arkusz1!$B$4:$B$6</c:f>
              <c:strCache>
                <c:ptCount val="3"/>
                <c:pt idx="0">
                  <c:v>Razem</c:v>
                </c:pt>
                <c:pt idx="1">
                  <c:v>Sektor niefinansowy</c:v>
                </c:pt>
                <c:pt idx="2">
                  <c:v>Sektor instytucji rządowych
i samorządowych</c:v>
                </c:pt>
              </c:strCache>
            </c:strRef>
          </c:cat>
          <c:val>
            <c:numRef>
              <c:f>Arkusz1!$D$4:$D$6</c:f>
              <c:numCache>
                <c:formatCode>General</c:formatCode>
                <c:ptCount val="3"/>
                <c:pt idx="0">
                  <c:v>1140419</c:v>
                </c:pt>
                <c:pt idx="1">
                  <c:v>1040293</c:v>
                </c:pt>
                <c:pt idx="2">
                  <c:v>100125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233360"/>
        <c:axId val="1474869168"/>
      </c:barChart>
      <c:catAx>
        <c:axId val="153623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Extra Condensed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147486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4869168"/>
        <c:scaling>
          <c:orientation val="minMax"/>
          <c:max val="11210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1536233360"/>
        <c:crosses val="autoZero"/>
        <c:crossBetween val="between"/>
        <c:majorUnit val="200000"/>
        <c:dispUnits>
          <c:builtInUnit val="thousands"/>
          <c:dispUnitsLbl>
            <c:layout>
              <c:manualLayout>
                <c:xMode val="edge"/>
                <c:yMode val="edge"/>
                <c:x val="2.6345808656643957E-3"/>
                <c:y val="3.5375885276910249E-3"/>
              </c:manualLayout>
            </c:layout>
            <c:tx>
              <c:rich>
                <a:bodyPr rot="0" vert="horz"/>
                <a:lstStyle/>
                <a:p>
                  <a:pPr algn="ctr">
                    <a:defRPr sz="800" b="0" i="0" u="none" strike="noStrike" baseline="0">
                      <a:solidFill>
                        <a:srgbClr val="000000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Calibri"/>
                    </a:defRPr>
                  </a:pPr>
                  <a:r>
                    <a:rPr lang="pl-PL" sz="800">
                      <a:latin typeface="Fira Sans" panose="020B0503050000020004" pitchFamily="34" charset="0"/>
                      <a:ea typeface="Fira Sans" panose="020B0503050000020004" pitchFamily="34" charset="0"/>
                    </a:rPr>
                    <a:t>mld zł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6330245589254531"/>
          <c:y val="0.94230707195120167"/>
          <c:w val="0.46481987184269757"/>
          <c:h val="5.769283735659564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525261990345027E-2"/>
          <c:y val="5.6440943773116536E-2"/>
          <c:w val="0.88560921386243152"/>
          <c:h val="0.7143439137036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Arkusz1!$C$3</c:f>
              <c:strCache>
                <c:ptCount val="1"/>
                <c:pt idx="0">
                  <c:v>31 XII 2016</c:v>
                </c:pt>
              </c:strCache>
            </c:strRef>
          </c:tx>
          <c:spPr>
            <a:solidFill>
              <a:srgbClr val="00B050"/>
            </a:solidFill>
            <a:ln w="12700">
              <a:noFill/>
              <a:prstDash val="solid"/>
            </a:ln>
          </c:spPr>
          <c:invertIfNegative val="0"/>
          <c:cat>
            <c:strRef>
              <c:f>(Arkusz1!$B$5;Arkusz1!$B$7:$B$8)</c:f>
              <c:strCache>
                <c:ptCount val="3"/>
                <c:pt idx="0">
                  <c:v>Sektor niefinansowy</c:v>
                </c:pt>
                <c:pt idx="1">
                  <c:v>Przedsiębiorstwa</c:v>
                </c:pt>
                <c:pt idx="2">
                  <c:v>Gospodarstwa domowe</c:v>
                </c:pt>
              </c:strCache>
            </c:strRef>
          </c:cat>
          <c:val>
            <c:numRef>
              <c:f>(Arkusz1!$C$5;Arkusz1!$C$7:$C$8)</c:f>
              <c:numCache>
                <c:formatCode>General</c:formatCode>
                <c:ptCount val="3"/>
                <c:pt idx="0">
                  <c:v>1007732</c:v>
                </c:pt>
                <c:pt idx="1">
                  <c:v>344858</c:v>
                </c:pt>
                <c:pt idx="2">
                  <c:v>656414</c:v>
                </c:pt>
              </c:numCache>
            </c:numRef>
          </c:val>
        </c:ser>
        <c:ser>
          <c:idx val="1"/>
          <c:order val="1"/>
          <c:tx>
            <c:strRef>
              <c:f>Arkusz1!$D$3</c:f>
              <c:strCache>
                <c:ptCount val="1"/>
                <c:pt idx="0">
                  <c:v>31 XII 2017</c:v>
                </c:pt>
              </c:strCache>
            </c:strRef>
          </c:tx>
          <c:spPr>
            <a:solidFill>
              <a:srgbClr val="0070C0"/>
            </a:solidFill>
            <a:ln w="12700">
              <a:noFill/>
              <a:prstDash val="solid"/>
            </a:ln>
          </c:spPr>
          <c:invertIfNegative val="0"/>
          <c:cat>
            <c:strRef>
              <c:f>(Arkusz1!$B$5;Arkusz1!$B$7:$B$8)</c:f>
              <c:strCache>
                <c:ptCount val="3"/>
                <c:pt idx="0">
                  <c:v>Sektor niefinansowy</c:v>
                </c:pt>
                <c:pt idx="1">
                  <c:v>Przedsiębiorstwa</c:v>
                </c:pt>
                <c:pt idx="2">
                  <c:v>Gospodarstwa domowe</c:v>
                </c:pt>
              </c:strCache>
            </c:strRef>
          </c:cat>
          <c:val>
            <c:numRef>
              <c:f>(Arkusz1!$D$5;Arkusz1!$D$7:$D$8)</c:f>
              <c:numCache>
                <c:formatCode>General</c:formatCode>
                <c:ptCount val="3"/>
                <c:pt idx="0">
                  <c:v>1040293</c:v>
                </c:pt>
                <c:pt idx="1">
                  <c:v>365829</c:v>
                </c:pt>
                <c:pt idx="2">
                  <c:v>667545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8133728"/>
        <c:axId val="1608137536"/>
      </c:barChart>
      <c:catAx>
        <c:axId val="160813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Extra Condensed" panose="020B0503050000020004" pitchFamily="34" charset="0"/>
                <a:ea typeface="Calibri"/>
                <a:cs typeface="Calibri"/>
              </a:defRPr>
            </a:pPr>
            <a:endParaRPr lang="pl-PL"/>
          </a:p>
        </c:txPr>
        <c:crossAx val="160813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8137536"/>
        <c:scaling>
          <c:orientation val="minMax"/>
          <c:max val="11000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1608133728"/>
        <c:crosses val="autoZero"/>
        <c:crossBetween val="between"/>
        <c:majorUnit val="200000"/>
        <c:dispUnits>
          <c:builtInUnit val="thousands"/>
          <c:dispUnitsLbl>
            <c:layout>
              <c:manualLayout>
                <c:xMode val="edge"/>
                <c:yMode val="edge"/>
                <c:x val="3.4508502215900468E-3"/>
                <c:y val="2.4074870576278016E-4"/>
              </c:manualLayout>
            </c:layout>
            <c:tx>
              <c:rich>
                <a:bodyPr rot="0" vert="horz"/>
                <a:lstStyle/>
                <a:p>
                  <a:pPr algn="ctr">
                    <a:defRPr sz="800" b="0" i="0" u="none" strike="noStrike" baseline="0">
                      <a:solidFill>
                        <a:srgbClr val="000000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Calibri"/>
                    </a:defRPr>
                  </a:pPr>
                  <a:r>
                    <a:rPr lang="pl-PL" sz="800">
                      <a:latin typeface="Fira Sans" panose="020B0503050000020004" pitchFamily="34" charset="0"/>
                      <a:ea typeface="Fira Sans" panose="020B0503050000020004" pitchFamily="34" charset="0"/>
                    </a:rPr>
                    <a:t>mld zł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988167587611879"/>
          <c:y val="0.91167106004664511"/>
          <c:w val="0.56496083922524043"/>
          <c:h val="5.589983113651823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862784510268632E-2"/>
          <c:y val="0.13010425780110821"/>
          <c:w val="0.92058163547240512"/>
          <c:h val="0.55653361038203564"/>
        </c:manualLayout>
      </c:layout>
      <c:lineChart>
        <c:grouping val="standard"/>
        <c:varyColors val="0"/>
        <c:ser>
          <c:idx val="0"/>
          <c:order val="0"/>
          <c:tx>
            <c:strRef>
              <c:f>Arkusz1!$C$209</c:f>
              <c:strCache>
                <c:ptCount val="1"/>
                <c:pt idx="0">
                  <c:v>Bieżące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Arkusz1!$A$210:$B$241</c:f>
              <c:multiLvlStrCache>
                <c:ptCount val="3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Arkusz1!$C$210:$C$241</c:f>
              <c:numCache>
                <c:formatCode>0</c:formatCode>
                <c:ptCount val="32"/>
                <c:pt idx="0">
                  <c:v>270201</c:v>
                </c:pt>
                <c:pt idx="1">
                  <c:v>291745</c:v>
                </c:pt>
                <c:pt idx="2">
                  <c:v>296651</c:v>
                </c:pt>
                <c:pt idx="3">
                  <c:v>311210</c:v>
                </c:pt>
                <c:pt idx="4">
                  <c:v>303558</c:v>
                </c:pt>
                <c:pt idx="5">
                  <c:v>309525</c:v>
                </c:pt>
                <c:pt idx="6">
                  <c:v>311837</c:v>
                </c:pt>
                <c:pt idx="7">
                  <c:v>328315</c:v>
                </c:pt>
                <c:pt idx="8">
                  <c:v>313239</c:v>
                </c:pt>
                <c:pt idx="9">
                  <c:v>319302</c:v>
                </c:pt>
                <c:pt idx="10">
                  <c:v>331864</c:v>
                </c:pt>
                <c:pt idx="11">
                  <c:v>348591</c:v>
                </c:pt>
                <c:pt idx="12">
                  <c:v>355886</c:v>
                </c:pt>
                <c:pt idx="13">
                  <c:v>385946</c:v>
                </c:pt>
                <c:pt idx="14">
                  <c:v>408045</c:v>
                </c:pt>
                <c:pt idx="15">
                  <c:v>409515</c:v>
                </c:pt>
                <c:pt idx="16">
                  <c:v>410192</c:v>
                </c:pt>
                <c:pt idx="17">
                  <c:v>417257</c:v>
                </c:pt>
                <c:pt idx="18">
                  <c:v>419792</c:v>
                </c:pt>
                <c:pt idx="19">
                  <c:v>445182</c:v>
                </c:pt>
                <c:pt idx="20">
                  <c:v>443906</c:v>
                </c:pt>
                <c:pt idx="21">
                  <c:v>458354</c:v>
                </c:pt>
                <c:pt idx="22">
                  <c:v>468851</c:v>
                </c:pt>
                <c:pt idx="23">
                  <c:v>503510</c:v>
                </c:pt>
                <c:pt idx="24">
                  <c:v>515448</c:v>
                </c:pt>
                <c:pt idx="25">
                  <c:v>536660</c:v>
                </c:pt>
                <c:pt idx="26">
                  <c:v>551728</c:v>
                </c:pt>
                <c:pt idx="27">
                  <c:v>610914</c:v>
                </c:pt>
                <c:pt idx="28">
                  <c:v>603947</c:v>
                </c:pt>
                <c:pt idx="29">
                  <c:v>621666</c:v>
                </c:pt>
                <c:pt idx="30">
                  <c:v>635226</c:v>
                </c:pt>
                <c:pt idx="31">
                  <c:v>690810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Arkusz1!$D$209</c:f>
              <c:strCache>
                <c:ptCount val="1"/>
                <c:pt idx="0">
                  <c:v>Terminowe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multiLvlStrRef>
              <c:f>Arkusz1!$A$210:$B$241</c:f>
              <c:multiLvlStrCache>
                <c:ptCount val="3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Arkusz1!$D$210:$D$241</c:f>
              <c:numCache>
                <c:formatCode>0</c:formatCode>
                <c:ptCount val="32"/>
                <c:pt idx="0">
                  <c:v>354560</c:v>
                </c:pt>
                <c:pt idx="1">
                  <c:v>351004</c:v>
                </c:pt>
                <c:pt idx="2">
                  <c:v>355635</c:v>
                </c:pt>
                <c:pt idx="3">
                  <c:v>359004</c:v>
                </c:pt>
                <c:pt idx="4">
                  <c:v>377745</c:v>
                </c:pt>
                <c:pt idx="5">
                  <c:v>376149</c:v>
                </c:pt>
                <c:pt idx="6">
                  <c:v>402740</c:v>
                </c:pt>
                <c:pt idx="7">
                  <c:v>416716</c:v>
                </c:pt>
                <c:pt idx="8">
                  <c:v>425678</c:v>
                </c:pt>
                <c:pt idx="9">
                  <c:v>436905</c:v>
                </c:pt>
                <c:pt idx="10">
                  <c:v>444380</c:v>
                </c:pt>
                <c:pt idx="11">
                  <c:v>432074</c:v>
                </c:pt>
                <c:pt idx="12">
                  <c:v>440903</c:v>
                </c:pt>
                <c:pt idx="13">
                  <c:v>428302</c:v>
                </c:pt>
                <c:pt idx="14">
                  <c:v>424336</c:v>
                </c:pt>
                <c:pt idx="15">
                  <c:v>417180</c:v>
                </c:pt>
                <c:pt idx="16">
                  <c:v>442995</c:v>
                </c:pt>
                <c:pt idx="17">
                  <c:v>460107</c:v>
                </c:pt>
                <c:pt idx="18">
                  <c:v>471227</c:v>
                </c:pt>
                <c:pt idx="19">
                  <c:v>464697</c:v>
                </c:pt>
                <c:pt idx="20">
                  <c:v>489760</c:v>
                </c:pt>
                <c:pt idx="21">
                  <c:v>476522</c:v>
                </c:pt>
                <c:pt idx="22">
                  <c:v>499415</c:v>
                </c:pt>
                <c:pt idx="23">
                  <c:v>478292</c:v>
                </c:pt>
                <c:pt idx="24">
                  <c:v>502275</c:v>
                </c:pt>
                <c:pt idx="25">
                  <c:v>507477</c:v>
                </c:pt>
                <c:pt idx="26">
                  <c:v>505194</c:v>
                </c:pt>
                <c:pt idx="27">
                  <c:v>473727</c:v>
                </c:pt>
                <c:pt idx="28">
                  <c:v>505548</c:v>
                </c:pt>
                <c:pt idx="29">
                  <c:v>497877</c:v>
                </c:pt>
                <c:pt idx="30">
                  <c:v>489809</c:v>
                </c:pt>
                <c:pt idx="31">
                  <c:v>440650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8134816"/>
        <c:axId val="1608140800"/>
      </c:lineChart>
      <c:catAx>
        <c:axId val="160813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8140800"/>
        <c:crosses val="autoZero"/>
        <c:auto val="1"/>
        <c:lblAlgn val="ctr"/>
        <c:lblOffset val="100"/>
        <c:noMultiLvlLbl val="0"/>
      </c:catAx>
      <c:valAx>
        <c:axId val="1608140800"/>
        <c:scaling>
          <c:orientation val="minMax"/>
          <c:max val="700000"/>
          <c:min val="20000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crossAx val="1608134816"/>
        <c:crosses val="autoZero"/>
        <c:crossBetween val="between"/>
        <c:majorUnit val="100000"/>
        <c:dispUnits>
          <c:builtInUnit val="thousands"/>
          <c:dispUnitsLbl>
            <c:layout>
              <c:manualLayout>
                <c:xMode val="edge"/>
                <c:yMode val="edge"/>
                <c:x val="2.379930722401038E-3"/>
                <c:y val="4.214129483814523E-2"/>
              </c:manualLayout>
            </c:layout>
            <c:tx>
              <c:rich>
                <a:bodyPr rot="0" vert="horz"/>
                <a:lstStyle/>
                <a:p>
                  <a:pPr>
                    <a:defRPr b="0"/>
                  </a:pPr>
                  <a:r>
                    <a:rPr lang="pl-PL" b="0"/>
                    <a:t>mld zł</a:t>
                  </a:r>
                </a:p>
              </c:rich>
            </c:tx>
          </c:dispUnitsLbl>
        </c:dispUnits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25582796837981E-2"/>
          <c:y val="0.13653161131301048"/>
          <c:w val="0.92758159155731745"/>
          <c:h val="0.62484741067883109"/>
        </c:manualLayout>
      </c:layout>
      <c:lineChart>
        <c:grouping val="standard"/>
        <c:varyColors val="0"/>
        <c:ser>
          <c:idx val="1"/>
          <c:order val="0"/>
          <c:tx>
            <c:strRef>
              <c:f>'[Wykres w programie Microsoft Word]Arkusz1'!$D$141</c:f>
              <c:strCache>
                <c:ptCount val="1"/>
                <c:pt idx="0">
                  <c:v>Sektor niefinansowy</c:v>
                </c:pt>
              </c:strCache>
            </c:strRef>
          </c:tx>
          <c:spPr>
            <a:ln w="3810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'[Wykres w programie Microsoft Word]Arkusz1'!$A$142:$B$173</c:f>
              <c:multiLvlStrCache>
                <c:ptCount val="3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'[Wykres w programie Microsoft Word]Arkusz1'!$D$142:$D$173</c:f>
              <c:numCache>
                <c:formatCode>0</c:formatCode>
                <c:ptCount val="32"/>
                <c:pt idx="0">
                  <c:v>77572</c:v>
                </c:pt>
                <c:pt idx="1">
                  <c:v>99452</c:v>
                </c:pt>
                <c:pt idx="2">
                  <c:v>98664</c:v>
                </c:pt>
                <c:pt idx="3">
                  <c:v>79501</c:v>
                </c:pt>
                <c:pt idx="4">
                  <c:v>87721</c:v>
                </c:pt>
                <c:pt idx="5">
                  <c:v>111838</c:v>
                </c:pt>
                <c:pt idx="6">
                  <c:v>130850</c:v>
                </c:pt>
                <c:pt idx="7">
                  <c:v>102657</c:v>
                </c:pt>
                <c:pt idx="8">
                  <c:v>108490</c:v>
                </c:pt>
                <c:pt idx="9">
                  <c:v>117885</c:v>
                </c:pt>
                <c:pt idx="10">
                  <c:v>118128</c:v>
                </c:pt>
                <c:pt idx="11">
                  <c:v>87562</c:v>
                </c:pt>
                <c:pt idx="12">
                  <c:v>84251</c:v>
                </c:pt>
                <c:pt idx="13">
                  <c:v>91942</c:v>
                </c:pt>
                <c:pt idx="14">
                  <c:v>95243</c:v>
                </c:pt>
                <c:pt idx="15">
                  <c:v>64307</c:v>
                </c:pt>
                <c:pt idx="16">
                  <c:v>77065</c:v>
                </c:pt>
                <c:pt idx="17">
                  <c:v>86236</c:v>
                </c:pt>
                <c:pt idx="18">
                  <c:v>83034</c:v>
                </c:pt>
                <c:pt idx="19">
                  <c:v>43210</c:v>
                </c:pt>
                <c:pt idx="20">
                  <c:v>63375</c:v>
                </c:pt>
                <c:pt idx="21">
                  <c:v>70915</c:v>
                </c:pt>
                <c:pt idx="22">
                  <c:v>63057</c:v>
                </c:pt>
                <c:pt idx="23">
                  <c:v>23146</c:v>
                </c:pt>
                <c:pt idx="24">
                  <c:v>36334</c:v>
                </c:pt>
                <c:pt idx="25">
                  <c:v>27099</c:v>
                </c:pt>
                <c:pt idx="26">
                  <c:v>29675</c:v>
                </c:pt>
                <c:pt idx="27">
                  <c:v>-13388</c:v>
                </c:pt>
                <c:pt idx="28">
                  <c:v>7435</c:v>
                </c:pt>
                <c:pt idx="29">
                  <c:v>20250</c:v>
                </c:pt>
                <c:pt idx="30">
                  <c:v>23911</c:v>
                </c:pt>
                <c:pt idx="31">
                  <c:v>-22181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'[Wykres w programie Microsoft Word]Arkusz1'!$E$141</c:f>
              <c:strCache>
                <c:ptCount val="1"/>
                <c:pt idx="0">
                  <c:v>Sektor instytucji rządowych i samorządowych</c:v>
                </c:pt>
              </c:strCache>
            </c:strRef>
          </c:tx>
          <c:spPr>
            <a:ln w="3810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'[Wykres w programie Microsoft Word]Arkusz1'!$A$142:$B$173</c:f>
              <c:multiLvlStrCache>
                <c:ptCount val="3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'[Wykres w programie Microsoft Word]Arkusz1'!$E$142:$E$173</c:f>
              <c:numCache>
                <c:formatCode>0</c:formatCode>
                <c:ptCount val="32"/>
                <c:pt idx="0">
                  <c:v>-16588</c:v>
                </c:pt>
                <c:pt idx="1">
                  <c:v>-14630</c:v>
                </c:pt>
                <c:pt idx="2">
                  <c:v>-14032</c:v>
                </c:pt>
                <c:pt idx="3">
                  <c:v>10419</c:v>
                </c:pt>
                <c:pt idx="4">
                  <c:v>-976</c:v>
                </c:pt>
                <c:pt idx="5">
                  <c:v>4601</c:v>
                </c:pt>
                <c:pt idx="6">
                  <c:v>8427</c:v>
                </c:pt>
                <c:pt idx="7">
                  <c:v>35806</c:v>
                </c:pt>
                <c:pt idx="8">
                  <c:v>28344</c:v>
                </c:pt>
                <c:pt idx="9">
                  <c:v>19615</c:v>
                </c:pt>
                <c:pt idx="10">
                  <c:v>6160</c:v>
                </c:pt>
                <c:pt idx="11">
                  <c:v>32231</c:v>
                </c:pt>
                <c:pt idx="12">
                  <c:v>24292</c:v>
                </c:pt>
                <c:pt idx="13">
                  <c:v>16341</c:v>
                </c:pt>
                <c:pt idx="14">
                  <c:v>1121</c:v>
                </c:pt>
                <c:pt idx="15">
                  <c:v>37395</c:v>
                </c:pt>
                <c:pt idx="16">
                  <c:v>13262</c:v>
                </c:pt>
                <c:pt idx="17">
                  <c:v>-994</c:v>
                </c:pt>
                <c:pt idx="18">
                  <c:v>9893</c:v>
                </c:pt>
                <c:pt idx="19">
                  <c:v>32428</c:v>
                </c:pt>
                <c:pt idx="20">
                  <c:v>12186</c:v>
                </c:pt>
                <c:pt idx="21">
                  <c:v>25340</c:v>
                </c:pt>
                <c:pt idx="22">
                  <c:v>14282</c:v>
                </c:pt>
                <c:pt idx="23">
                  <c:v>46945</c:v>
                </c:pt>
                <c:pt idx="24">
                  <c:v>8913</c:v>
                </c:pt>
                <c:pt idx="25">
                  <c:v>14256</c:v>
                </c:pt>
                <c:pt idx="26">
                  <c:v>8541</c:v>
                </c:pt>
                <c:pt idx="27">
                  <c:v>34630</c:v>
                </c:pt>
                <c:pt idx="28">
                  <c:v>-5344</c:v>
                </c:pt>
                <c:pt idx="29">
                  <c:v>-14706</c:v>
                </c:pt>
                <c:pt idx="30">
                  <c:v>-10517</c:v>
                </c:pt>
                <c:pt idx="31">
                  <c:v>31139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'[Wykres w programie Microsoft Word]Arkusz1'!$C$141</c:f>
              <c:strCache>
                <c:ptCount val="1"/>
                <c:pt idx="0">
                  <c:v>Razem</c:v>
                </c:pt>
              </c:strCache>
            </c:strRef>
          </c:tx>
          <c:spPr>
            <a:ln w="38100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'[Wykres w programie Microsoft Word]Arkusz1'!$A$142:$B$173</c:f>
              <c:multiLvlStrCache>
                <c:ptCount val="3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'[Wykres w programie Microsoft Word]Arkusz1'!$C$142:$C$173</c:f>
              <c:numCache>
                <c:formatCode>0</c:formatCode>
                <c:ptCount val="32"/>
                <c:pt idx="0">
                  <c:v>60984</c:v>
                </c:pt>
                <c:pt idx="1">
                  <c:v>84822</c:v>
                </c:pt>
                <c:pt idx="2">
                  <c:v>84632</c:v>
                </c:pt>
                <c:pt idx="3">
                  <c:v>89920</c:v>
                </c:pt>
                <c:pt idx="4">
                  <c:v>86745</c:v>
                </c:pt>
                <c:pt idx="5">
                  <c:v>116439</c:v>
                </c:pt>
                <c:pt idx="6">
                  <c:v>139277</c:v>
                </c:pt>
                <c:pt idx="7">
                  <c:v>138463</c:v>
                </c:pt>
                <c:pt idx="8">
                  <c:v>136834</c:v>
                </c:pt>
                <c:pt idx="9">
                  <c:v>137500</c:v>
                </c:pt>
                <c:pt idx="10">
                  <c:v>124288</c:v>
                </c:pt>
                <c:pt idx="11">
                  <c:v>119793</c:v>
                </c:pt>
                <c:pt idx="12">
                  <c:v>108543</c:v>
                </c:pt>
                <c:pt idx="13">
                  <c:v>108283</c:v>
                </c:pt>
                <c:pt idx="14">
                  <c:v>96364</c:v>
                </c:pt>
                <c:pt idx="15">
                  <c:v>101702</c:v>
                </c:pt>
                <c:pt idx="16">
                  <c:v>90327</c:v>
                </c:pt>
                <c:pt idx="17">
                  <c:v>85242</c:v>
                </c:pt>
                <c:pt idx="18">
                  <c:v>92927</c:v>
                </c:pt>
                <c:pt idx="19">
                  <c:v>75638</c:v>
                </c:pt>
                <c:pt idx="20">
                  <c:v>75561</c:v>
                </c:pt>
                <c:pt idx="21">
                  <c:v>96255</c:v>
                </c:pt>
                <c:pt idx="22">
                  <c:v>77339</c:v>
                </c:pt>
                <c:pt idx="23">
                  <c:v>70091</c:v>
                </c:pt>
                <c:pt idx="24">
                  <c:v>45247</c:v>
                </c:pt>
                <c:pt idx="25">
                  <c:v>41355</c:v>
                </c:pt>
                <c:pt idx="26">
                  <c:v>38216</c:v>
                </c:pt>
                <c:pt idx="27">
                  <c:v>21242</c:v>
                </c:pt>
                <c:pt idx="28">
                  <c:v>2091</c:v>
                </c:pt>
                <c:pt idx="29">
                  <c:v>5544</c:v>
                </c:pt>
                <c:pt idx="30">
                  <c:v>13394</c:v>
                </c:pt>
                <c:pt idx="31">
                  <c:v>8958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8128832"/>
        <c:axId val="1608138080"/>
      </c:lineChart>
      <c:catAx>
        <c:axId val="1608128832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1608138080"/>
        <c:crosses val="autoZero"/>
        <c:auto val="1"/>
        <c:lblAlgn val="ctr"/>
        <c:lblOffset val="0"/>
        <c:noMultiLvlLbl val="0"/>
      </c:catAx>
      <c:valAx>
        <c:axId val="1608138080"/>
        <c:scaling>
          <c:orientation val="minMax"/>
          <c:max val="140000"/>
          <c:min val="-2000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Calibri"/>
              </a:defRPr>
            </a:pPr>
            <a:endParaRPr lang="pl-PL"/>
          </a:p>
        </c:txPr>
        <c:crossAx val="1608128832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517205957883924E-2"/>
                <c:y val="3.3210332103321034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r>
                    <a:rPr lang="pl-PL"/>
                    <a:t>mld zł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4.8942176638756295E-2"/>
          <c:y val="0.91513070091330839"/>
          <c:w val="0.91693351741040929"/>
          <c:h val="6.295842171020138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Calibri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8DFF4C1C-5E6E-4882-9D53-32BCDB6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banków w 2017 r.</dc:title>
  <dc:creator>Bąbik Wojciech</dc:creator>
  <cp:lastModifiedBy>Koszela Alicja</cp:lastModifiedBy>
  <cp:revision>4</cp:revision>
  <cp:lastPrinted>2018-03-29T08:03:00Z</cp:lastPrinted>
  <dcterms:created xsi:type="dcterms:W3CDTF">2018-04-04T06:25:00Z</dcterms:created>
  <dcterms:modified xsi:type="dcterms:W3CDTF">2018-04-05T09:19:00Z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