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136D4B" w:rsidRDefault="00AD30FD" w:rsidP="00B21F88">
      <w:pPr>
        <w:pStyle w:val="tytuinformacji"/>
      </w:pPr>
      <w:bookmarkStart w:id="0" w:name="_GoBack"/>
      <w:r w:rsidRPr="00136D4B">
        <w:t>Działalność przedsiębiorstw windykacyjnych</w:t>
      </w:r>
      <w:r w:rsidRPr="00136D4B">
        <w:br/>
        <w:t>w 2017 roku</w:t>
      </w:r>
    </w:p>
    <w:bookmarkEnd w:id="0"/>
    <w:p w:rsidR="00393761" w:rsidRPr="00001C5B" w:rsidRDefault="00B3350E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9B8F13" wp14:editId="11CCA18C">
                <wp:simplePos x="0" y="0"/>
                <wp:positionH relativeFrom="column">
                  <wp:posOffset>5217795</wp:posOffset>
                </wp:positionH>
                <wp:positionV relativeFrom="paragraph">
                  <wp:posOffset>261950</wp:posOffset>
                </wp:positionV>
                <wp:extent cx="1826260" cy="1287145"/>
                <wp:effectExtent l="0" t="0" r="0" b="0"/>
                <wp:wrapTight wrapText="bothSides">
                  <wp:wrapPolygon edited="0">
                    <wp:start x="676" y="0"/>
                    <wp:lineTo x="676" y="21099"/>
                    <wp:lineTo x="20729" y="21099"/>
                    <wp:lineTo x="20729" y="0"/>
                    <wp:lineTo x="676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6" w:rsidRPr="00074DD8" w:rsidRDefault="00681A16" w:rsidP="00074DD8">
                            <w:pPr>
                              <w:pStyle w:val="tekstzboku"/>
                            </w:pPr>
                            <w:r>
                              <w:t>W 2017 r. badane przedsiębiorstwa przyjęły do obsługi 9,6 mln spraw dotyczących wierzytelności o wartości łącznej 40</w:t>
                            </w:r>
                            <w:r w:rsidRPr="005620D4">
                              <w:t>,</w:t>
                            </w:r>
                            <w:r>
                              <w:t>2 mld zł. Odzyskano wierzytelności w kwocie 8,8 mld 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B8F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0.85pt;margin-top:20.65pt;width:143.8pt;height:101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" filled="f" stroked="f">
                <v:textbox>
                  <w:txbxContent>
                    <w:p w:rsidR="00681A16" w:rsidRPr="00074DD8" w:rsidRDefault="00681A16" w:rsidP="00074DD8">
                      <w:pPr>
                        <w:pStyle w:val="tekstzboku"/>
                      </w:pPr>
                      <w:r>
                        <w:t>W 2017 r. badane przedsiębiorstwa przyjęły do obsługi 9,6 mln spraw dotyczących wierzytelności o wartości łącznej 40</w:t>
                      </w:r>
                      <w:r w:rsidRPr="005620D4">
                        <w:t>,</w:t>
                      </w:r>
                      <w:r>
                        <w:t>2 mld zł. Odzyskano wierzytelności w kwocie 8,8 mld 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7782E9" wp14:editId="58E614A9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528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5338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6" w:rsidRPr="00B66B19" w:rsidRDefault="00136D4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1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1A16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681A1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128,5</w:t>
                            </w:r>
                          </w:p>
                          <w:p w:rsidR="00681A16" w:rsidRPr="00074DD8" w:rsidRDefault="00681A1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Dynamika wartości aktywów podmiotów windykacyjnych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82E9" id="_x0000_s1027" type="#_x0000_t202" style="position:absolute;margin-left:0;margin-top:6.55pt;width:2in;height:82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" fillcolor="#001d77" stroked="f">
                <v:textbox>
                  <w:txbxContent>
                    <w:p w:rsidR="00681A16" w:rsidRPr="00B66B19" w:rsidRDefault="00136D4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1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1A16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681A1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128,5</w:t>
                      </w:r>
                    </w:p>
                    <w:p w:rsidR="00681A16" w:rsidRPr="00074DD8" w:rsidRDefault="00681A1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Dynamika wartości aktywów podmiotów windykacyjnych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8A1">
        <w:t xml:space="preserve">W 2017 r. objęto badaniem 105 podmiotów zajmujących się </w:t>
      </w:r>
      <w:r w:rsidR="00561BF3">
        <w:t>windykacją</w:t>
      </w:r>
      <w:r w:rsidR="00AF64FB">
        <w:rPr>
          <w:rStyle w:val="Odwoanieprzypisudolnego"/>
        </w:rPr>
        <w:footnoteReference w:id="1"/>
      </w:r>
      <w:r w:rsidR="003D48A1">
        <w:t>.</w:t>
      </w:r>
      <w:r w:rsidR="009D012C">
        <w:t xml:space="preserve"> Nominalna wartość </w:t>
      </w:r>
      <w:r w:rsidR="00CD52E0">
        <w:t xml:space="preserve">ogółem </w:t>
      </w:r>
      <w:r w:rsidR="00256B8A">
        <w:t xml:space="preserve">wszystkich </w:t>
      </w:r>
      <w:r w:rsidR="00F27FEE">
        <w:t xml:space="preserve">wierzytelności </w:t>
      </w:r>
      <w:r w:rsidR="009D012C">
        <w:t xml:space="preserve">obsługiwanych przez </w:t>
      </w:r>
      <w:r w:rsidR="00F27FEE">
        <w:t xml:space="preserve">te </w:t>
      </w:r>
      <w:r w:rsidR="00561BF3">
        <w:t>podmioty</w:t>
      </w:r>
      <w:r w:rsidR="00CD52E0">
        <w:t>,</w:t>
      </w:r>
      <w:r w:rsidR="009D012C">
        <w:t xml:space="preserve"> </w:t>
      </w:r>
      <w:r w:rsidR="00561BF3">
        <w:t xml:space="preserve">według stanu na koniec </w:t>
      </w:r>
      <w:r w:rsidR="009D012C">
        <w:t>2017 r.</w:t>
      </w:r>
      <w:r w:rsidR="00CD52E0">
        <w:t>,</w:t>
      </w:r>
      <w:r w:rsidR="009D012C">
        <w:t xml:space="preserve"> wyniosła </w:t>
      </w:r>
      <w:r w:rsidR="003F3C28" w:rsidRPr="005620D4">
        <w:t>91</w:t>
      </w:r>
      <w:r w:rsidR="009D012C" w:rsidRPr="005620D4">
        <w:t>,</w:t>
      </w:r>
      <w:r w:rsidR="003F3C28" w:rsidRPr="005620D4">
        <w:t>6</w:t>
      </w:r>
      <w:r w:rsidR="009D012C">
        <w:t> mld zł</w:t>
      </w:r>
      <w:r w:rsidR="0075142F">
        <w:t>.</w:t>
      </w:r>
    </w:p>
    <w:p w:rsidR="006A780C" w:rsidRPr="00074DD8" w:rsidRDefault="006A780C" w:rsidP="00633014">
      <w:pPr>
        <w:pStyle w:val="LID"/>
      </w:pPr>
    </w:p>
    <w:p w:rsidR="00CD52E0" w:rsidRDefault="00CD52E0" w:rsidP="00074DD8">
      <w:pPr>
        <w:pStyle w:val="Nagwek1"/>
      </w:pPr>
    </w:p>
    <w:p w:rsidR="00C22105" w:rsidRPr="00074DD8" w:rsidRDefault="00D86F06" w:rsidP="00074DD8">
      <w:pPr>
        <w:pStyle w:val="Nagwek1"/>
      </w:pPr>
      <w:r>
        <w:t>Podstaw</w:t>
      </w:r>
      <w:r w:rsidR="00074DD8" w:rsidRPr="00074DD8">
        <w:t>o</w:t>
      </w:r>
      <w:r>
        <w:t>we</w:t>
      </w:r>
      <w:r w:rsidR="00074DD8" w:rsidRPr="00074DD8">
        <w:t xml:space="preserve"> i</w:t>
      </w:r>
      <w:r>
        <w:t xml:space="preserve">nformacje na temat przedsiębiorstw </w:t>
      </w:r>
      <w:r w:rsidR="0057195C">
        <w:t>windykacyjnych</w:t>
      </w:r>
    </w:p>
    <w:p w:rsidR="00820F09" w:rsidRPr="00C33831" w:rsidRDefault="00B21F88" w:rsidP="008666EB">
      <w:pPr>
        <w:spacing w:after="80"/>
        <w:rPr>
          <w:szCs w:val="19"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5B7FCE6" wp14:editId="7E6DC2B7">
                <wp:simplePos x="0" y="0"/>
                <wp:positionH relativeFrom="column">
                  <wp:posOffset>5223002</wp:posOffset>
                </wp:positionH>
                <wp:positionV relativeFrom="paragraph">
                  <wp:posOffset>706578</wp:posOffset>
                </wp:positionV>
                <wp:extent cx="1826260" cy="855345"/>
                <wp:effectExtent l="0" t="0" r="0" b="1905"/>
                <wp:wrapTight wrapText="bothSides">
                  <wp:wrapPolygon edited="0">
                    <wp:start x="676" y="0"/>
                    <wp:lineTo x="676" y="21167"/>
                    <wp:lineTo x="20729" y="21167"/>
                    <wp:lineTo x="20729" y="0"/>
                    <wp:lineTo x="676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2F" w:rsidRPr="00074DD8" w:rsidRDefault="0075142F" w:rsidP="0075142F">
                            <w:pPr>
                              <w:pStyle w:val="tekstzboku"/>
                            </w:pPr>
                            <w:r>
                              <w:t>Przedsiębiorstwa windykacyjne posiadały łącznie 182 oddziały i autoryzowane przedstawicielstwa.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FCE6" id="_x0000_s1028" type="#_x0000_t202" style="position:absolute;margin-left:411.25pt;margin-top:55.65pt;width:143.8pt;height:67.3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" filled="f" stroked="f">
                <v:textbox>
                  <w:txbxContent>
                    <w:p w:rsidR="0075142F" w:rsidRPr="00074DD8" w:rsidRDefault="0075142F" w:rsidP="0075142F">
                      <w:pPr>
                        <w:pStyle w:val="tekstzboku"/>
                      </w:pPr>
                      <w:r>
                        <w:t>Przedsiębiorstwa windykacyjne posiadały łącznie 182 oddziały i autoryzowane przedstawicielstwa.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6F2" w:rsidRPr="00C33831">
        <w:rPr>
          <w:szCs w:val="19"/>
          <w:shd w:val="clear" w:color="auto" w:fill="FFFFFF"/>
        </w:rPr>
        <w:t>W</w:t>
      </w:r>
      <w:r w:rsidR="00FE4F9E" w:rsidRPr="00C33831">
        <w:rPr>
          <w:szCs w:val="19"/>
          <w:shd w:val="clear" w:color="auto" w:fill="FFFFFF"/>
        </w:rPr>
        <w:t xml:space="preserve"> grupie </w:t>
      </w:r>
      <w:r w:rsidR="004766C6" w:rsidRPr="00C33831">
        <w:rPr>
          <w:szCs w:val="19"/>
          <w:shd w:val="clear" w:color="auto" w:fill="FFFFFF"/>
        </w:rPr>
        <w:t xml:space="preserve">105 </w:t>
      </w:r>
      <w:r w:rsidR="0057195C" w:rsidRPr="00C33831">
        <w:rPr>
          <w:szCs w:val="19"/>
          <w:shd w:val="clear" w:color="auto" w:fill="FFFFFF"/>
        </w:rPr>
        <w:t xml:space="preserve">zbadanych </w:t>
      </w:r>
      <w:r w:rsidR="000416F2" w:rsidRPr="00C33831">
        <w:rPr>
          <w:szCs w:val="19"/>
          <w:shd w:val="clear" w:color="auto" w:fill="FFFFFF"/>
        </w:rPr>
        <w:t>p</w:t>
      </w:r>
      <w:r w:rsidR="00FE4F9E" w:rsidRPr="00C33831">
        <w:rPr>
          <w:szCs w:val="19"/>
          <w:shd w:val="clear" w:color="auto" w:fill="FFFFFF"/>
        </w:rPr>
        <w:t xml:space="preserve">rzedsiębiorstw </w:t>
      </w:r>
      <w:r w:rsidR="00F17384" w:rsidRPr="00C33831">
        <w:rPr>
          <w:szCs w:val="19"/>
          <w:shd w:val="clear" w:color="auto" w:fill="FFFFFF"/>
        </w:rPr>
        <w:t>windykacyjnych</w:t>
      </w:r>
      <w:r w:rsidR="00FE4F9E" w:rsidRPr="00C33831">
        <w:rPr>
          <w:szCs w:val="19"/>
          <w:shd w:val="clear" w:color="auto" w:fill="FFFFFF"/>
        </w:rPr>
        <w:t xml:space="preserve"> </w:t>
      </w:r>
      <w:r w:rsidR="00DF4320" w:rsidRPr="00C33831">
        <w:rPr>
          <w:szCs w:val="19"/>
          <w:shd w:val="clear" w:color="auto" w:fill="FFFFFF"/>
        </w:rPr>
        <w:t xml:space="preserve">było </w:t>
      </w:r>
      <w:r w:rsidR="00FE4F9E" w:rsidRPr="00C33831">
        <w:rPr>
          <w:szCs w:val="19"/>
          <w:shd w:val="clear" w:color="auto" w:fill="FFFFFF"/>
        </w:rPr>
        <w:t xml:space="preserve">26 </w:t>
      </w:r>
      <w:r w:rsidR="0057195C" w:rsidRPr="00C33831">
        <w:rPr>
          <w:szCs w:val="19"/>
          <w:shd w:val="clear" w:color="auto" w:fill="FFFFFF"/>
        </w:rPr>
        <w:t>spół</w:t>
      </w:r>
      <w:r w:rsidR="00DF4320" w:rsidRPr="00C33831">
        <w:rPr>
          <w:szCs w:val="19"/>
          <w:shd w:val="clear" w:color="auto" w:fill="FFFFFF"/>
        </w:rPr>
        <w:t>e</w:t>
      </w:r>
      <w:r w:rsidR="0057195C" w:rsidRPr="00C33831">
        <w:rPr>
          <w:szCs w:val="19"/>
          <w:shd w:val="clear" w:color="auto" w:fill="FFFFFF"/>
        </w:rPr>
        <w:t>k akcyjn</w:t>
      </w:r>
      <w:r w:rsidR="00DF4320" w:rsidRPr="00C33831">
        <w:rPr>
          <w:szCs w:val="19"/>
          <w:shd w:val="clear" w:color="auto" w:fill="FFFFFF"/>
        </w:rPr>
        <w:t>ych</w:t>
      </w:r>
      <w:r w:rsidR="00FE4F9E" w:rsidRPr="00C33831">
        <w:rPr>
          <w:szCs w:val="19"/>
          <w:shd w:val="clear" w:color="auto" w:fill="FFFFFF"/>
        </w:rPr>
        <w:t>,</w:t>
      </w:r>
      <w:r w:rsidR="000416F2" w:rsidRPr="00C33831">
        <w:rPr>
          <w:szCs w:val="19"/>
          <w:shd w:val="clear" w:color="auto" w:fill="FFFFFF"/>
        </w:rPr>
        <w:t xml:space="preserve"> </w:t>
      </w:r>
      <w:r w:rsidR="00FE4F9E" w:rsidRPr="00C33831">
        <w:rPr>
          <w:szCs w:val="19"/>
          <w:shd w:val="clear" w:color="auto" w:fill="FFFFFF"/>
        </w:rPr>
        <w:t xml:space="preserve">52 spółki </w:t>
      </w:r>
      <w:r w:rsidR="000416F2" w:rsidRPr="00C33831">
        <w:rPr>
          <w:szCs w:val="19"/>
          <w:shd w:val="clear" w:color="auto" w:fill="FFFFFF"/>
        </w:rPr>
        <w:t>z o</w:t>
      </w:r>
      <w:r w:rsidR="00F17384" w:rsidRPr="00C33831">
        <w:rPr>
          <w:szCs w:val="19"/>
          <w:shd w:val="clear" w:color="auto" w:fill="FFFFFF"/>
        </w:rPr>
        <w:t xml:space="preserve">graniczoną </w:t>
      </w:r>
      <w:r w:rsidR="000416F2" w:rsidRPr="00C33831">
        <w:rPr>
          <w:szCs w:val="19"/>
          <w:shd w:val="clear" w:color="auto" w:fill="FFFFFF"/>
        </w:rPr>
        <w:t>o</w:t>
      </w:r>
      <w:r w:rsidR="00F17384" w:rsidRPr="00C33831">
        <w:rPr>
          <w:szCs w:val="19"/>
          <w:shd w:val="clear" w:color="auto" w:fill="FFFFFF"/>
        </w:rPr>
        <w:t>dpowiedzialnością</w:t>
      </w:r>
      <w:r w:rsidR="005E28FB">
        <w:rPr>
          <w:szCs w:val="19"/>
          <w:shd w:val="clear" w:color="auto" w:fill="FFFFFF"/>
        </w:rPr>
        <w:t xml:space="preserve"> oraz</w:t>
      </w:r>
      <w:r w:rsidR="00F17384" w:rsidRPr="00C33831">
        <w:rPr>
          <w:szCs w:val="19"/>
          <w:shd w:val="clear" w:color="auto" w:fill="FFFFFF"/>
        </w:rPr>
        <w:t xml:space="preserve"> </w:t>
      </w:r>
      <w:r w:rsidR="00525069">
        <w:rPr>
          <w:szCs w:val="19"/>
          <w:shd w:val="clear" w:color="auto" w:fill="FFFFFF"/>
        </w:rPr>
        <w:t>27 podmiotów o innych formach prawnych (</w:t>
      </w:r>
      <w:r w:rsidR="009F100B" w:rsidRPr="00C33831">
        <w:rPr>
          <w:szCs w:val="19"/>
          <w:shd w:val="clear" w:color="auto" w:fill="FFFFFF"/>
        </w:rPr>
        <w:t>1</w:t>
      </w:r>
      <w:r w:rsidR="00C25FB4" w:rsidRPr="00C33831">
        <w:rPr>
          <w:szCs w:val="19"/>
          <w:shd w:val="clear" w:color="auto" w:fill="FFFFFF"/>
        </w:rPr>
        <w:t>2</w:t>
      </w:r>
      <w:r w:rsidR="009F100B" w:rsidRPr="00C33831">
        <w:rPr>
          <w:szCs w:val="19"/>
          <w:shd w:val="clear" w:color="auto" w:fill="FFFFFF"/>
        </w:rPr>
        <w:t xml:space="preserve"> </w:t>
      </w:r>
      <w:r w:rsidR="00AE1351" w:rsidRPr="00C33831">
        <w:rPr>
          <w:szCs w:val="19"/>
          <w:shd w:val="clear" w:color="auto" w:fill="FFFFFF"/>
        </w:rPr>
        <w:t>spółek</w:t>
      </w:r>
      <w:r w:rsidR="009F100B" w:rsidRPr="00C33831">
        <w:rPr>
          <w:szCs w:val="19"/>
          <w:shd w:val="clear" w:color="auto" w:fill="FFFFFF"/>
        </w:rPr>
        <w:t xml:space="preserve"> </w:t>
      </w:r>
      <w:r w:rsidR="005E28FB">
        <w:rPr>
          <w:szCs w:val="19"/>
          <w:shd w:val="clear" w:color="auto" w:fill="FFFFFF"/>
        </w:rPr>
        <w:t>i</w:t>
      </w:r>
      <w:r w:rsidR="00FE4F9E" w:rsidRPr="00C33831">
        <w:rPr>
          <w:szCs w:val="19"/>
          <w:shd w:val="clear" w:color="auto" w:fill="FFFFFF"/>
        </w:rPr>
        <w:t xml:space="preserve"> 15 przedsiębiorstw </w:t>
      </w:r>
      <w:r w:rsidR="009F100B" w:rsidRPr="00C33831">
        <w:rPr>
          <w:szCs w:val="19"/>
          <w:shd w:val="clear" w:color="auto" w:fill="FFFFFF"/>
        </w:rPr>
        <w:t xml:space="preserve">prowadzonych przez </w:t>
      </w:r>
      <w:r w:rsidR="000416F2" w:rsidRPr="00C33831">
        <w:rPr>
          <w:szCs w:val="19"/>
          <w:shd w:val="clear" w:color="auto" w:fill="FFFFFF"/>
        </w:rPr>
        <w:t>os</w:t>
      </w:r>
      <w:r w:rsidR="009F100B" w:rsidRPr="00C33831">
        <w:rPr>
          <w:szCs w:val="19"/>
          <w:shd w:val="clear" w:color="auto" w:fill="FFFFFF"/>
        </w:rPr>
        <w:t>oby</w:t>
      </w:r>
      <w:r w:rsidR="000416F2" w:rsidRPr="00C33831">
        <w:rPr>
          <w:szCs w:val="19"/>
          <w:shd w:val="clear" w:color="auto" w:fill="FFFFFF"/>
        </w:rPr>
        <w:t xml:space="preserve"> fizyczn</w:t>
      </w:r>
      <w:r w:rsidR="009F100B" w:rsidRPr="00C33831">
        <w:rPr>
          <w:szCs w:val="19"/>
          <w:shd w:val="clear" w:color="auto" w:fill="FFFFFF"/>
        </w:rPr>
        <w:t>e</w:t>
      </w:r>
      <w:r w:rsidR="00525069">
        <w:rPr>
          <w:szCs w:val="19"/>
          <w:shd w:val="clear" w:color="auto" w:fill="FFFFFF"/>
        </w:rPr>
        <w:t>)</w:t>
      </w:r>
      <w:r w:rsidR="000416F2" w:rsidRPr="00C33831">
        <w:rPr>
          <w:szCs w:val="19"/>
          <w:shd w:val="clear" w:color="auto" w:fill="FFFFFF"/>
        </w:rPr>
        <w:t xml:space="preserve">. </w:t>
      </w:r>
      <w:r w:rsidR="00DF5873" w:rsidRPr="00C33831">
        <w:rPr>
          <w:szCs w:val="19"/>
          <w:shd w:val="clear" w:color="auto" w:fill="FFFFFF"/>
        </w:rPr>
        <w:t>W</w:t>
      </w:r>
      <w:r w:rsidR="004766C6" w:rsidRPr="00C33831">
        <w:rPr>
          <w:szCs w:val="19"/>
          <w:shd w:val="clear" w:color="auto" w:fill="FFFFFF"/>
        </w:rPr>
        <w:t xml:space="preserve">g stanu na koniec </w:t>
      </w:r>
      <w:r w:rsidR="00B749F4" w:rsidRPr="00C33831">
        <w:rPr>
          <w:szCs w:val="19"/>
          <w:shd w:val="clear" w:color="auto" w:fill="FFFFFF"/>
        </w:rPr>
        <w:t xml:space="preserve">2017 r. </w:t>
      </w:r>
      <w:r w:rsidR="00B14D4C">
        <w:rPr>
          <w:szCs w:val="19"/>
          <w:shd w:val="clear" w:color="auto" w:fill="FFFFFF"/>
        </w:rPr>
        <w:t xml:space="preserve">w badanych podmiotach działalnością w zakresie windykacji zajmowało się 7 497 osób </w:t>
      </w:r>
      <w:r w:rsidR="00F27FEE">
        <w:rPr>
          <w:szCs w:val="19"/>
          <w:shd w:val="clear" w:color="auto" w:fill="FFFFFF"/>
        </w:rPr>
        <w:t>zatrudni</w:t>
      </w:r>
      <w:r w:rsidR="00B14D4C">
        <w:rPr>
          <w:szCs w:val="19"/>
          <w:shd w:val="clear" w:color="auto" w:fill="FFFFFF"/>
        </w:rPr>
        <w:t>onych</w:t>
      </w:r>
      <w:r w:rsidR="00F27FEE">
        <w:rPr>
          <w:szCs w:val="19"/>
          <w:shd w:val="clear" w:color="auto" w:fill="FFFFFF"/>
        </w:rPr>
        <w:t xml:space="preserve"> </w:t>
      </w:r>
      <w:r w:rsidR="00B14D4C">
        <w:rPr>
          <w:szCs w:val="19"/>
          <w:shd w:val="clear" w:color="auto" w:fill="FFFFFF"/>
        </w:rPr>
        <w:t xml:space="preserve">głównie </w:t>
      </w:r>
      <w:r w:rsidR="00F27FEE">
        <w:rPr>
          <w:szCs w:val="19"/>
          <w:shd w:val="clear" w:color="auto" w:fill="FFFFFF"/>
        </w:rPr>
        <w:t>na podstawie um</w:t>
      </w:r>
      <w:r w:rsidR="00B14D4C">
        <w:rPr>
          <w:szCs w:val="19"/>
          <w:shd w:val="clear" w:color="auto" w:fill="FFFFFF"/>
        </w:rPr>
        <w:t>ów o pracę</w:t>
      </w:r>
      <w:r w:rsidR="000416F2" w:rsidRPr="00C33831">
        <w:rPr>
          <w:szCs w:val="19"/>
          <w:shd w:val="clear" w:color="auto" w:fill="FFFFFF"/>
        </w:rPr>
        <w:t>.</w:t>
      </w:r>
    </w:p>
    <w:p w:rsidR="006D49FD" w:rsidRPr="00C33831" w:rsidRDefault="006D49FD" w:rsidP="008666EB">
      <w:pPr>
        <w:rPr>
          <w:spacing w:val="-2"/>
          <w:szCs w:val="19"/>
        </w:rPr>
      </w:pPr>
      <w:r w:rsidRPr="00C33831">
        <w:rPr>
          <w:spacing w:val="-2"/>
          <w:szCs w:val="19"/>
        </w:rPr>
        <w:t xml:space="preserve">Wśród </w:t>
      </w:r>
      <w:r w:rsidR="00E873AD" w:rsidRPr="00C33831">
        <w:rPr>
          <w:spacing w:val="-2"/>
          <w:szCs w:val="19"/>
        </w:rPr>
        <w:t>z</w:t>
      </w:r>
      <w:r w:rsidRPr="00C33831">
        <w:rPr>
          <w:spacing w:val="-2"/>
          <w:szCs w:val="19"/>
        </w:rPr>
        <w:t xml:space="preserve">badanych podmiotów, 56 jednostek </w:t>
      </w:r>
      <w:r w:rsidR="002F03D9" w:rsidRPr="00C33831">
        <w:rPr>
          <w:spacing w:val="-2"/>
          <w:szCs w:val="19"/>
        </w:rPr>
        <w:t>wskazało</w:t>
      </w:r>
      <w:r w:rsidRPr="00C33831">
        <w:rPr>
          <w:spacing w:val="-2"/>
          <w:szCs w:val="19"/>
        </w:rPr>
        <w:t xml:space="preserve"> windykację </w:t>
      </w:r>
      <w:r w:rsidR="002F03D9" w:rsidRPr="00C33831">
        <w:rPr>
          <w:spacing w:val="-2"/>
          <w:szCs w:val="19"/>
        </w:rPr>
        <w:t>jako</w:t>
      </w:r>
      <w:r w:rsidRPr="00C33831">
        <w:rPr>
          <w:spacing w:val="-2"/>
          <w:szCs w:val="19"/>
        </w:rPr>
        <w:t xml:space="preserve"> jedyny zakres swojej działalności, </w:t>
      </w:r>
      <w:r w:rsidR="00EA445A" w:rsidRPr="00C33831">
        <w:rPr>
          <w:spacing w:val="-2"/>
          <w:szCs w:val="19"/>
        </w:rPr>
        <w:t xml:space="preserve">dla </w:t>
      </w:r>
      <w:r w:rsidRPr="00C33831">
        <w:rPr>
          <w:spacing w:val="-2"/>
          <w:szCs w:val="19"/>
        </w:rPr>
        <w:t>3</w:t>
      </w:r>
      <w:r w:rsidR="00713155">
        <w:rPr>
          <w:spacing w:val="-2"/>
          <w:szCs w:val="19"/>
        </w:rPr>
        <w:t>3</w:t>
      </w:r>
      <w:r w:rsidR="00EA445A" w:rsidRPr="00C33831">
        <w:rPr>
          <w:spacing w:val="-2"/>
          <w:szCs w:val="19"/>
        </w:rPr>
        <w:t xml:space="preserve"> </w:t>
      </w:r>
      <w:r w:rsidRPr="00C33831">
        <w:rPr>
          <w:spacing w:val="-2"/>
          <w:szCs w:val="19"/>
        </w:rPr>
        <w:t>podmiot</w:t>
      </w:r>
      <w:r w:rsidR="00EA445A" w:rsidRPr="00C33831">
        <w:rPr>
          <w:spacing w:val="-2"/>
          <w:szCs w:val="19"/>
        </w:rPr>
        <w:t>ów</w:t>
      </w:r>
      <w:r w:rsidRPr="00C33831">
        <w:rPr>
          <w:spacing w:val="-2"/>
          <w:szCs w:val="19"/>
        </w:rPr>
        <w:t xml:space="preserve"> </w:t>
      </w:r>
      <w:r w:rsidR="00EA445A" w:rsidRPr="00C33831">
        <w:rPr>
          <w:spacing w:val="-2"/>
          <w:szCs w:val="19"/>
        </w:rPr>
        <w:t xml:space="preserve">był to </w:t>
      </w:r>
      <w:r w:rsidRPr="00C33831">
        <w:rPr>
          <w:spacing w:val="-2"/>
          <w:szCs w:val="19"/>
        </w:rPr>
        <w:t xml:space="preserve">zakres dominujący, </w:t>
      </w:r>
      <w:r w:rsidR="00BD7F31" w:rsidRPr="00C33831">
        <w:rPr>
          <w:spacing w:val="-2"/>
          <w:szCs w:val="19"/>
        </w:rPr>
        <w:t>a dla</w:t>
      </w:r>
      <w:r w:rsidRPr="00C33831">
        <w:rPr>
          <w:spacing w:val="-2"/>
          <w:szCs w:val="19"/>
        </w:rPr>
        <w:t xml:space="preserve"> 1</w:t>
      </w:r>
      <w:r w:rsidR="00961ED3">
        <w:rPr>
          <w:spacing w:val="-2"/>
          <w:szCs w:val="19"/>
        </w:rPr>
        <w:t>6</w:t>
      </w:r>
      <w:r w:rsidRPr="00C33831">
        <w:rPr>
          <w:spacing w:val="-2"/>
          <w:szCs w:val="19"/>
        </w:rPr>
        <w:t xml:space="preserve"> </w:t>
      </w:r>
      <w:r w:rsidR="00874518" w:rsidRPr="00C33831">
        <w:rPr>
          <w:spacing w:val="-2"/>
          <w:szCs w:val="19"/>
        </w:rPr>
        <w:t>firm</w:t>
      </w:r>
      <w:r w:rsidRPr="00C33831">
        <w:rPr>
          <w:spacing w:val="-2"/>
          <w:szCs w:val="19"/>
        </w:rPr>
        <w:t xml:space="preserve"> </w:t>
      </w:r>
      <w:r w:rsidR="00BD7F31" w:rsidRPr="00C33831">
        <w:rPr>
          <w:spacing w:val="-2"/>
          <w:szCs w:val="19"/>
        </w:rPr>
        <w:t>– zakres</w:t>
      </w:r>
      <w:r w:rsidR="00EA445A" w:rsidRPr="00C33831">
        <w:rPr>
          <w:spacing w:val="-2"/>
          <w:szCs w:val="19"/>
        </w:rPr>
        <w:t xml:space="preserve"> </w:t>
      </w:r>
      <w:r w:rsidRPr="00C33831">
        <w:rPr>
          <w:spacing w:val="-2"/>
          <w:szCs w:val="19"/>
        </w:rPr>
        <w:t>uboczny.</w:t>
      </w:r>
      <w:r w:rsidR="002F3A94" w:rsidRPr="00C33831">
        <w:rPr>
          <w:spacing w:val="-2"/>
          <w:szCs w:val="19"/>
        </w:rPr>
        <w:t xml:space="preserve"> Wśród </w:t>
      </w:r>
      <w:r w:rsidR="00874518" w:rsidRPr="00C33831">
        <w:rPr>
          <w:spacing w:val="-2"/>
          <w:szCs w:val="19"/>
        </w:rPr>
        <w:t>przedsiębiorstw</w:t>
      </w:r>
      <w:r w:rsidR="002F3A94" w:rsidRPr="00C33831">
        <w:rPr>
          <w:spacing w:val="-2"/>
          <w:szCs w:val="19"/>
        </w:rPr>
        <w:t xml:space="preserve"> deklarujących w 2017 r.</w:t>
      </w:r>
      <w:r w:rsidR="00874518" w:rsidRPr="00C33831">
        <w:rPr>
          <w:spacing w:val="-2"/>
          <w:szCs w:val="19"/>
        </w:rPr>
        <w:t xml:space="preserve"> </w:t>
      </w:r>
      <w:r w:rsidR="00961ED3">
        <w:rPr>
          <w:spacing w:val="-2"/>
          <w:szCs w:val="19"/>
        </w:rPr>
        <w:t>jedyny</w:t>
      </w:r>
      <w:r w:rsidR="002F3A94" w:rsidRPr="00C33831">
        <w:rPr>
          <w:spacing w:val="-2"/>
          <w:szCs w:val="19"/>
        </w:rPr>
        <w:t xml:space="preserve"> zakres działalności </w:t>
      </w:r>
      <w:r w:rsidR="00961ED3">
        <w:rPr>
          <w:spacing w:val="-2"/>
          <w:szCs w:val="19"/>
        </w:rPr>
        <w:t xml:space="preserve">windykacyjnej, </w:t>
      </w:r>
      <w:r w:rsidR="002F3A94" w:rsidRPr="00C33831">
        <w:rPr>
          <w:spacing w:val="-2"/>
          <w:szCs w:val="19"/>
        </w:rPr>
        <w:t>było</w:t>
      </w:r>
      <w:r w:rsidR="00EB7A8D" w:rsidRPr="00C33831">
        <w:rPr>
          <w:spacing w:val="-2"/>
          <w:szCs w:val="19"/>
        </w:rPr>
        <w:t xml:space="preserve"> </w:t>
      </w:r>
      <w:r w:rsidR="00FE1B44">
        <w:rPr>
          <w:spacing w:val="-2"/>
          <w:szCs w:val="19"/>
        </w:rPr>
        <w:t>13 spółek akcyjnych i 31</w:t>
      </w:r>
      <w:r w:rsidR="00EB7A8D" w:rsidRPr="00C33831">
        <w:rPr>
          <w:spacing w:val="-2"/>
          <w:szCs w:val="19"/>
        </w:rPr>
        <w:t xml:space="preserve"> spółek </w:t>
      </w:r>
      <w:r w:rsidR="00FE1B44">
        <w:rPr>
          <w:spacing w:val="-2"/>
          <w:szCs w:val="19"/>
        </w:rPr>
        <w:t>z ograniczoną odpowiedzialnością oraz 12 podmiotów o innych formach prawnych</w:t>
      </w:r>
      <w:r w:rsidR="00525069">
        <w:rPr>
          <w:spacing w:val="-2"/>
          <w:szCs w:val="19"/>
        </w:rPr>
        <w:t xml:space="preserve"> (5 spółek </w:t>
      </w:r>
      <w:r w:rsidR="00657181">
        <w:rPr>
          <w:spacing w:val="-2"/>
          <w:szCs w:val="19"/>
        </w:rPr>
        <w:t>i</w:t>
      </w:r>
      <w:r w:rsidR="00525069">
        <w:rPr>
          <w:spacing w:val="-2"/>
          <w:szCs w:val="19"/>
        </w:rPr>
        <w:t xml:space="preserve"> 7 przedsiębiorstw prowadzonych przez osoby fizyczne)</w:t>
      </w:r>
      <w:r w:rsidR="00EB7A8D" w:rsidRPr="00C33831">
        <w:rPr>
          <w:spacing w:val="-2"/>
          <w:szCs w:val="19"/>
        </w:rPr>
        <w:t>. Działalność dominującą określił</w:t>
      </w:r>
      <w:r w:rsidR="00FE1B44">
        <w:rPr>
          <w:spacing w:val="-2"/>
          <w:szCs w:val="19"/>
        </w:rPr>
        <w:t>o</w:t>
      </w:r>
      <w:r w:rsidR="00EB7A8D" w:rsidRPr="00C33831">
        <w:rPr>
          <w:spacing w:val="-2"/>
          <w:szCs w:val="19"/>
        </w:rPr>
        <w:t xml:space="preserve"> </w:t>
      </w:r>
      <w:r w:rsidR="00FE1B44">
        <w:rPr>
          <w:spacing w:val="-2"/>
          <w:szCs w:val="19"/>
        </w:rPr>
        <w:t>10 spółek akcyjnych, 1</w:t>
      </w:r>
      <w:r w:rsidR="00EB7A8D" w:rsidRPr="00C33831">
        <w:rPr>
          <w:spacing w:val="-2"/>
          <w:szCs w:val="19"/>
        </w:rPr>
        <w:t xml:space="preserve">3 </w:t>
      </w:r>
      <w:r w:rsidR="00FE1B44">
        <w:rPr>
          <w:spacing w:val="-2"/>
          <w:szCs w:val="19"/>
        </w:rPr>
        <w:t>spółek z ograniczoną odpowiedzialnością oraz</w:t>
      </w:r>
      <w:r w:rsidR="00EB7A8D" w:rsidRPr="00C33831">
        <w:rPr>
          <w:spacing w:val="-2"/>
          <w:szCs w:val="19"/>
        </w:rPr>
        <w:t xml:space="preserve"> 10 podmiotów o innych formach prawnych</w:t>
      </w:r>
      <w:r w:rsidR="00525069">
        <w:rPr>
          <w:spacing w:val="-2"/>
          <w:szCs w:val="19"/>
        </w:rPr>
        <w:t xml:space="preserve"> (4 spółki </w:t>
      </w:r>
      <w:r w:rsidR="005E28FB">
        <w:rPr>
          <w:spacing w:val="-2"/>
          <w:szCs w:val="19"/>
        </w:rPr>
        <w:t>i</w:t>
      </w:r>
      <w:r w:rsidR="00525069">
        <w:rPr>
          <w:spacing w:val="-2"/>
          <w:szCs w:val="19"/>
        </w:rPr>
        <w:t xml:space="preserve"> 6 przedsiębiorstw prowadzonych przez osoby fizyczne)</w:t>
      </w:r>
      <w:r w:rsidR="00EB7A8D" w:rsidRPr="00C33831">
        <w:rPr>
          <w:spacing w:val="-2"/>
          <w:szCs w:val="19"/>
        </w:rPr>
        <w:t xml:space="preserve">. </w:t>
      </w:r>
      <w:r w:rsidR="00FD7CDB">
        <w:rPr>
          <w:spacing w:val="-2"/>
          <w:szCs w:val="19"/>
        </w:rPr>
        <w:t>Uboczny zakres działalności windykacyjnej deklarowały 3 spółki akcyjne, 8 spółek z ograniczoną odpowiedzialnością oraz 5 podmiotów o innych formach prawnych (2 spółki</w:t>
      </w:r>
      <w:r w:rsidR="005E28FB">
        <w:rPr>
          <w:spacing w:val="-2"/>
          <w:szCs w:val="19"/>
        </w:rPr>
        <w:t xml:space="preserve"> i</w:t>
      </w:r>
      <w:r w:rsidR="00FD7CDB">
        <w:rPr>
          <w:spacing w:val="-2"/>
          <w:szCs w:val="19"/>
        </w:rPr>
        <w:t xml:space="preserve"> 2 przedsiębiorstwa prowadzone przez osoby fizyczne oraz 1 podmiot o innej formie prawnej).</w:t>
      </w:r>
    </w:p>
    <w:p w:rsidR="001E5667" w:rsidRDefault="00BD7F31" w:rsidP="008666EB">
      <w:pPr>
        <w:rPr>
          <w:spacing w:val="-2"/>
          <w:szCs w:val="19"/>
        </w:rPr>
      </w:pPr>
      <w:r w:rsidRPr="00C33831">
        <w:rPr>
          <w:spacing w:val="-2"/>
          <w:szCs w:val="19"/>
        </w:rPr>
        <w:t>D</w:t>
      </w:r>
      <w:r w:rsidR="006D49FD" w:rsidRPr="00C33831">
        <w:rPr>
          <w:spacing w:val="-2"/>
          <w:szCs w:val="19"/>
        </w:rPr>
        <w:t>o grup kapitałowych</w:t>
      </w:r>
      <w:r w:rsidRPr="00C33831">
        <w:rPr>
          <w:spacing w:val="-2"/>
          <w:szCs w:val="19"/>
        </w:rPr>
        <w:t xml:space="preserve"> należało 20 przedsiębiorstw</w:t>
      </w:r>
      <w:r w:rsidR="006D49FD" w:rsidRPr="00C33831">
        <w:rPr>
          <w:spacing w:val="-2"/>
          <w:szCs w:val="19"/>
        </w:rPr>
        <w:t xml:space="preserve">, </w:t>
      </w:r>
      <w:r w:rsidR="0075142F">
        <w:rPr>
          <w:spacing w:val="-2"/>
          <w:szCs w:val="19"/>
        </w:rPr>
        <w:t xml:space="preserve">w tym </w:t>
      </w:r>
      <w:r w:rsidR="006D49FD" w:rsidRPr="00C33831">
        <w:rPr>
          <w:spacing w:val="-2"/>
          <w:szCs w:val="19"/>
        </w:rPr>
        <w:t xml:space="preserve">jednostek dominujących było </w:t>
      </w:r>
      <w:r w:rsidR="00872D34">
        <w:rPr>
          <w:spacing w:val="-2"/>
          <w:szCs w:val="19"/>
        </w:rPr>
        <w:t>9</w:t>
      </w:r>
      <w:r w:rsidR="006D49FD" w:rsidRPr="00C33831">
        <w:rPr>
          <w:spacing w:val="-2"/>
          <w:szCs w:val="19"/>
        </w:rPr>
        <w:t xml:space="preserve">, jednostek zależnych – </w:t>
      </w:r>
      <w:r w:rsidR="00872D34">
        <w:rPr>
          <w:spacing w:val="-2"/>
          <w:szCs w:val="19"/>
        </w:rPr>
        <w:t>7</w:t>
      </w:r>
      <w:r w:rsidR="006D49FD" w:rsidRPr="00C33831">
        <w:rPr>
          <w:spacing w:val="-2"/>
          <w:szCs w:val="19"/>
        </w:rPr>
        <w:t xml:space="preserve">, a jednostek jednocześnie zależnych i dominujących – </w:t>
      </w:r>
      <w:r w:rsidR="00872D34">
        <w:rPr>
          <w:spacing w:val="-2"/>
          <w:szCs w:val="19"/>
        </w:rPr>
        <w:t>4</w:t>
      </w:r>
      <w:r w:rsidR="006D49FD" w:rsidRPr="00C33831">
        <w:rPr>
          <w:spacing w:val="-2"/>
          <w:szCs w:val="19"/>
        </w:rPr>
        <w:t xml:space="preserve">. </w:t>
      </w:r>
      <w:r w:rsidR="003C4FF8">
        <w:rPr>
          <w:spacing w:val="-2"/>
          <w:szCs w:val="19"/>
        </w:rPr>
        <w:t xml:space="preserve">Według stanu na koniec 2017 r. </w:t>
      </w:r>
      <w:r w:rsidR="005858C8">
        <w:rPr>
          <w:spacing w:val="-2"/>
          <w:szCs w:val="19"/>
        </w:rPr>
        <w:t>przeważającymi</w:t>
      </w:r>
      <w:r w:rsidR="0049421E">
        <w:rPr>
          <w:spacing w:val="-2"/>
          <w:szCs w:val="19"/>
        </w:rPr>
        <w:t xml:space="preserve"> udziałowcami w kapitale podstawowym</w:t>
      </w:r>
      <w:r w:rsidR="001E5667">
        <w:rPr>
          <w:spacing w:val="-2"/>
          <w:szCs w:val="19"/>
        </w:rPr>
        <w:t xml:space="preserve"> </w:t>
      </w:r>
      <w:r w:rsidR="0049421E">
        <w:rPr>
          <w:spacing w:val="-2"/>
          <w:szCs w:val="19"/>
        </w:rPr>
        <w:t>105</w:t>
      </w:r>
      <w:r w:rsidR="005858C8">
        <w:rPr>
          <w:spacing w:val="-2"/>
          <w:szCs w:val="19"/>
        </w:rPr>
        <w:t> </w:t>
      </w:r>
      <w:r w:rsidR="001E5667">
        <w:rPr>
          <w:spacing w:val="-2"/>
          <w:szCs w:val="19"/>
        </w:rPr>
        <w:t xml:space="preserve">badanych przedsiębiorstw </w:t>
      </w:r>
      <w:r w:rsidR="0049421E">
        <w:rPr>
          <w:spacing w:val="-2"/>
          <w:szCs w:val="19"/>
        </w:rPr>
        <w:t xml:space="preserve">prowadzących działalność windykacyjną były osoby fizyczne </w:t>
      </w:r>
      <w:r w:rsidR="003C4FF8">
        <w:rPr>
          <w:spacing w:val="-2"/>
          <w:szCs w:val="19"/>
        </w:rPr>
        <w:t xml:space="preserve">– </w:t>
      </w:r>
      <w:r w:rsidR="0049421E">
        <w:rPr>
          <w:spacing w:val="-2"/>
          <w:szCs w:val="19"/>
        </w:rPr>
        <w:t>dla 65</w:t>
      </w:r>
      <w:r w:rsidR="005858C8">
        <w:rPr>
          <w:spacing w:val="-2"/>
          <w:szCs w:val="19"/>
        </w:rPr>
        <w:t xml:space="preserve"> </w:t>
      </w:r>
      <w:r w:rsidR="0049421E">
        <w:rPr>
          <w:spacing w:val="-2"/>
          <w:szCs w:val="19"/>
        </w:rPr>
        <w:t>podmiotów oraz przedsiębiorstwa prywatne (bez instytucji finansowych) – dla 32 podmiotów. W podziale na kapitał krajowy i zagraniczny</w:t>
      </w:r>
      <w:r w:rsidR="007157C9">
        <w:rPr>
          <w:spacing w:val="-2"/>
          <w:szCs w:val="19"/>
        </w:rPr>
        <w:t>:</w:t>
      </w:r>
      <w:r w:rsidR="0049421E">
        <w:rPr>
          <w:spacing w:val="-2"/>
          <w:szCs w:val="19"/>
        </w:rPr>
        <w:t xml:space="preserve"> dla 88 podmiotów windykacyjnych przeważającym</w:t>
      </w:r>
      <w:r w:rsidR="005858C8">
        <w:rPr>
          <w:spacing w:val="-2"/>
          <w:szCs w:val="19"/>
        </w:rPr>
        <w:t>i</w:t>
      </w:r>
      <w:r w:rsidR="0049421E">
        <w:rPr>
          <w:spacing w:val="-2"/>
          <w:szCs w:val="19"/>
        </w:rPr>
        <w:t xml:space="preserve"> udziałowc</w:t>
      </w:r>
      <w:r w:rsidR="005858C8">
        <w:rPr>
          <w:spacing w:val="-2"/>
          <w:szCs w:val="19"/>
        </w:rPr>
        <w:t>ami</w:t>
      </w:r>
      <w:r w:rsidR="0049421E">
        <w:rPr>
          <w:spacing w:val="-2"/>
          <w:szCs w:val="19"/>
        </w:rPr>
        <w:t xml:space="preserve"> byli inwestorzy krajowi, a dla 17 – zagraniczni.</w:t>
      </w:r>
    </w:p>
    <w:p w:rsidR="00AF64FB" w:rsidRDefault="00B3350E" w:rsidP="008666EB">
      <w:pPr>
        <w:pStyle w:val="Nagwek1"/>
        <w:spacing w:before="120"/>
      </w:pPr>
      <w:r w:rsidRPr="00001C5B">
        <w:rPr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D06D851" wp14:editId="3AA57F4E">
                <wp:simplePos x="0" y="0"/>
                <wp:positionH relativeFrom="column">
                  <wp:posOffset>5217592</wp:posOffset>
                </wp:positionH>
                <wp:positionV relativeFrom="paragraph">
                  <wp:posOffset>88443</wp:posOffset>
                </wp:positionV>
                <wp:extent cx="1826260" cy="1016635"/>
                <wp:effectExtent l="0" t="0" r="0" b="0"/>
                <wp:wrapTight wrapText="bothSides">
                  <wp:wrapPolygon edited="0">
                    <wp:start x="676" y="0"/>
                    <wp:lineTo x="676" y="21047"/>
                    <wp:lineTo x="20729" y="21047"/>
                    <wp:lineTo x="20729" y="0"/>
                    <wp:lineTo x="676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BE" w:rsidRPr="00074DD8" w:rsidRDefault="00AC57BE" w:rsidP="00AC57BE">
                            <w:pPr>
                              <w:pStyle w:val="tekstzboku"/>
                            </w:pPr>
                            <w:r>
                              <w:t xml:space="preserve">Według stanu na koniec 2017 r. </w:t>
                            </w:r>
                            <w:r w:rsidR="002C5346">
                              <w:t xml:space="preserve">wartość nominalna czynnych </w:t>
                            </w:r>
                            <w:r>
                              <w:t>wierzytelności konsumencki</w:t>
                            </w:r>
                            <w:r w:rsidR="002C5346">
                              <w:t xml:space="preserve">ch wyniosła 70,6 mld zł, a korporacyjnych – </w:t>
                            </w:r>
                            <w:r w:rsidR="00AF04CD">
                              <w:t>21</w:t>
                            </w:r>
                            <w:r w:rsidR="002C5346">
                              <w:t>,</w:t>
                            </w:r>
                            <w:r w:rsidR="00AF04CD">
                              <w:t>0</w:t>
                            </w:r>
                            <w:r w:rsidR="002C5346">
                              <w:t> mld zł</w:t>
                            </w:r>
                            <w:r w:rsidR="006B0A5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D851" id="_x0000_s1029" type="#_x0000_t202" style="position:absolute;margin-left:410.85pt;margin-top:6.95pt;width:143.8pt;height:80.0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" filled="f" stroked="f">
                <v:textbox>
                  <w:txbxContent>
                    <w:p w:rsidR="00AC57BE" w:rsidRPr="00074DD8" w:rsidRDefault="00AC57BE" w:rsidP="00AC57BE">
                      <w:pPr>
                        <w:pStyle w:val="tekstzboku"/>
                      </w:pPr>
                      <w:r>
                        <w:t xml:space="preserve">Według stanu na koniec 2017 r. </w:t>
                      </w:r>
                      <w:r w:rsidR="002C5346">
                        <w:t xml:space="preserve">wartość nominalna czynnych </w:t>
                      </w:r>
                      <w:r>
                        <w:t>wierzytelności konsumencki</w:t>
                      </w:r>
                      <w:r w:rsidR="002C5346">
                        <w:t xml:space="preserve">ch wyniosła 70,6 mld zł, a korporacyjnych – </w:t>
                      </w:r>
                      <w:r w:rsidR="00AF04CD">
                        <w:t>21</w:t>
                      </w:r>
                      <w:r w:rsidR="002C5346">
                        <w:t>,</w:t>
                      </w:r>
                      <w:r w:rsidR="00AF04CD">
                        <w:t>0</w:t>
                      </w:r>
                      <w:r w:rsidR="002C5346">
                        <w:t> mld zł</w:t>
                      </w:r>
                      <w:r w:rsidR="006B0A5E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64FB">
        <w:t xml:space="preserve">Charakterystyka </w:t>
      </w:r>
      <w:r w:rsidR="006D49FD">
        <w:t>usług</w:t>
      </w:r>
      <w:r w:rsidR="00AF64FB">
        <w:t xml:space="preserve"> windykacyjnych</w:t>
      </w:r>
    </w:p>
    <w:p w:rsidR="00EE2F34" w:rsidRDefault="00010CD2" w:rsidP="00007E8F">
      <w:pPr>
        <w:rPr>
          <w:shd w:val="clear" w:color="auto" w:fill="FFFFFF"/>
        </w:rPr>
      </w:pPr>
      <w:r w:rsidRPr="00934152">
        <w:rPr>
          <w:shd w:val="clear" w:color="auto" w:fill="FFFFFF"/>
        </w:rPr>
        <w:t xml:space="preserve">Przedsiębiorstwa windykacyjne </w:t>
      </w:r>
      <w:r w:rsidR="006B0A5E">
        <w:rPr>
          <w:shd w:val="clear" w:color="auto" w:fill="FFFFFF"/>
        </w:rPr>
        <w:t xml:space="preserve">według stanu </w:t>
      </w:r>
      <w:r w:rsidRPr="00934152">
        <w:rPr>
          <w:shd w:val="clear" w:color="auto" w:fill="FFFFFF"/>
        </w:rPr>
        <w:t xml:space="preserve">na koniec 2017 r. </w:t>
      </w:r>
      <w:r w:rsidR="00AB5A45">
        <w:rPr>
          <w:shd w:val="clear" w:color="auto" w:fill="FFFFFF"/>
        </w:rPr>
        <w:t>obsługiwały</w:t>
      </w:r>
      <w:r w:rsidRPr="00934152">
        <w:rPr>
          <w:shd w:val="clear" w:color="auto" w:fill="FFFFFF"/>
        </w:rPr>
        <w:t xml:space="preserve"> czynne wierzytelności o wartości </w:t>
      </w:r>
      <w:r w:rsidR="006B0A5E">
        <w:rPr>
          <w:shd w:val="clear" w:color="auto" w:fill="FFFFFF"/>
        </w:rPr>
        <w:t xml:space="preserve">nominalnej </w:t>
      </w:r>
      <w:r w:rsidRPr="00934152">
        <w:rPr>
          <w:shd w:val="clear" w:color="auto" w:fill="FFFFFF"/>
        </w:rPr>
        <w:t xml:space="preserve">91,6 mld zł, w których </w:t>
      </w:r>
      <w:r w:rsidR="00AA0C1B">
        <w:rPr>
          <w:shd w:val="clear" w:color="auto" w:fill="FFFFFF"/>
        </w:rPr>
        <w:t xml:space="preserve">77,1% stanowiły </w:t>
      </w:r>
      <w:r w:rsidRPr="00934152">
        <w:rPr>
          <w:shd w:val="clear" w:color="auto" w:fill="FFFFFF"/>
        </w:rPr>
        <w:t xml:space="preserve">wierzytelności konsumenckie, a korporacyjne – 22,9%. Wartość odzyskanych </w:t>
      </w:r>
      <w:r w:rsidR="006B0A5E">
        <w:rPr>
          <w:shd w:val="clear" w:color="auto" w:fill="FFFFFF"/>
        </w:rPr>
        <w:t xml:space="preserve">wierzytelności </w:t>
      </w:r>
      <w:r w:rsidR="00402E8F">
        <w:rPr>
          <w:shd w:val="clear" w:color="auto" w:fill="FFFFFF"/>
        </w:rPr>
        <w:t>w</w:t>
      </w:r>
      <w:r w:rsidR="006B0A5E">
        <w:rPr>
          <w:shd w:val="clear" w:color="auto" w:fill="FFFFFF"/>
        </w:rPr>
        <w:t> </w:t>
      </w:r>
      <w:r w:rsidR="00C314CD">
        <w:rPr>
          <w:shd w:val="clear" w:color="auto" w:fill="FFFFFF"/>
        </w:rPr>
        <w:t>2017 r.</w:t>
      </w:r>
      <w:r w:rsidRPr="00934152">
        <w:rPr>
          <w:shd w:val="clear" w:color="auto" w:fill="FFFFFF"/>
        </w:rPr>
        <w:t xml:space="preserve"> wyniosła 8,8 mld zł</w:t>
      </w:r>
      <w:r w:rsidR="00DE7CE5">
        <w:rPr>
          <w:shd w:val="clear" w:color="auto" w:fill="FFFFFF"/>
        </w:rPr>
        <w:t>.</w:t>
      </w:r>
      <w:r w:rsidR="006B0A5E">
        <w:rPr>
          <w:shd w:val="clear" w:color="auto" w:fill="FFFFFF"/>
        </w:rPr>
        <w:t xml:space="preserve"> O</w:t>
      </w:r>
      <w:r w:rsidR="00AA0C1B">
        <w:rPr>
          <w:shd w:val="clear" w:color="auto" w:fill="FFFFFF"/>
        </w:rPr>
        <w:t>dzyskane w</w:t>
      </w:r>
      <w:r w:rsidR="00FC269F">
        <w:rPr>
          <w:shd w:val="clear" w:color="auto" w:fill="FFFFFF"/>
        </w:rPr>
        <w:t>ierz</w:t>
      </w:r>
      <w:r w:rsidRPr="00934152">
        <w:rPr>
          <w:shd w:val="clear" w:color="auto" w:fill="FFFFFF"/>
        </w:rPr>
        <w:t xml:space="preserve">ytelności konsumenckie </w:t>
      </w:r>
      <w:r w:rsidR="00713155">
        <w:rPr>
          <w:shd w:val="clear" w:color="auto" w:fill="FFFFFF"/>
        </w:rPr>
        <w:t>stanowiły</w:t>
      </w:r>
      <w:r w:rsidRPr="00934152">
        <w:rPr>
          <w:shd w:val="clear" w:color="auto" w:fill="FFFFFF"/>
        </w:rPr>
        <w:t xml:space="preserve"> 74,5%</w:t>
      </w:r>
      <w:r w:rsidR="006B0A5E">
        <w:rPr>
          <w:shd w:val="clear" w:color="auto" w:fill="FFFFFF"/>
        </w:rPr>
        <w:t xml:space="preserve"> tej wartości</w:t>
      </w:r>
      <w:r w:rsidRPr="00934152">
        <w:rPr>
          <w:shd w:val="clear" w:color="auto" w:fill="FFFFFF"/>
        </w:rPr>
        <w:t>, a</w:t>
      </w:r>
      <w:r w:rsidR="006961EB">
        <w:rPr>
          <w:shd w:val="clear" w:color="auto" w:fill="FFFFFF"/>
        </w:rPr>
        <w:t> </w:t>
      </w:r>
      <w:r w:rsidRPr="00934152">
        <w:rPr>
          <w:shd w:val="clear" w:color="auto" w:fill="FFFFFF"/>
        </w:rPr>
        <w:t>korporacyjne – 25,5%.</w:t>
      </w:r>
      <w:r w:rsidR="0015663C">
        <w:rPr>
          <w:shd w:val="clear" w:color="auto" w:fill="FFFFFF"/>
        </w:rPr>
        <w:t xml:space="preserve"> </w:t>
      </w:r>
    </w:p>
    <w:p w:rsidR="0015663C" w:rsidRDefault="0015663C" w:rsidP="008666EB">
      <w:pPr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O</w:t>
      </w:r>
      <w:r w:rsidRPr="00B53349">
        <w:rPr>
          <w:szCs w:val="19"/>
          <w:shd w:val="clear" w:color="auto" w:fill="FFFFFF"/>
        </w:rPr>
        <w:t>gółem</w:t>
      </w:r>
      <w:r>
        <w:rPr>
          <w:rStyle w:val="Odwoanieprzypisudolnego"/>
          <w:szCs w:val="19"/>
          <w:shd w:val="clear" w:color="auto" w:fill="FFFFFF"/>
        </w:rPr>
        <w:footnoteReference w:id="2"/>
      </w:r>
      <w:r w:rsidRPr="00B53349">
        <w:rPr>
          <w:szCs w:val="19"/>
          <w:shd w:val="clear" w:color="auto" w:fill="FFFFFF"/>
        </w:rPr>
        <w:t xml:space="preserve"> </w:t>
      </w:r>
      <w:r>
        <w:rPr>
          <w:szCs w:val="19"/>
          <w:shd w:val="clear" w:color="auto" w:fill="FFFFFF"/>
        </w:rPr>
        <w:t>w </w:t>
      </w:r>
      <w:r w:rsidRPr="00B53349">
        <w:rPr>
          <w:szCs w:val="19"/>
          <w:shd w:val="clear" w:color="auto" w:fill="FFFFFF"/>
        </w:rPr>
        <w:t>2017 r. badane podmioty prowadziły 12,8 mln spraw dotyczących wierzytelności obsługiwanych na rzecz funduszy sekurytyzacyjnych</w:t>
      </w:r>
      <w:r>
        <w:rPr>
          <w:szCs w:val="19"/>
          <w:shd w:val="clear" w:color="auto" w:fill="FFFFFF"/>
        </w:rPr>
        <w:t>,</w:t>
      </w:r>
      <w:r w:rsidRPr="00B53349">
        <w:rPr>
          <w:szCs w:val="19"/>
          <w:shd w:val="clear" w:color="auto" w:fill="FFFFFF"/>
        </w:rPr>
        <w:t xml:space="preserve"> </w:t>
      </w:r>
      <w:r>
        <w:rPr>
          <w:szCs w:val="19"/>
          <w:shd w:val="clear" w:color="auto" w:fill="FFFFFF"/>
        </w:rPr>
        <w:t xml:space="preserve">w tym </w:t>
      </w:r>
      <w:r w:rsidRPr="00B53349">
        <w:rPr>
          <w:szCs w:val="19"/>
          <w:shd w:val="clear" w:color="auto" w:fill="FFFFFF"/>
        </w:rPr>
        <w:t>11,</w:t>
      </w:r>
      <w:r>
        <w:rPr>
          <w:szCs w:val="19"/>
          <w:shd w:val="clear" w:color="auto" w:fill="FFFFFF"/>
        </w:rPr>
        <w:t>6</w:t>
      </w:r>
      <w:r w:rsidRPr="00B53349">
        <w:rPr>
          <w:szCs w:val="19"/>
          <w:shd w:val="clear" w:color="auto" w:fill="FFFFFF"/>
        </w:rPr>
        <w:t> mln spraw stanowiły wierzytelności konsumenckie.</w:t>
      </w:r>
    </w:p>
    <w:p w:rsidR="006D49FD" w:rsidRDefault="00B21F88" w:rsidP="008666EB">
      <w:pPr>
        <w:rPr>
          <w:spacing w:val="-2"/>
          <w:sz w:val="18"/>
        </w:rPr>
      </w:pPr>
      <w:r w:rsidRPr="002A7D55">
        <w:rPr>
          <w:b/>
          <w:noProof/>
          <w:color w:val="212492"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E3754BC" wp14:editId="5BBA9FCA">
                <wp:simplePos x="0" y="0"/>
                <wp:positionH relativeFrom="column">
                  <wp:posOffset>5233670</wp:posOffset>
                </wp:positionH>
                <wp:positionV relativeFrom="paragraph">
                  <wp:posOffset>3260395</wp:posOffset>
                </wp:positionV>
                <wp:extent cx="1826260" cy="2040255"/>
                <wp:effectExtent l="0" t="0" r="0" b="0"/>
                <wp:wrapTight wrapText="bothSides">
                  <wp:wrapPolygon edited="0">
                    <wp:start x="676" y="0"/>
                    <wp:lineTo x="676" y="21378"/>
                    <wp:lineTo x="20729" y="21378"/>
                    <wp:lineTo x="20729" y="0"/>
                    <wp:lineTo x="67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04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75" w:rsidRDefault="0089349E" w:rsidP="00FC7275">
                            <w:pPr>
                              <w:pStyle w:val="tekstzboku"/>
                            </w:pPr>
                            <w:r>
                              <w:t>W 2017 r.</w:t>
                            </w:r>
                            <w:r w:rsidR="0075142F">
                              <w:t xml:space="preserve"> przyjęto do obsługi łącznie 9,6 mln spraw</w:t>
                            </w:r>
                            <w:r w:rsidR="0015663C">
                              <w:t>, w tym 8,7 mln spraw dotyczyło wierzytelności konsumenckich</w:t>
                            </w:r>
                            <w:r w:rsidR="0075142F">
                              <w:t>.</w:t>
                            </w:r>
                          </w:p>
                          <w:p w:rsidR="00204DA3" w:rsidRDefault="00C314CD" w:rsidP="00FC7275">
                            <w:pPr>
                              <w:pStyle w:val="tekstzboku"/>
                            </w:pPr>
                            <w:r>
                              <w:t xml:space="preserve">Spośród </w:t>
                            </w:r>
                            <w:r w:rsidR="00C25CD0">
                              <w:t>98</w:t>
                            </w:r>
                            <w:r w:rsidR="00204DA3" w:rsidRPr="00204DA3">
                              <w:t xml:space="preserve"> podmiotów</w:t>
                            </w:r>
                            <w:r w:rsidR="00C25CD0">
                              <w:t xml:space="preserve"> prowadzących w 2017 r. działalność windykacyjną wyłącznie w kraju</w:t>
                            </w:r>
                            <w:r w:rsidR="00204DA3" w:rsidRPr="00204DA3">
                              <w:t>, 7 planuje w przyszłości ekspansję na rynki zagraniczne, a 91 zamierza p</w:t>
                            </w:r>
                            <w:r w:rsidR="00C25CD0">
                              <w:t>ozostać na rynku krajowym</w:t>
                            </w:r>
                            <w:r w:rsidR="00204DA3" w:rsidRPr="00204DA3">
                              <w:t>.</w:t>
                            </w:r>
                          </w:p>
                          <w:p w:rsidR="00204DA3" w:rsidRDefault="00204DA3" w:rsidP="00FC7275">
                            <w:pPr>
                              <w:pStyle w:val="tekstzboku"/>
                            </w:pPr>
                          </w:p>
                          <w:p w:rsidR="00204DA3" w:rsidRPr="00074DD8" w:rsidRDefault="00204DA3" w:rsidP="00FC7275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54BC" id="_x0000_s1030" type="#_x0000_t202" style="position:absolute;margin-left:412.1pt;margin-top:256.7pt;width:143.8pt;height:160.6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" filled="f" stroked="f">
                <v:textbox>
                  <w:txbxContent>
                    <w:p w:rsidR="00FC7275" w:rsidRDefault="0089349E" w:rsidP="00FC7275">
                      <w:pPr>
                        <w:pStyle w:val="tekstzboku"/>
                      </w:pPr>
                      <w:r>
                        <w:t>W 2017 r.</w:t>
                      </w:r>
                      <w:r w:rsidR="0075142F">
                        <w:t xml:space="preserve"> przyjęto do obsługi łącznie 9,6 mln spraw</w:t>
                      </w:r>
                      <w:r w:rsidR="0015663C">
                        <w:t>, w tym 8,7 mln spraw dotyczyło wierzytelności konsumenckich</w:t>
                      </w:r>
                      <w:r w:rsidR="0075142F">
                        <w:t>.</w:t>
                      </w:r>
                    </w:p>
                    <w:p w:rsidR="00204DA3" w:rsidRDefault="00C314CD" w:rsidP="00FC7275">
                      <w:pPr>
                        <w:pStyle w:val="tekstzboku"/>
                      </w:pPr>
                      <w:r>
                        <w:t xml:space="preserve">Spośród </w:t>
                      </w:r>
                      <w:r w:rsidR="00C25CD0">
                        <w:t>98</w:t>
                      </w:r>
                      <w:r w:rsidR="00204DA3" w:rsidRPr="00204DA3">
                        <w:t xml:space="preserve"> podmiotów</w:t>
                      </w:r>
                      <w:r w:rsidR="00C25CD0">
                        <w:t xml:space="preserve"> prowadzących w 2017 r. działalność windykacyjną wyłącznie w kraju</w:t>
                      </w:r>
                      <w:r w:rsidR="00204DA3" w:rsidRPr="00204DA3">
                        <w:t>, 7 planuje w przyszłości ekspansję na rynki zagraniczne, a 91 zamierza p</w:t>
                      </w:r>
                      <w:r w:rsidR="00C25CD0">
                        <w:t>ozostać na rynku krajowym</w:t>
                      </w:r>
                      <w:r w:rsidR="00204DA3" w:rsidRPr="00204DA3">
                        <w:t>.</w:t>
                      </w:r>
                    </w:p>
                    <w:p w:rsidR="00204DA3" w:rsidRDefault="00204DA3" w:rsidP="00FC7275">
                      <w:pPr>
                        <w:pStyle w:val="tekstzboku"/>
                      </w:pPr>
                    </w:p>
                    <w:p w:rsidR="00204DA3" w:rsidRPr="00074DD8" w:rsidRDefault="00204DA3" w:rsidP="00FC7275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49FD" w:rsidRPr="00BA3562">
        <w:rPr>
          <w:b/>
          <w:spacing w:val="-2"/>
          <w:sz w:val="18"/>
          <w:shd w:val="clear" w:color="auto" w:fill="FFFFFF"/>
        </w:rPr>
        <w:t xml:space="preserve">Tablica 1. </w:t>
      </w:r>
      <w:r w:rsidR="006D49FD">
        <w:rPr>
          <w:b/>
          <w:spacing w:val="-2"/>
          <w:sz w:val="18"/>
          <w:shd w:val="clear" w:color="auto" w:fill="FFFFFF"/>
        </w:rPr>
        <w:t>Działalność badanych przedsiębiorstw windykacyjnych w 2017 r.</w:t>
      </w:r>
    </w:p>
    <w:tbl>
      <w:tblPr>
        <w:tblStyle w:val="Siatkatabelijasna1"/>
        <w:tblW w:w="4943" w:type="pct"/>
        <w:tblBorders>
          <w:top w:val="none" w:sz="0" w:space="0" w:color="auto"/>
          <w:left w:val="none" w:sz="0" w:space="0" w:color="auto"/>
          <w:bottom w:val="single" w:sz="4" w:space="0" w:color="21249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32"/>
        <w:gridCol w:w="8"/>
        <w:gridCol w:w="1504"/>
        <w:gridCol w:w="8"/>
        <w:gridCol w:w="1698"/>
        <w:gridCol w:w="1839"/>
      </w:tblGrid>
      <w:tr w:rsidR="00872D34" w:rsidRPr="00FA5128" w:rsidTr="00872D34">
        <w:trPr>
          <w:trHeight w:val="309"/>
        </w:trPr>
        <w:tc>
          <w:tcPr>
            <w:tcW w:w="1912" w:type="pct"/>
            <w:vMerge w:val="restart"/>
            <w:tcBorders>
              <w:bottom w:val="single" w:sz="12" w:space="0" w:color="2F5496" w:themeColor="accent5" w:themeShade="BF"/>
              <w:right w:val="single" w:sz="4" w:space="0" w:color="212492"/>
            </w:tcBorders>
            <w:vAlign w:val="center"/>
          </w:tcPr>
          <w:p w:rsidR="00872D34" w:rsidRPr="009C7251" w:rsidRDefault="00872D34" w:rsidP="00681A1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964" w:type="pct"/>
            <w:gridSpan w:val="4"/>
            <w:tcBorders>
              <w:left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872D34" w:rsidRPr="00FA5128" w:rsidRDefault="00872D34" w:rsidP="00681A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Wierzytelności</w:t>
            </w:r>
          </w:p>
        </w:tc>
        <w:tc>
          <w:tcPr>
            <w:tcW w:w="1123" w:type="pct"/>
            <w:vMerge w:val="restart"/>
            <w:tcBorders>
              <w:left w:val="single" w:sz="4" w:space="0" w:color="212492"/>
              <w:right w:val="nil"/>
            </w:tcBorders>
            <w:vAlign w:val="center"/>
          </w:tcPr>
          <w:p w:rsidR="00872D34" w:rsidRDefault="00872D34" w:rsidP="0087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Ogółem</w:t>
            </w:r>
          </w:p>
        </w:tc>
      </w:tr>
      <w:tr w:rsidR="00872D34" w:rsidRPr="00FA5128" w:rsidTr="00872D34">
        <w:trPr>
          <w:trHeight w:val="265"/>
        </w:trPr>
        <w:tc>
          <w:tcPr>
            <w:tcW w:w="1912" w:type="pct"/>
            <w:vMerge/>
            <w:tcBorders>
              <w:top w:val="single" w:sz="12" w:space="0" w:color="auto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872D34" w:rsidRPr="00FA5128" w:rsidRDefault="00872D34" w:rsidP="00681A1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872D34" w:rsidRDefault="00872D34" w:rsidP="00681A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konsumenckie</w:t>
            </w:r>
          </w:p>
        </w:tc>
        <w:tc>
          <w:tcPr>
            <w:tcW w:w="1042" w:type="pct"/>
            <w:gridSpan w:val="2"/>
            <w:tcBorders>
              <w:top w:val="single" w:sz="4" w:space="0" w:color="212492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12492"/>
            </w:tcBorders>
            <w:vAlign w:val="center"/>
          </w:tcPr>
          <w:p w:rsidR="00872D34" w:rsidRDefault="00872D34" w:rsidP="00681A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korporacyjne</w:t>
            </w:r>
          </w:p>
        </w:tc>
        <w:tc>
          <w:tcPr>
            <w:tcW w:w="1123" w:type="pct"/>
            <w:vMerge/>
            <w:tcBorders>
              <w:left w:val="single" w:sz="4" w:space="0" w:color="212492"/>
              <w:bottom w:val="single" w:sz="12" w:space="0" w:color="2F5496" w:themeColor="accent5" w:themeShade="BF"/>
            </w:tcBorders>
          </w:tcPr>
          <w:p w:rsidR="00872D34" w:rsidRDefault="00872D34" w:rsidP="00681A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F6950" w:rsidRPr="00FA5128" w:rsidTr="00872D34">
        <w:trPr>
          <w:trHeight w:val="57"/>
        </w:trPr>
        <w:tc>
          <w:tcPr>
            <w:tcW w:w="1912" w:type="pct"/>
            <w:tcBorders>
              <w:top w:val="single" w:sz="12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7F665A" w:rsidRPr="00FA5128" w:rsidRDefault="007F665A" w:rsidP="00872D3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Liczba spraw przyjętych do obsługi w</w:t>
            </w:r>
            <w:r w:rsidR="00872D34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2017 r.</w:t>
            </w:r>
          </w:p>
        </w:tc>
        <w:tc>
          <w:tcPr>
            <w:tcW w:w="923" w:type="pct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5034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Pr="00B45034">
              <w:rPr>
                <w:rFonts w:cs="Arial"/>
                <w:b/>
                <w:color w:val="000000" w:themeColor="text1"/>
                <w:sz w:val="16"/>
                <w:szCs w:val="16"/>
              </w:rPr>
              <w:t>657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Pr="00B45034">
              <w:rPr>
                <w:rFonts w:cs="Arial"/>
                <w:b/>
                <w:color w:val="000000" w:themeColor="text1"/>
                <w:sz w:val="16"/>
                <w:szCs w:val="16"/>
              </w:rPr>
              <w:t>099</w:t>
            </w:r>
          </w:p>
        </w:tc>
        <w:tc>
          <w:tcPr>
            <w:tcW w:w="1042" w:type="pct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5034">
              <w:rPr>
                <w:rFonts w:cs="Arial"/>
                <w:b/>
                <w:color w:val="000000" w:themeColor="text1"/>
                <w:sz w:val="16"/>
                <w:szCs w:val="16"/>
              </w:rPr>
              <w:t>964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 </w:t>
            </w:r>
            <w:r w:rsidRPr="00B45034">
              <w:rPr>
                <w:rFonts w:cs="Arial"/>
                <w:b/>
                <w:color w:val="000000" w:themeColor="text1"/>
                <w:sz w:val="16"/>
                <w:szCs w:val="16"/>
              </w:rPr>
              <w:t>497</w:t>
            </w:r>
          </w:p>
        </w:tc>
        <w:tc>
          <w:tcPr>
            <w:tcW w:w="1123" w:type="pct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B45034" w:rsidRDefault="001373EF" w:rsidP="00681A1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9 621 596</w:t>
            </w:r>
          </w:p>
        </w:tc>
      </w:tr>
      <w:tr w:rsidR="003F6950" w:rsidRPr="00FA5128" w:rsidTr="00872D34">
        <w:trPr>
          <w:trHeight w:val="57"/>
        </w:trPr>
        <w:tc>
          <w:tcPr>
            <w:tcW w:w="1912" w:type="pct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7F665A" w:rsidRPr="00FA5128" w:rsidRDefault="007F665A" w:rsidP="003F695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Wartość ogółem wierzytelności przyjętych do obsługi </w:t>
            </w:r>
            <w:r w:rsidR="003F6950">
              <w:rPr>
                <w:rFonts w:ascii="Fira Sans" w:hAnsi="Fira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tys. zł</w:t>
            </w:r>
            <w:r w:rsidR="003F6950">
              <w:rPr>
                <w:rFonts w:ascii="Fira Sans" w:hAnsi="Fira Sans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, w tym:</w:t>
            </w: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25 878 665</w:t>
            </w:r>
          </w:p>
        </w:tc>
        <w:tc>
          <w:tcPr>
            <w:tcW w:w="10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14 339 757</w:t>
            </w:r>
          </w:p>
        </w:tc>
        <w:tc>
          <w:tcPr>
            <w:tcW w:w="1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Default="001373EF" w:rsidP="001373E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40 218 422</w:t>
            </w:r>
          </w:p>
        </w:tc>
      </w:tr>
      <w:tr w:rsidR="003F6950" w:rsidRPr="00FA5128" w:rsidTr="00872D34">
        <w:trPr>
          <w:trHeight w:val="57"/>
        </w:trPr>
        <w:tc>
          <w:tcPr>
            <w:tcW w:w="1912" w:type="pct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7F665A" w:rsidRPr="00C245BA" w:rsidRDefault="007F665A" w:rsidP="00681A16">
            <w:pPr>
              <w:pStyle w:val="Nagwek2"/>
              <w:tabs>
                <w:tab w:val="right" w:leader="dot" w:pos="4156"/>
              </w:tabs>
              <w:spacing w:before="0"/>
              <w:ind w:left="142"/>
              <w:contextualSpacing/>
              <w:outlineLvl w:val="1"/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</w:pPr>
            <w:r w:rsidRPr="00C245BA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Wierzytelności przyjęte na zlecenie (inkaso)</w:t>
            </w:r>
            <w:r w:rsidR="003F6950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 xml:space="preserve"> – w tys. zł</w:t>
            </w: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13 903 906</w:t>
            </w:r>
          </w:p>
        </w:tc>
        <w:tc>
          <w:tcPr>
            <w:tcW w:w="10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8 848 734</w:t>
            </w:r>
          </w:p>
        </w:tc>
        <w:tc>
          <w:tcPr>
            <w:tcW w:w="1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Default="00091A6D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22 752 640</w:t>
            </w:r>
          </w:p>
        </w:tc>
      </w:tr>
      <w:tr w:rsidR="003F6950" w:rsidRPr="00FA5128" w:rsidTr="00872D34">
        <w:trPr>
          <w:trHeight w:val="57"/>
        </w:trPr>
        <w:tc>
          <w:tcPr>
            <w:tcW w:w="1912" w:type="pct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7F665A" w:rsidRPr="00C245BA" w:rsidRDefault="007F665A" w:rsidP="00681A16">
            <w:pPr>
              <w:tabs>
                <w:tab w:val="right" w:leader="dot" w:pos="4156"/>
              </w:tabs>
              <w:ind w:left="142"/>
              <w:contextualSpacing/>
              <w:rPr>
                <w:i/>
                <w:color w:val="000000" w:themeColor="text1"/>
                <w:sz w:val="16"/>
                <w:szCs w:val="16"/>
              </w:rPr>
            </w:pPr>
            <w:r w:rsidRPr="00C245BA">
              <w:rPr>
                <w:i/>
                <w:color w:val="000000" w:themeColor="text1"/>
                <w:sz w:val="16"/>
                <w:szCs w:val="16"/>
              </w:rPr>
              <w:t>Wierzytelności zakupione</w:t>
            </w:r>
            <w:r w:rsidR="003F6950">
              <w:rPr>
                <w:i/>
                <w:color w:val="000000" w:themeColor="text1"/>
                <w:sz w:val="16"/>
                <w:szCs w:val="16"/>
              </w:rPr>
              <w:t xml:space="preserve"> – w tys. zł</w:t>
            </w: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06012D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11 74</w:t>
            </w:r>
            <w:r w:rsidR="0006012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 759</w:t>
            </w:r>
          </w:p>
        </w:tc>
        <w:tc>
          <w:tcPr>
            <w:tcW w:w="10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5 491 023</w:t>
            </w:r>
          </w:p>
        </w:tc>
        <w:tc>
          <w:tcPr>
            <w:tcW w:w="1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Default="00091A6D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17 465 782</w:t>
            </w:r>
          </w:p>
        </w:tc>
      </w:tr>
      <w:tr w:rsidR="003F6950" w:rsidRPr="00FA5128" w:rsidTr="00872D34">
        <w:trPr>
          <w:trHeight w:val="57"/>
        </w:trPr>
        <w:tc>
          <w:tcPr>
            <w:tcW w:w="1912" w:type="pct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7F665A" w:rsidRPr="00C3702F" w:rsidRDefault="007F665A" w:rsidP="003F6950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Wartość odzyskanych </w:t>
            </w:r>
            <w:r w:rsidR="003F6950">
              <w:rPr>
                <w:color w:val="000000" w:themeColor="text1"/>
                <w:sz w:val="16"/>
                <w:szCs w:val="16"/>
              </w:rPr>
              <w:t xml:space="preserve">w 2017 r. </w:t>
            </w:r>
            <w:r>
              <w:rPr>
                <w:color w:val="000000" w:themeColor="text1"/>
                <w:sz w:val="16"/>
                <w:szCs w:val="16"/>
              </w:rPr>
              <w:t xml:space="preserve">wierzytelności </w:t>
            </w:r>
            <w:r w:rsidR="003F6950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w tys. zł</w:t>
            </w: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6 574 270</w:t>
            </w:r>
          </w:p>
        </w:tc>
        <w:tc>
          <w:tcPr>
            <w:tcW w:w="10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Pr="00D647FD" w:rsidRDefault="007F665A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2 254 615</w:t>
            </w:r>
          </w:p>
        </w:tc>
        <w:tc>
          <w:tcPr>
            <w:tcW w:w="1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</w:tcPr>
          <w:p w:rsidR="007F665A" w:rsidRDefault="00091A6D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8 828 885</w:t>
            </w:r>
          </w:p>
        </w:tc>
      </w:tr>
      <w:tr w:rsidR="00A20382" w:rsidRPr="00FA5128" w:rsidTr="00872D34">
        <w:trPr>
          <w:trHeight w:val="57"/>
        </w:trPr>
        <w:tc>
          <w:tcPr>
            <w:tcW w:w="1917" w:type="pct"/>
            <w:gridSpan w:val="2"/>
            <w:tcBorders>
              <w:top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vAlign w:val="center"/>
          </w:tcPr>
          <w:p w:rsidR="00A20382" w:rsidRDefault="00A20382" w:rsidP="00A021C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Wartość czynnych wierzytelności – stan na koniec 2017 r. </w:t>
            </w:r>
            <w:r w:rsidR="00A021C2">
              <w:rPr>
                <w:color w:val="000000" w:themeColor="text1"/>
                <w:sz w:val="16"/>
                <w:szCs w:val="16"/>
              </w:rPr>
              <w:t>– w tys. zł</w:t>
            </w:r>
          </w:p>
        </w:tc>
        <w:tc>
          <w:tcPr>
            <w:tcW w:w="92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nil"/>
            </w:tcBorders>
          </w:tcPr>
          <w:p w:rsidR="00A20382" w:rsidRDefault="00A20382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70 579 324</w:t>
            </w:r>
          </w:p>
        </w:tc>
        <w:tc>
          <w:tcPr>
            <w:tcW w:w="1037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nil"/>
            </w:tcBorders>
          </w:tcPr>
          <w:p w:rsidR="00A20382" w:rsidRDefault="00A20382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21 014 434</w:t>
            </w:r>
          </w:p>
        </w:tc>
        <w:tc>
          <w:tcPr>
            <w:tcW w:w="1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nil"/>
            </w:tcBorders>
          </w:tcPr>
          <w:p w:rsidR="00A20382" w:rsidRDefault="0023139B" w:rsidP="00681A16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91 593 758</w:t>
            </w:r>
          </w:p>
        </w:tc>
      </w:tr>
    </w:tbl>
    <w:p w:rsidR="00AC07B2" w:rsidRPr="00AC07B2" w:rsidRDefault="00AC07B2" w:rsidP="008666EB">
      <w:pPr>
        <w:rPr>
          <w:szCs w:val="19"/>
          <w:shd w:val="clear" w:color="auto" w:fill="FFFFFF"/>
        </w:rPr>
      </w:pPr>
      <w:r w:rsidRPr="00AC07B2">
        <w:rPr>
          <w:szCs w:val="19"/>
          <w:shd w:val="clear" w:color="auto" w:fill="FFFFFF"/>
        </w:rPr>
        <w:t>Wśród ogółu wierzycieli pierwotnych dla wierzytelności konsumenckich (wg ich wartości nominalnej) największą grupę stanowiły: banki (63,4%), operatorzy telekomunikacji, telewizji kablowych i cyfrowych (12,4%) oraz firmy pożyczkowe (11,4%). Dla wierzytelności korporacyjnych wierzycielami pierwotnymi były głównie banki (70,2%).</w:t>
      </w:r>
    </w:p>
    <w:p w:rsidR="000F2BC3" w:rsidRPr="002A7D55" w:rsidRDefault="000F2BC3" w:rsidP="008666EB">
      <w:pPr>
        <w:rPr>
          <w:szCs w:val="19"/>
          <w:shd w:val="clear" w:color="auto" w:fill="FFFFFF"/>
        </w:rPr>
      </w:pPr>
      <w:r w:rsidRPr="007E6AFB">
        <w:rPr>
          <w:szCs w:val="19"/>
          <w:shd w:val="clear" w:color="auto" w:fill="FFFFFF"/>
        </w:rPr>
        <w:t xml:space="preserve">Badane firmy windykacyjne nie tworzyły w 2017 r. konsorcjów dla zakupów inwestycji. Działalność za granicą prowadziło </w:t>
      </w:r>
      <w:r w:rsidR="00C25CD0">
        <w:rPr>
          <w:szCs w:val="19"/>
          <w:shd w:val="clear" w:color="auto" w:fill="FFFFFF"/>
        </w:rPr>
        <w:t xml:space="preserve">w tym okresie </w:t>
      </w:r>
      <w:r w:rsidRPr="007E6AFB">
        <w:rPr>
          <w:szCs w:val="19"/>
          <w:shd w:val="clear" w:color="auto" w:fill="FFFFFF"/>
        </w:rPr>
        <w:t xml:space="preserve">7 podmiotów ze 105 </w:t>
      </w:r>
      <w:r w:rsidR="000E3CC1">
        <w:rPr>
          <w:szCs w:val="19"/>
          <w:shd w:val="clear" w:color="auto" w:fill="FFFFFF"/>
        </w:rPr>
        <w:t>uczestniczących w badaniu</w:t>
      </w:r>
      <w:r w:rsidRPr="007E6AFB">
        <w:rPr>
          <w:szCs w:val="19"/>
          <w:shd w:val="clear" w:color="auto" w:fill="FFFFFF"/>
        </w:rPr>
        <w:t>.</w:t>
      </w:r>
    </w:p>
    <w:p w:rsidR="00116087" w:rsidRPr="00001C5B" w:rsidRDefault="00FB5906" w:rsidP="00074DD8">
      <w:pPr>
        <w:pStyle w:val="tytuwykresu"/>
      </w:pPr>
      <w:r w:rsidRPr="00001C5B">
        <w:t xml:space="preserve">Wykres </w:t>
      </w:r>
      <w:r w:rsidR="00074DD8">
        <w:t>1</w:t>
      </w:r>
      <w:r w:rsidR="008F4441">
        <w:t>.</w:t>
      </w:r>
      <w:r w:rsidR="00074DD8" w:rsidRPr="00074DD8">
        <w:rPr>
          <w:shd w:val="clear" w:color="auto" w:fill="FFFFFF"/>
        </w:rPr>
        <w:t xml:space="preserve"> </w:t>
      </w:r>
      <w:r w:rsidR="00B151E0" w:rsidRPr="00B151E0">
        <w:rPr>
          <w:shd w:val="clear" w:color="auto" w:fill="FFFFFF"/>
        </w:rPr>
        <w:t>Wierzytelności w</w:t>
      </w:r>
      <w:r w:rsidR="00364AEB">
        <w:rPr>
          <w:shd w:val="clear" w:color="auto" w:fill="FFFFFF"/>
        </w:rPr>
        <w:t>edług</w:t>
      </w:r>
      <w:r w:rsidR="00120BC4">
        <w:rPr>
          <w:shd w:val="clear" w:color="auto" w:fill="FFFFFF"/>
        </w:rPr>
        <w:t xml:space="preserve"> liczby</w:t>
      </w:r>
      <w:r w:rsidR="00AC5946">
        <w:rPr>
          <w:shd w:val="clear" w:color="auto" w:fill="FFFFFF"/>
        </w:rPr>
        <w:t xml:space="preserve"> </w:t>
      </w:r>
      <w:r w:rsidR="00874518">
        <w:rPr>
          <w:shd w:val="clear" w:color="auto" w:fill="FFFFFF"/>
        </w:rPr>
        <w:t xml:space="preserve">prowadzonych </w:t>
      </w:r>
      <w:r w:rsidR="00AC5946">
        <w:rPr>
          <w:shd w:val="clear" w:color="auto" w:fill="FFFFFF"/>
        </w:rPr>
        <w:t>spraw</w:t>
      </w:r>
      <w:r w:rsidR="00120BC4">
        <w:rPr>
          <w:shd w:val="clear" w:color="auto" w:fill="FFFFFF"/>
        </w:rPr>
        <w:t xml:space="preserve"> oraz wartości nominalnej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4104"/>
      </w:tblGrid>
      <w:tr w:rsidR="003E291B" w:rsidTr="00302CD5">
        <w:trPr>
          <w:trHeight w:val="4933"/>
        </w:trPr>
        <w:tc>
          <w:tcPr>
            <w:tcW w:w="4103" w:type="dxa"/>
          </w:tcPr>
          <w:p w:rsidR="003E291B" w:rsidRDefault="001C73C7" w:rsidP="001C73C7">
            <w:pPr>
              <w:pStyle w:val="Nagwek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7AFF18A6" wp14:editId="2761A1CD">
                  <wp:extent cx="2531059" cy="3525927"/>
                  <wp:effectExtent l="0" t="0" r="3175" b="0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3E291B" w:rsidRDefault="001C73C7" w:rsidP="001C73C7">
            <w:pPr>
              <w:pStyle w:val="Nagwek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6868C4B2" wp14:editId="164EDEB2">
                  <wp:extent cx="2560320" cy="3525927"/>
                  <wp:effectExtent l="0" t="0" r="0" b="0"/>
                  <wp:docPr id="6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802BE" w:rsidRDefault="006C147D" w:rsidP="006C147D">
      <w:r w:rsidRPr="00417538">
        <w:t xml:space="preserve">W ogólnej liczbie spraw </w:t>
      </w:r>
      <w:r w:rsidR="00417538">
        <w:t>przyjętych</w:t>
      </w:r>
      <w:r w:rsidRPr="00417538">
        <w:t xml:space="preserve"> do obsługi windykacyjnej w 2017 r. wierzytelności ko</w:t>
      </w:r>
      <w:r w:rsidR="00D7236F">
        <w:t>nsumenckie</w:t>
      </w:r>
      <w:r w:rsidRPr="00417538">
        <w:t xml:space="preserve"> </w:t>
      </w:r>
      <w:r w:rsidR="00E029E0">
        <w:t>stanowiły</w:t>
      </w:r>
      <w:r w:rsidRPr="00417538">
        <w:t xml:space="preserve"> </w:t>
      </w:r>
      <w:r w:rsidR="00D7236F">
        <w:t>9</w:t>
      </w:r>
      <w:r w:rsidRPr="00417538">
        <w:t>0</w:t>
      </w:r>
      <w:r w:rsidR="00417538" w:rsidRPr="00417538">
        <w:t>,0</w:t>
      </w:r>
      <w:r w:rsidRPr="00417538">
        <w:t>%</w:t>
      </w:r>
      <w:r w:rsidR="00417538" w:rsidRPr="00417538">
        <w:t xml:space="preserve">, </w:t>
      </w:r>
      <w:r w:rsidR="00315957">
        <w:t>a</w:t>
      </w:r>
      <w:r w:rsidR="00682B42">
        <w:t xml:space="preserve"> </w:t>
      </w:r>
      <w:r w:rsidR="00417538" w:rsidRPr="00417538">
        <w:t>ko</w:t>
      </w:r>
      <w:r w:rsidR="00D7236F">
        <w:t>rporacyjne</w:t>
      </w:r>
      <w:r w:rsidR="00682B42">
        <w:t xml:space="preserve"> –</w:t>
      </w:r>
      <w:r w:rsidR="00682B42" w:rsidRPr="00417538">
        <w:t xml:space="preserve"> </w:t>
      </w:r>
      <w:r w:rsidR="00D7236F">
        <w:t>1</w:t>
      </w:r>
      <w:r w:rsidR="00682B42" w:rsidRPr="00417538">
        <w:t>0,0%</w:t>
      </w:r>
      <w:r w:rsidRPr="00417538">
        <w:t>. W</w:t>
      </w:r>
      <w:r w:rsidR="00417538" w:rsidRPr="00417538">
        <w:t> </w:t>
      </w:r>
      <w:r w:rsidR="008D3AD7" w:rsidRPr="00417538">
        <w:t xml:space="preserve">odniesieniu do wartości nominalnej </w:t>
      </w:r>
      <w:r w:rsidR="003E7577" w:rsidRPr="00417538">
        <w:t xml:space="preserve">wszystkich </w:t>
      </w:r>
      <w:r w:rsidR="008D3AD7" w:rsidRPr="00417538">
        <w:t>wierzytelności przyjętych do obsługi w</w:t>
      </w:r>
      <w:r w:rsidR="00417538" w:rsidRPr="00417538">
        <w:t> </w:t>
      </w:r>
      <w:r w:rsidR="008D3AD7" w:rsidRPr="00417538">
        <w:t>2017 r.</w:t>
      </w:r>
      <w:r w:rsidR="00315957">
        <w:t>,</w:t>
      </w:r>
      <w:r w:rsidR="008D3AD7" w:rsidRPr="00417538">
        <w:t xml:space="preserve"> wierzytelności ko</w:t>
      </w:r>
      <w:r w:rsidR="00D7236F">
        <w:t xml:space="preserve">nsumenckie </w:t>
      </w:r>
      <w:r w:rsidR="00E029E0">
        <w:t xml:space="preserve">stanowiły </w:t>
      </w:r>
      <w:r w:rsidR="00D7236F">
        <w:t>64,3</w:t>
      </w:r>
      <w:r w:rsidR="008D3AD7" w:rsidRPr="00417538">
        <w:t>%</w:t>
      </w:r>
      <w:r w:rsidR="00417538" w:rsidRPr="00417538">
        <w:t xml:space="preserve">, </w:t>
      </w:r>
      <w:r w:rsidR="00E029E0">
        <w:t xml:space="preserve">a </w:t>
      </w:r>
      <w:r w:rsidR="00417538" w:rsidRPr="00417538">
        <w:t>ko</w:t>
      </w:r>
      <w:r w:rsidR="00D7236F">
        <w:t>rporacyjne</w:t>
      </w:r>
      <w:r w:rsidR="00417538" w:rsidRPr="00417538">
        <w:t xml:space="preserve"> – </w:t>
      </w:r>
      <w:r w:rsidR="00D7236F">
        <w:t>35,7%</w:t>
      </w:r>
      <w:r w:rsidR="00417538" w:rsidRPr="00417538">
        <w:t>.</w:t>
      </w:r>
    </w:p>
    <w:p w:rsidR="00F802BE" w:rsidRPr="00074DD8" w:rsidRDefault="0091029C" w:rsidP="00F802BE">
      <w:pPr>
        <w:pStyle w:val="Nagwek1"/>
      </w:pPr>
      <w:r>
        <w:t>Sytuacja finansowa przedsiębiorstw windykacyjnych</w:t>
      </w:r>
    </w:p>
    <w:p w:rsidR="00E029E0" w:rsidRDefault="00B3350E" w:rsidP="00F802BE">
      <w:pPr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6EFBD71" wp14:editId="7643703D">
                <wp:simplePos x="0" y="0"/>
                <wp:positionH relativeFrom="column">
                  <wp:posOffset>5213985</wp:posOffset>
                </wp:positionH>
                <wp:positionV relativeFrom="paragraph">
                  <wp:posOffset>396570</wp:posOffset>
                </wp:positionV>
                <wp:extent cx="1725295" cy="1548765"/>
                <wp:effectExtent l="0" t="0" r="0" b="0"/>
                <wp:wrapTight wrapText="bothSides">
                  <wp:wrapPolygon edited="0">
                    <wp:start x="715" y="0"/>
                    <wp:lineTo x="715" y="21255"/>
                    <wp:lineTo x="20749" y="21255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6" w:rsidRPr="00280CD3" w:rsidRDefault="00681A16" w:rsidP="00280CD3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090C27">
                              <w:t xml:space="preserve">edług stanu na koniec </w:t>
                            </w:r>
                            <w:r>
                              <w:t xml:space="preserve">2017 r. </w:t>
                            </w:r>
                            <w:r w:rsidR="00090C27">
                              <w:t>wartość aktywów</w:t>
                            </w:r>
                            <w:r w:rsidR="00840D10">
                              <w:t xml:space="preserve"> 75</w:t>
                            </w:r>
                            <w:r w:rsidR="008E05E9">
                              <w:t xml:space="preserve"> zbadanych </w:t>
                            </w:r>
                            <w:r w:rsidR="00090C27">
                              <w:t>podmiotów windykacyjnych wyniosła 9,1 mld zł</w:t>
                            </w:r>
                            <w:r>
                              <w:t>.</w:t>
                            </w:r>
                            <w:r w:rsidR="00967869">
                              <w:t xml:space="preserve">, a wartość przychodów z całokształtu działalności – </w:t>
                            </w:r>
                            <w:r w:rsidR="00186288">
                              <w:t>3,1</w:t>
                            </w:r>
                            <w:r w:rsidR="00967869">
                              <w:t> mld 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BD71" id="Pole tekstowe 16" o:spid="_x0000_s1031" type="#_x0000_t202" style="position:absolute;margin-left:410.55pt;margin-top:31.25pt;width:135.85pt;height:121.9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" filled="f" stroked="f">
                <v:textbox>
                  <w:txbxContent>
                    <w:p w:rsidR="00681A16" w:rsidRPr="00280CD3" w:rsidRDefault="00681A16" w:rsidP="00280CD3">
                      <w:pPr>
                        <w:pStyle w:val="tekstzboku"/>
                      </w:pPr>
                      <w:r>
                        <w:t>W</w:t>
                      </w:r>
                      <w:r w:rsidR="00090C27">
                        <w:t xml:space="preserve">edług stanu na koniec </w:t>
                      </w:r>
                      <w:r>
                        <w:t xml:space="preserve">2017 r. </w:t>
                      </w:r>
                      <w:r w:rsidR="00090C27">
                        <w:t>wartość aktywów</w:t>
                      </w:r>
                      <w:r w:rsidR="00840D10">
                        <w:t xml:space="preserve"> 75</w:t>
                      </w:r>
                      <w:r w:rsidR="008E05E9">
                        <w:t xml:space="preserve"> zbadanych </w:t>
                      </w:r>
                      <w:r w:rsidR="00090C27">
                        <w:t>podmiotów windykacyjnych wyniosła 9,1 mld zł</w:t>
                      </w:r>
                      <w:r>
                        <w:t>.</w:t>
                      </w:r>
                      <w:r w:rsidR="00967869">
                        <w:t xml:space="preserve">, a wartość przychodów z całokształtu działalności – </w:t>
                      </w:r>
                      <w:r w:rsidR="00186288">
                        <w:t>3,1</w:t>
                      </w:r>
                      <w:r w:rsidR="00967869">
                        <w:t> mld 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4660">
        <w:rPr>
          <w:shd w:val="clear" w:color="auto" w:fill="FFFFFF"/>
        </w:rPr>
        <w:t xml:space="preserve">Do oceny sytuacji finansowej wzięto pod uwagę podmioty zajmujące się działalnością windykacyjną w zakresie jedynym lub dominującym </w:t>
      </w:r>
      <w:r w:rsidR="006A4F14">
        <w:rPr>
          <w:shd w:val="clear" w:color="auto" w:fill="FFFFFF"/>
        </w:rPr>
        <w:t>oraz</w:t>
      </w:r>
      <w:r w:rsidR="00B54660">
        <w:rPr>
          <w:shd w:val="clear" w:color="auto" w:fill="FFFFFF"/>
        </w:rPr>
        <w:t xml:space="preserve"> </w:t>
      </w:r>
      <w:r w:rsidR="004D4C0B">
        <w:rPr>
          <w:shd w:val="clear" w:color="auto" w:fill="FFFFFF"/>
        </w:rPr>
        <w:t>jednocześnie deklarujące</w:t>
      </w:r>
      <w:r w:rsidR="00B54660">
        <w:rPr>
          <w:shd w:val="clear" w:color="auto" w:fill="FFFFFF"/>
        </w:rPr>
        <w:t xml:space="preserve"> w badaniu prowadzenie pełnej rachunkowości – 75 </w:t>
      </w:r>
      <w:r w:rsidR="006D7181">
        <w:rPr>
          <w:shd w:val="clear" w:color="auto" w:fill="FFFFFF"/>
        </w:rPr>
        <w:t>przedsiębiorstw</w:t>
      </w:r>
      <w:r w:rsidR="00B54660">
        <w:rPr>
          <w:shd w:val="clear" w:color="auto" w:fill="FFFFFF"/>
        </w:rPr>
        <w:t>.</w:t>
      </w:r>
    </w:p>
    <w:p w:rsidR="00F06762" w:rsidRDefault="00B15FBF" w:rsidP="00F06762">
      <w:pPr>
        <w:rPr>
          <w:shd w:val="clear" w:color="auto" w:fill="FFFFFF"/>
        </w:rPr>
      </w:pPr>
      <w:r w:rsidRPr="00DA59D1">
        <w:rPr>
          <w:shd w:val="clear" w:color="auto" w:fill="FFFFFF"/>
        </w:rPr>
        <w:t xml:space="preserve">Wartość aktywów </w:t>
      </w:r>
      <w:r w:rsidR="006D7181">
        <w:rPr>
          <w:shd w:val="clear" w:color="auto" w:fill="FFFFFF"/>
        </w:rPr>
        <w:t>ww.</w:t>
      </w:r>
      <w:r w:rsidR="006A4F14">
        <w:rPr>
          <w:shd w:val="clear" w:color="auto" w:fill="FFFFFF"/>
        </w:rPr>
        <w:t xml:space="preserve"> </w:t>
      </w:r>
      <w:r w:rsidR="004C5327" w:rsidRPr="00DA59D1">
        <w:rPr>
          <w:shd w:val="clear" w:color="auto" w:fill="FFFFFF"/>
        </w:rPr>
        <w:t xml:space="preserve">75 </w:t>
      </w:r>
      <w:r w:rsidRPr="00DA59D1">
        <w:rPr>
          <w:shd w:val="clear" w:color="auto" w:fill="FFFFFF"/>
        </w:rPr>
        <w:t>podmiotów wzrosła w 2017 r. w porównaniu z rokiem poprzednim o</w:t>
      </w:r>
      <w:r w:rsidR="006A4F14">
        <w:rPr>
          <w:shd w:val="clear" w:color="auto" w:fill="FFFFFF"/>
        </w:rPr>
        <w:t> </w:t>
      </w:r>
      <w:r w:rsidRPr="00DA59D1">
        <w:rPr>
          <w:shd w:val="clear" w:color="auto" w:fill="FFFFFF"/>
        </w:rPr>
        <w:t>28,</w:t>
      </w:r>
      <w:r w:rsidR="00EC1C81" w:rsidRPr="00DA59D1">
        <w:rPr>
          <w:shd w:val="clear" w:color="auto" w:fill="FFFFFF"/>
        </w:rPr>
        <w:t>5</w:t>
      </w:r>
      <w:r w:rsidRPr="00DA59D1">
        <w:rPr>
          <w:shd w:val="clear" w:color="auto" w:fill="FFFFFF"/>
        </w:rPr>
        <w:t>% do poziomu 9,1 mld zł</w:t>
      </w:r>
      <w:r w:rsidR="00090C27">
        <w:rPr>
          <w:shd w:val="clear" w:color="auto" w:fill="FFFFFF"/>
        </w:rPr>
        <w:t>.</w:t>
      </w:r>
      <w:r w:rsidR="00083E58" w:rsidRPr="00DA59D1">
        <w:rPr>
          <w:shd w:val="clear" w:color="auto" w:fill="FFFFFF"/>
        </w:rPr>
        <w:t xml:space="preserve"> </w:t>
      </w:r>
      <w:r w:rsidR="00090C27">
        <w:rPr>
          <w:shd w:val="clear" w:color="auto" w:fill="FFFFFF"/>
        </w:rPr>
        <w:t>W</w:t>
      </w:r>
      <w:r w:rsidR="00EC1C81" w:rsidRPr="00DA59D1">
        <w:rPr>
          <w:shd w:val="clear" w:color="auto" w:fill="FFFFFF"/>
        </w:rPr>
        <w:t xml:space="preserve"> 2016 </w:t>
      </w:r>
      <w:r w:rsidR="00083E58" w:rsidRPr="00DA59D1">
        <w:rPr>
          <w:shd w:val="clear" w:color="auto" w:fill="FFFFFF"/>
        </w:rPr>
        <w:t>r</w:t>
      </w:r>
      <w:r w:rsidR="00EC1C81" w:rsidRPr="00DA59D1">
        <w:rPr>
          <w:shd w:val="clear" w:color="auto" w:fill="FFFFFF"/>
        </w:rPr>
        <w:t>.</w:t>
      </w:r>
      <w:r w:rsidR="006A4F14">
        <w:rPr>
          <w:shd w:val="clear" w:color="auto" w:fill="FFFFFF"/>
        </w:rPr>
        <w:t xml:space="preserve"> </w:t>
      </w:r>
      <w:r w:rsidR="00090C27">
        <w:rPr>
          <w:shd w:val="clear" w:color="auto" w:fill="FFFFFF"/>
        </w:rPr>
        <w:t xml:space="preserve">było to </w:t>
      </w:r>
      <w:r w:rsidR="006A4F14">
        <w:rPr>
          <w:shd w:val="clear" w:color="auto" w:fill="FFFFFF"/>
        </w:rPr>
        <w:t>7,1 mld zł</w:t>
      </w:r>
      <w:r w:rsidR="00FC589E">
        <w:rPr>
          <w:shd w:val="clear" w:color="auto" w:fill="FFFFFF"/>
        </w:rPr>
        <w:t xml:space="preserve">. </w:t>
      </w:r>
      <w:r w:rsidR="00F92EB0">
        <w:rPr>
          <w:shd w:val="clear" w:color="auto" w:fill="FFFFFF"/>
        </w:rPr>
        <w:t>Wśród podmiotów prowadzących działalność windykacyjną w jedynym zakresie, wartość ich aktywów na koniec 2017 r. wyniosła 5,9 mld zł, a dla podmiotów o zakresie działalności windykacyjnej dominującym – 3,3 mld zł.</w:t>
      </w:r>
    </w:p>
    <w:p w:rsidR="00FC589E" w:rsidRPr="00DA59D1" w:rsidRDefault="00FC589E" w:rsidP="00F06762">
      <w:pPr>
        <w:rPr>
          <w:shd w:val="clear" w:color="auto" w:fill="FFFFFF"/>
        </w:rPr>
      </w:pPr>
      <w:r w:rsidRPr="00DA59D1">
        <w:rPr>
          <w:shd w:val="clear" w:color="auto" w:fill="FFFFFF"/>
        </w:rPr>
        <w:t xml:space="preserve">Wybrane pod względem wielkości elementy aktywów </w:t>
      </w:r>
      <w:r w:rsidR="003C0A77">
        <w:rPr>
          <w:shd w:val="clear" w:color="auto" w:fill="FFFFFF"/>
        </w:rPr>
        <w:t xml:space="preserve">75 </w:t>
      </w:r>
      <w:r w:rsidRPr="00DA59D1">
        <w:rPr>
          <w:shd w:val="clear" w:color="auto" w:fill="FFFFFF"/>
        </w:rPr>
        <w:t>podmiotów windykacyjnych w 2017 r. to: aktywa trwałe (7,1 mld zł), w tym inwestycje długoterminowe (6,4 mld zł) oraz aktywa obrotowe (2,0 mld zł).</w:t>
      </w:r>
    </w:p>
    <w:p w:rsidR="0091029C" w:rsidRDefault="00B3350E" w:rsidP="00F06762"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36FD1417" wp14:editId="25F884E2">
                <wp:simplePos x="0" y="0"/>
                <wp:positionH relativeFrom="column">
                  <wp:posOffset>5215255</wp:posOffset>
                </wp:positionH>
                <wp:positionV relativeFrom="paragraph">
                  <wp:posOffset>549605</wp:posOffset>
                </wp:positionV>
                <wp:extent cx="1725295" cy="1243330"/>
                <wp:effectExtent l="0" t="0" r="0" b="0"/>
                <wp:wrapTight wrapText="bothSides">
                  <wp:wrapPolygon edited="0">
                    <wp:start x="715" y="0"/>
                    <wp:lineTo x="715" y="21181"/>
                    <wp:lineTo x="20749" y="21181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CC" w:rsidRPr="00280CD3" w:rsidRDefault="00673DCC" w:rsidP="00673DCC">
                            <w:pPr>
                              <w:pStyle w:val="tekstzboku"/>
                            </w:pPr>
                            <w:r>
                              <w:t>Koszty działalności operacyjnej podmiotów na koniec 2017 r. wyniosły 2,4 mld zł</w:t>
                            </w:r>
                            <w:r w:rsidR="005664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1417" id="Pole tekstowe 14" o:spid="_x0000_s1032" type="#_x0000_t202" style="position:absolute;margin-left:410.65pt;margin-top:43.3pt;width:135.85pt;height:97.9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" filled="f" stroked="f">
                <v:textbox>
                  <w:txbxContent>
                    <w:p w:rsidR="00673DCC" w:rsidRPr="00280CD3" w:rsidRDefault="00673DCC" w:rsidP="00673DCC">
                      <w:pPr>
                        <w:pStyle w:val="tekstzboku"/>
                      </w:pPr>
                      <w:r>
                        <w:t>Koszty działalności operacyjnej podmiotów na koniec 2017 r. wyniosły 2,4 mld zł</w:t>
                      </w:r>
                      <w:r w:rsidR="0056640D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6762" w:rsidRPr="00DA59D1">
        <w:rPr>
          <w:shd w:val="clear" w:color="auto" w:fill="FFFFFF"/>
        </w:rPr>
        <w:t>W 2017 r. zm</w:t>
      </w:r>
      <w:r w:rsidR="00EC1C81" w:rsidRPr="00DA59D1">
        <w:rPr>
          <w:shd w:val="clear" w:color="auto" w:fill="FFFFFF"/>
        </w:rPr>
        <w:t xml:space="preserve">niejszyła się </w:t>
      </w:r>
      <w:r w:rsidR="00F603CF" w:rsidRPr="00DA59D1">
        <w:rPr>
          <w:shd w:val="clear" w:color="auto" w:fill="FFFFFF"/>
        </w:rPr>
        <w:t xml:space="preserve">w porównaniu z rokiem poprzednim </w:t>
      </w:r>
      <w:r w:rsidR="00F06762" w:rsidRPr="00DA59D1">
        <w:rPr>
          <w:shd w:val="clear" w:color="auto" w:fill="FFFFFF"/>
        </w:rPr>
        <w:t xml:space="preserve">wartość kapitału (funduszu) własnego </w:t>
      </w:r>
      <w:r w:rsidR="006A4F14">
        <w:rPr>
          <w:shd w:val="clear" w:color="auto" w:fill="FFFFFF"/>
        </w:rPr>
        <w:t xml:space="preserve">ww. </w:t>
      </w:r>
      <w:r w:rsidR="00F06762" w:rsidRPr="00DA59D1">
        <w:rPr>
          <w:shd w:val="clear" w:color="auto" w:fill="FFFFFF"/>
        </w:rPr>
        <w:t xml:space="preserve">podmiotów </w:t>
      </w:r>
      <w:r w:rsidR="006A4F14">
        <w:rPr>
          <w:shd w:val="clear" w:color="auto" w:fill="FFFFFF"/>
        </w:rPr>
        <w:t xml:space="preserve">– </w:t>
      </w:r>
      <w:r w:rsidR="00F06762" w:rsidRPr="00DA59D1">
        <w:rPr>
          <w:shd w:val="clear" w:color="auto" w:fill="FFFFFF"/>
        </w:rPr>
        <w:t>z</w:t>
      </w:r>
      <w:r w:rsidR="00E50A8F" w:rsidRPr="00DA59D1">
        <w:rPr>
          <w:shd w:val="clear" w:color="auto" w:fill="FFFFFF"/>
        </w:rPr>
        <w:t> </w:t>
      </w:r>
      <w:r w:rsidR="00F06762" w:rsidRPr="00DA59D1">
        <w:rPr>
          <w:shd w:val="clear" w:color="auto" w:fill="FFFFFF"/>
        </w:rPr>
        <w:t>2,0 </w:t>
      </w:r>
      <w:r w:rsidR="00F06762" w:rsidRPr="00DA59D1">
        <w:t>mld zł do 1,1</w:t>
      </w:r>
      <w:r w:rsidR="00791B63" w:rsidRPr="00DA59D1">
        <w:t xml:space="preserve"> </w:t>
      </w:r>
      <w:r w:rsidR="00F06762" w:rsidRPr="00DA59D1">
        <w:t>mld zł, wzrosła wartość zobowiązań i rezerw na</w:t>
      </w:r>
      <w:r w:rsidR="00650421">
        <w:t> </w:t>
      </w:r>
      <w:r w:rsidR="00F06762" w:rsidRPr="00DA59D1">
        <w:t xml:space="preserve">zobowiązania </w:t>
      </w:r>
      <w:r w:rsidR="00A03BB8">
        <w:t xml:space="preserve">– </w:t>
      </w:r>
      <w:r w:rsidR="006A4F14">
        <w:t xml:space="preserve">z 5,1 mld zł </w:t>
      </w:r>
      <w:r w:rsidR="00F06762" w:rsidRPr="00DA59D1">
        <w:t>do 8,0 mld zł, w tym</w:t>
      </w:r>
      <w:r w:rsidR="009829AB">
        <w:t>:</w:t>
      </w:r>
      <w:r w:rsidR="00F06762" w:rsidRPr="00DA59D1">
        <w:t xml:space="preserve"> zobowiązań krótkoterminowych </w:t>
      </w:r>
      <w:r w:rsidR="00795508" w:rsidRPr="00DA59D1">
        <w:t>z</w:t>
      </w:r>
      <w:r w:rsidR="00AC57BE">
        <w:t> </w:t>
      </w:r>
      <w:r w:rsidR="009829AB">
        <w:t xml:space="preserve">1,8 mld zł do 3,7 mld zł, a zobowiązań długoterminowych </w:t>
      </w:r>
      <w:r w:rsidR="004D4C0B">
        <w:t>z 2,8 mld zł do 3,6 mld zł.</w:t>
      </w:r>
    </w:p>
    <w:p w:rsidR="00F92EB0" w:rsidRDefault="00F92EB0" w:rsidP="00F06762">
      <w:r>
        <w:t xml:space="preserve">Na koniec 2017 r. przychody z całokształtu </w:t>
      </w:r>
      <w:r w:rsidR="00967869">
        <w:t>działalności</w:t>
      </w:r>
      <w:r>
        <w:t xml:space="preserve"> badanych 75 przedsiębiorstw wyniosły ogółem </w:t>
      </w:r>
      <w:r w:rsidR="00186288">
        <w:t>3,1</w:t>
      </w:r>
      <w:r>
        <w:t xml:space="preserve"> mld zł, a w roku poprzednim – </w:t>
      </w:r>
      <w:r w:rsidR="00186288">
        <w:t>2,5</w:t>
      </w:r>
      <w:r>
        <w:t> mld zł.</w:t>
      </w:r>
      <w:r w:rsidR="00186288">
        <w:t xml:space="preserve"> Wzrosły również w omawianym okresie przychody netto ze sprzedaży z 1,9 mld zł do 2,0 mld zł. Wzrosły koszty działalności operacyjnej podmiotów, w tym zwłaszcza pozostałe koszty operacyjne: 1,0 mld zł wobec 54,6 mln zł w</w:t>
      </w:r>
      <w:r w:rsidR="00650421">
        <w:t> </w:t>
      </w:r>
      <w:r w:rsidR="00186288">
        <w:t>2016</w:t>
      </w:r>
      <w:r w:rsidR="00673DCC">
        <w:t xml:space="preserve"> r. </w:t>
      </w:r>
      <w:r w:rsidR="00682B42">
        <w:t>K</w:t>
      </w:r>
      <w:r w:rsidR="00673DCC">
        <w:t xml:space="preserve">oszty działalności operacyjnej </w:t>
      </w:r>
      <w:r w:rsidR="00650421">
        <w:t>wzr</w:t>
      </w:r>
      <w:r w:rsidR="00673DCC">
        <w:t xml:space="preserve">osły w tym okresie w przedsiębiorstwach prowadzących działalność windykacyjną w zakresie jedynym – z 1,2 mld zł do 1,3 mld zł, a </w:t>
      </w:r>
      <w:r w:rsidR="00650421">
        <w:t xml:space="preserve">w zakresie </w:t>
      </w:r>
      <w:r w:rsidR="00673DCC">
        <w:t>dominującym – z 0,7 mld zł do poziomu 1,1 mld zł na koniec 2017 r.</w:t>
      </w:r>
    </w:p>
    <w:p w:rsidR="003C0A77" w:rsidRPr="00DA59D1" w:rsidRDefault="003C0A77" w:rsidP="00F06762">
      <w:r>
        <w:t xml:space="preserve">Spośród 75 badanych przedsiębiorstw, 50 wypracowało w 2017 r. zysk netto, a </w:t>
      </w:r>
      <w:r w:rsidR="00AF7C96">
        <w:t xml:space="preserve">dla </w:t>
      </w:r>
      <w:r>
        <w:t>25</w:t>
      </w:r>
      <w:r w:rsidR="00AF7C96">
        <w:t xml:space="preserve"> firm podany </w:t>
      </w:r>
      <w:r w:rsidR="006256F8">
        <w:t>rok</w:t>
      </w:r>
      <w:r w:rsidR="00AF7C96">
        <w:t xml:space="preserve"> zakończył się stratą netto</w:t>
      </w:r>
      <w:r>
        <w:t>.</w:t>
      </w:r>
    </w:p>
    <w:p w:rsidR="00694AF0" w:rsidRDefault="00694AF0" w:rsidP="00E76D26">
      <w:pPr>
        <w:rPr>
          <w:sz w:val="18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0470AA" w:rsidRPr="008F3638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D488D">
              <w:rPr>
                <w:rFonts w:cs="Arial"/>
                <w:b/>
                <w:color w:val="000000" w:themeColor="text1"/>
                <w:sz w:val="20"/>
              </w:rPr>
              <w:t>Studiów Makroekonomicznych i Finansów</w:t>
            </w:r>
          </w:p>
          <w:p w:rsidR="000470AA" w:rsidRPr="00BB4F09" w:rsidRDefault="00154870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Jacek </w:t>
            </w:r>
            <w:r w:rsidRPr="00154870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l-GR"/>
              </w:rPr>
              <w:t>Radziw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l-GR"/>
              </w:rPr>
              <w:t>ο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n</w:t>
            </w:r>
            <w:r w:rsidRPr="00154870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l-GR"/>
              </w:rPr>
              <w:t>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310C7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D488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310C7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D488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33</w:t>
            </w:r>
            <w:r w:rsidR="00310C7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D488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39</w:t>
            </w:r>
          </w:p>
          <w:p w:rsidR="000470AA" w:rsidRPr="008F3638" w:rsidRDefault="000470AA" w:rsidP="000D488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="000D488D" w:rsidRPr="007B6B1A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j.radziwonka@stat.gov.pl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Default="000470AA" w:rsidP="000470AA">
      <w:pPr>
        <w:rPr>
          <w:sz w:val="20"/>
        </w:rPr>
      </w:pPr>
    </w:p>
    <w:p w:rsidR="000470AA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>faks:</w:t>
            </w:r>
            <w:r w:rsidR="00097840">
              <w:rPr>
                <w:sz w:val="20"/>
              </w:rPr>
              <w:t xml:space="preserve"> 22</w:t>
            </w:r>
            <w:r w:rsidRPr="00C91687">
              <w:rPr>
                <w:sz w:val="20"/>
              </w:rPr>
              <w:t xml:space="preserve"> 608 38 86 </w:t>
            </w:r>
          </w:p>
          <w:p w:rsidR="000470AA" w:rsidRDefault="000470AA" w:rsidP="000470AA">
            <w:pPr>
              <w:rPr>
                <w:sz w:val="18"/>
              </w:rPr>
            </w:pPr>
            <w:r w:rsidRPr="00C91687">
              <w:rPr>
                <w:b/>
                <w:sz w:val="20"/>
              </w:rPr>
              <w:t>e-mail:</w:t>
            </w:r>
            <w:r w:rsidRPr="00C91687">
              <w:rPr>
                <w:sz w:val="20"/>
              </w:rPr>
              <w:t xml:space="preserve"> </w:t>
            </w:r>
            <w:hyperlink r:id="rId20" w:history="1">
              <w:r w:rsidRPr="00C91687">
                <w:rPr>
                  <w:rStyle w:val="Hipercze"/>
                  <w:rFonts w:cstheme="minorBidi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27642D2" wp14:editId="0DEE24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3FDA3F3" wp14:editId="3487608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488E8D7B" wp14:editId="1FD6863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0760B1" wp14:editId="10151D9A">
                <wp:simplePos x="0" y="0"/>
                <wp:positionH relativeFrom="margin">
                  <wp:posOffset>17780</wp:posOffset>
                </wp:positionH>
                <wp:positionV relativeFrom="paragraph">
                  <wp:posOffset>425450</wp:posOffset>
                </wp:positionV>
                <wp:extent cx="6559550" cy="2750185"/>
                <wp:effectExtent l="0" t="0" r="12700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5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6" w:rsidRDefault="00681A16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681A16" w:rsidRDefault="00681A16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:rsidR="00681A16" w:rsidRPr="002A7D55" w:rsidRDefault="00F11DD8" w:rsidP="00AB6D25">
                            <w:pPr>
                              <w:rPr>
                                <w:rStyle w:val="Hipercze"/>
                                <w:rFonts w:cs="Arial"/>
                                <w:szCs w:val="19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681A16" w:rsidRPr="002A7D55">
                                <w:rPr>
                                  <w:rStyle w:val="Hipercze"/>
                                  <w:rFonts w:cs="Arial"/>
                                  <w:szCs w:val="19"/>
                                  <w:shd w:val="clear" w:color="auto" w:fill="F0F0F0"/>
                                </w:rPr>
                                <w:t>Wyspecjalizowane segmenty rynku finansowego w 2016 r.</w:t>
                              </w:r>
                            </w:hyperlink>
                          </w:p>
                          <w:p w:rsidR="00681A16" w:rsidRDefault="00681A1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810F6" w:rsidRPr="009810F6" w:rsidRDefault="009810F6" w:rsidP="00AB6D2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81A16" w:rsidRDefault="00681A1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94AC6" w:rsidRPr="009810F6" w:rsidRDefault="00F11DD8" w:rsidP="00794AC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25" w:history="1">
                              <w:r w:rsidR="00794AC6" w:rsidRPr="00794AC6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Firma windykacyjna</w:t>
                              </w:r>
                            </w:hyperlink>
                          </w:p>
                          <w:p w:rsidR="009810F6" w:rsidRPr="009810F6" w:rsidRDefault="009810F6" w:rsidP="009810F6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instrText xml:space="preserve"> HYPERLINK "https://stat.gov.pl/metainformacje/slownik-pojec/pojecia-stosowane-w-statystyce-publicznej/1532,pojecie.html" \o "Fundusz sekurytyzacyjny" </w:instrTex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Fun</w:t>
                            </w:r>
                            <w:r w:rsidRPr="009810F6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usz sekurytyzacyjny</w:t>
                            </w:r>
                          </w:p>
                          <w:p w:rsidR="00681A16" w:rsidRPr="009810F6" w:rsidRDefault="009810F6" w:rsidP="00AB6D2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60B1" id="_x0000_s1033" type="#_x0000_t202" style="position:absolute;margin-left:1.4pt;margin-top:33.5pt;width:516.5pt;height:216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" fillcolor="#f2f2f2 [3052]" strokecolor="white [3212]">
                <v:textbox>
                  <w:txbxContent>
                    <w:p w:rsidR="00681A16" w:rsidRDefault="00681A16" w:rsidP="00AB6D25">
                      <w:pPr>
                        <w:rPr>
                          <w:b/>
                        </w:rPr>
                      </w:pPr>
                    </w:p>
                    <w:p w:rsidR="00681A16" w:rsidRDefault="00681A16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:rsidR="00681A16" w:rsidRPr="002A7D55" w:rsidRDefault="00F11DD8" w:rsidP="00AB6D25">
                      <w:pPr>
                        <w:rPr>
                          <w:rStyle w:val="Hipercze"/>
                          <w:rFonts w:cs="Arial"/>
                          <w:szCs w:val="19"/>
                          <w:shd w:val="clear" w:color="auto" w:fill="F0F0F0"/>
                        </w:rPr>
                      </w:pPr>
                      <w:hyperlink r:id="rId26" w:history="1">
                        <w:r w:rsidR="00681A16" w:rsidRPr="002A7D55">
                          <w:rPr>
                            <w:rStyle w:val="Hipercze"/>
                            <w:rFonts w:cs="Arial"/>
                            <w:szCs w:val="19"/>
                            <w:shd w:val="clear" w:color="auto" w:fill="F0F0F0"/>
                          </w:rPr>
                          <w:t>Wyspecjalizowane segmenty rynku finansowego w 2016 r.</w:t>
                        </w:r>
                      </w:hyperlink>
                    </w:p>
                    <w:p w:rsidR="00681A16" w:rsidRDefault="00681A1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810F6" w:rsidRPr="009810F6" w:rsidRDefault="009810F6" w:rsidP="00AB6D25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681A16" w:rsidRDefault="00681A1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794AC6" w:rsidRPr="009810F6" w:rsidRDefault="00F11DD8" w:rsidP="00794AC6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27" w:history="1">
                        <w:r w:rsidR="00794AC6" w:rsidRPr="00794AC6">
                          <w:rPr>
                            <w:rStyle w:val="Hipercze"/>
                            <w:rFonts w:cstheme="minorBidi"/>
                            <w:szCs w:val="24"/>
                          </w:rPr>
                          <w:t>Firma windykacyjna</w:t>
                        </w:r>
                      </w:hyperlink>
                    </w:p>
                    <w:p w:rsidR="009810F6" w:rsidRPr="009810F6" w:rsidRDefault="009810F6" w:rsidP="009810F6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Cs w:val="24"/>
                        </w:rPr>
                        <w:instrText xml:space="preserve"> HYPERLINK "https://stat.gov.pl/metainformacje/slownik-pojec/pojecia-stosowane-w-statystyce-publicznej/1532,pojecie.html" \o "Fundusz sekurytyzacyjny" </w:instrText>
                      </w:r>
                      <w:r>
                        <w:rPr>
                          <w:color w:val="000000" w:themeColor="text1"/>
                          <w:szCs w:val="24"/>
                        </w:rPr>
                        <w:fldChar w:fldCharType="separate"/>
                      </w:r>
                      <w:r>
                        <w:rPr>
                          <w:rStyle w:val="Hipercze"/>
                          <w:rFonts w:cstheme="minorBidi"/>
                          <w:szCs w:val="24"/>
                        </w:rPr>
                        <w:t>Fun</w:t>
                      </w:r>
                      <w:r w:rsidRPr="009810F6">
                        <w:rPr>
                          <w:rStyle w:val="Hipercze"/>
                          <w:rFonts w:cstheme="minorBidi"/>
                          <w:szCs w:val="24"/>
                        </w:rPr>
                        <w:t>d</w:t>
                      </w:r>
                      <w:r>
                        <w:rPr>
                          <w:rStyle w:val="Hipercze"/>
                          <w:rFonts w:cstheme="minorBidi"/>
                          <w:szCs w:val="24"/>
                        </w:rPr>
                        <w:t>usz sekurytyzacyjny</w:t>
                      </w:r>
                    </w:p>
                    <w:p w:rsidR="00681A16" w:rsidRPr="009810F6" w:rsidRDefault="009810F6" w:rsidP="00AB6D25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28"/>
      <w:footerReference w:type="default" r:id="rId2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D8" w:rsidRDefault="00F11DD8" w:rsidP="000662E2">
      <w:pPr>
        <w:spacing w:after="0" w:line="240" w:lineRule="auto"/>
      </w:pPr>
      <w:r>
        <w:separator/>
      </w:r>
    </w:p>
  </w:endnote>
  <w:endnote w:type="continuationSeparator" w:id="0">
    <w:p w:rsidR="00F11DD8" w:rsidRDefault="00F11DD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681A16" w:rsidRDefault="00681A1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4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681A16" w:rsidRDefault="00681A1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D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681A16" w:rsidRDefault="00681A1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D8" w:rsidRDefault="00F11DD8" w:rsidP="000662E2">
      <w:pPr>
        <w:spacing w:after="0" w:line="240" w:lineRule="auto"/>
      </w:pPr>
      <w:r>
        <w:separator/>
      </w:r>
    </w:p>
  </w:footnote>
  <w:footnote w:type="continuationSeparator" w:id="0">
    <w:p w:rsidR="00F11DD8" w:rsidRDefault="00F11DD8" w:rsidP="000662E2">
      <w:pPr>
        <w:spacing w:after="0" w:line="240" w:lineRule="auto"/>
      </w:pPr>
      <w:r>
        <w:continuationSeparator/>
      </w:r>
    </w:p>
  </w:footnote>
  <w:footnote w:id="1">
    <w:p w:rsidR="00681A16" w:rsidRPr="00AF64FB" w:rsidRDefault="00681A1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64FB">
        <w:rPr>
          <w:sz w:val="14"/>
          <w:szCs w:val="14"/>
        </w:rPr>
        <w:t xml:space="preserve">Informację </w:t>
      </w:r>
      <w:r>
        <w:rPr>
          <w:sz w:val="14"/>
          <w:szCs w:val="14"/>
        </w:rPr>
        <w:t xml:space="preserve">opracowano na podstawie prowadzonego od 2006 r. przez Główny Urząd Statystyczny badania działalności przedsiębiorstw finansowych, które w ostatniej edycji zostało uzupełnione o </w:t>
      </w:r>
      <w:r w:rsidR="00713155">
        <w:rPr>
          <w:sz w:val="14"/>
          <w:szCs w:val="14"/>
        </w:rPr>
        <w:t>badanie</w:t>
      </w:r>
      <w:r>
        <w:rPr>
          <w:sz w:val="14"/>
          <w:szCs w:val="14"/>
        </w:rPr>
        <w:t xml:space="preserve"> podmiotów prowadzących działalność windykacyjną w obszarze zarządzania wierzytelnościami.</w:t>
      </w:r>
    </w:p>
  </w:footnote>
  <w:footnote w:id="2">
    <w:p w:rsidR="0015663C" w:rsidRDefault="0015663C" w:rsidP="001566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5A45">
        <w:rPr>
          <w:sz w:val="14"/>
          <w:szCs w:val="14"/>
        </w:rPr>
        <w:t xml:space="preserve">Dotyczy </w:t>
      </w:r>
      <w:r>
        <w:rPr>
          <w:sz w:val="14"/>
          <w:szCs w:val="14"/>
        </w:rPr>
        <w:t>spraw obsługiwanych w</w:t>
      </w:r>
      <w:r w:rsidRPr="00AB5A45">
        <w:rPr>
          <w:sz w:val="14"/>
          <w:szCs w:val="14"/>
        </w:rPr>
        <w:t xml:space="preserve"> ciągu 2017 r.</w:t>
      </w:r>
      <w:r>
        <w:rPr>
          <w:sz w:val="14"/>
          <w:szCs w:val="14"/>
        </w:rPr>
        <w:t>, które wpływały w danym roku i w latach poprzednich, przy czym sprawy powracające do obsługi były liczone oddzielnie.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16" w:rsidRDefault="00681A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DB22D9" wp14:editId="6CD4B6C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398D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16" w:rsidRDefault="00DF0FEB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16A5E6" wp14:editId="53E7465D">
              <wp:simplePos x="0" y="0"/>
              <wp:positionH relativeFrom="column">
                <wp:posOffset>5224780</wp:posOffset>
              </wp:positionH>
              <wp:positionV relativeFrom="paragraph">
                <wp:posOffset>200050</wp:posOffset>
              </wp:positionV>
              <wp:extent cx="1871980" cy="2290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915F7" id="Prostokąt 10" o:spid="_x0000_s1026" style="position:absolute;margin-left:411.4pt;margin-top:15.75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HVolfnkAAAADAEAAA8AAABkcnMvZG93bnJl&#10;di54bWxMj0FPg0AQhe8m/ofNNPFmF2hEgiyNUUlMvGgr0d627BRI2VlktxT99W5P7XHevLz3vWw5&#10;6Y6NONjWkIBwHgBDqoxqqRbwuS5uE2DWSVKyM4QCftHCMr++ymSqzJE+cFy5mvkQsqkU0DjXp5zb&#10;qkEt7dz0SP63M4OWzp9DzdUgjz5cdzwKgphr2ZJvaGSPTw1W+9VBCzCbcf2mimJfln/PX+/Jy3f5&#10;s3kV4mY2PT4Aczi5sxlO+B4dcs+0NQdSlnUCkijy6E7AIrwDdjKE4X0MbOuVeJHEwPOMX47I/wE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B1aJX55AAAAAwBAAAPAAAAAAAAAAAAAAAA&#10;APcEAABkcnMvZG93bnJldi54bWxQSwUGAAAAAAQABADzAAAACAYAAAAA&#10;" fillcolor="#f2f2f2" stroked="f" strokeweight="1pt"/>
          </w:pict>
        </mc:Fallback>
      </mc:AlternateContent>
    </w:r>
    <w:r w:rsidR="00681A16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CE4BE7" wp14:editId="5242B49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A16" w:rsidRPr="003C6C8D" w:rsidRDefault="00681A1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E4BE7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81A16" w:rsidRPr="003C6C8D" w:rsidRDefault="00681A1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681A16">
      <w:rPr>
        <w:noProof/>
        <w:lang w:eastAsia="pl-PL"/>
      </w:rPr>
      <w:drawing>
        <wp:inline distT="0" distB="0" distL="0" distR="0" wp14:anchorId="6A834782" wp14:editId="495B2B61">
          <wp:extent cx="2128349" cy="720000"/>
          <wp:effectExtent l="0" t="0" r="571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34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A16" w:rsidRDefault="00681A16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9C0A52" wp14:editId="0244BCB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A16" w:rsidRPr="00C97596" w:rsidRDefault="00681A1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04.09.2018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0A5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681A16" w:rsidRPr="00C97596" w:rsidRDefault="00681A1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04.09.2018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16" w:rsidRDefault="00681A16">
    <w:pPr>
      <w:pStyle w:val="Nagwek"/>
    </w:pPr>
  </w:p>
  <w:p w:rsidR="00681A16" w:rsidRDefault="00681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5pt;height:125.35pt;visibility:visible" o:bullet="t">
        <v:imagedata r:id="rId1" o:title=""/>
      </v:shape>
    </w:pict>
  </w:numPicBullet>
  <w:numPicBullet w:numPicBulletId="1">
    <w:pict>
      <v:shape id="_x0000_i1029" type="#_x0000_t75" style="width:123.65pt;height:125.3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07E8F"/>
    <w:rsid w:val="00010406"/>
    <w:rsid w:val="000108B8"/>
    <w:rsid w:val="00010CD2"/>
    <w:rsid w:val="000113F8"/>
    <w:rsid w:val="000152F5"/>
    <w:rsid w:val="00015AD9"/>
    <w:rsid w:val="0002203E"/>
    <w:rsid w:val="00032CC9"/>
    <w:rsid w:val="00035F42"/>
    <w:rsid w:val="000416F2"/>
    <w:rsid w:val="00041AD8"/>
    <w:rsid w:val="0004582E"/>
    <w:rsid w:val="000470AA"/>
    <w:rsid w:val="00051B4D"/>
    <w:rsid w:val="00052F78"/>
    <w:rsid w:val="00057CA1"/>
    <w:rsid w:val="0006012D"/>
    <w:rsid w:val="00065008"/>
    <w:rsid w:val="000662E2"/>
    <w:rsid w:val="00066883"/>
    <w:rsid w:val="00067AD1"/>
    <w:rsid w:val="000733AE"/>
    <w:rsid w:val="00074DD8"/>
    <w:rsid w:val="000806F7"/>
    <w:rsid w:val="00083E58"/>
    <w:rsid w:val="0008528B"/>
    <w:rsid w:val="00090C27"/>
    <w:rsid w:val="00091A6D"/>
    <w:rsid w:val="00095E4B"/>
    <w:rsid w:val="00096E20"/>
    <w:rsid w:val="00097840"/>
    <w:rsid w:val="000B0727"/>
    <w:rsid w:val="000C0557"/>
    <w:rsid w:val="000C135D"/>
    <w:rsid w:val="000C29A3"/>
    <w:rsid w:val="000C520B"/>
    <w:rsid w:val="000C62CD"/>
    <w:rsid w:val="000D13C1"/>
    <w:rsid w:val="000D1D43"/>
    <w:rsid w:val="000D225C"/>
    <w:rsid w:val="000D2A5C"/>
    <w:rsid w:val="000D488D"/>
    <w:rsid w:val="000D4F41"/>
    <w:rsid w:val="000E0918"/>
    <w:rsid w:val="000E2522"/>
    <w:rsid w:val="000E2A2B"/>
    <w:rsid w:val="000E3CC1"/>
    <w:rsid w:val="000E5540"/>
    <w:rsid w:val="000F06D3"/>
    <w:rsid w:val="000F2BC3"/>
    <w:rsid w:val="000F7881"/>
    <w:rsid w:val="001011C3"/>
    <w:rsid w:val="00110D87"/>
    <w:rsid w:val="00114DB9"/>
    <w:rsid w:val="00116087"/>
    <w:rsid w:val="00120BC4"/>
    <w:rsid w:val="00130296"/>
    <w:rsid w:val="00131D56"/>
    <w:rsid w:val="001363C1"/>
    <w:rsid w:val="00136D4B"/>
    <w:rsid w:val="001373EF"/>
    <w:rsid w:val="001423B6"/>
    <w:rsid w:val="001448A7"/>
    <w:rsid w:val="00146621"/>
    <w:rsid w:val="00146E8D"/>
    <w:rsid w:val="00154870"/>
    <w:rsid w:val="0015663C"/>
    <w:rsid w:val="00156710"/>
    <w:rsid w:val="00160523"/>
    <w:rsid w:val="00162325"/>
    <w:rsid w:val="001660A8"/>
    <w:rsid w:val="00175FF4"/>
    <w:rsid w:val="00184B67"/>
    <w:rsid w:val="00186288"/>
    <w:rsid w:val="001951DA"/>
    <w:rsid w:val="001960C3"/>
    <w:rsid w:val="00196F3F"/>
    <w:rsid w:val="001A4BAE"/>
    <w:rsid w:val="001A5156"/>
    <w:rsid w:val="001A6413"/>
    <w:rsid w:val="001C19B2"/>
    <w:rsid w:val="001C3269"/>
    <w:rsid w:val="001C73C7"/>
    <w:rsid w:val="001D1DB4"/>
    <w:rsid w:val="001E5667"/>
    <w:rsid w:val="001F69B8"/>
    <w:rsid w:val="00200B44"/>
    <w:rsid w:val="00204576"/>
    <w:rsid w:val="00204DA3"/>
    <w:rsid w:val="0021113A"/>
    <w:rsid w:val="002166BE"/>
    <w:rsid w:val="00216F6B"/>
    <w:rsid w:val="00220C7A"/>
    <w:rsid w:val="0023139B"/>
    <w:rsid w:val="0024362F"/>
    <w:rsid w:val="00254C76"/>
    <w:rsid w:val="00256B8A"/>
    <w:rsid w:val="002574F9"/>
    <w:rsid w:val="00262B61"/>
    <w:rsid w:val="00262B72"/>
    <w:rsid w:val="00271455"/>
    <w:rsid w:val="00276811"/>
    <w:rsid w:val="00280CD3"/>
    <w:rsid w:val="00282699"/>
    <w:rsid w:val="00291D1B"/>
    <w:rsid w:val="002926DF"/>
    <w:rsid w:val="0029657B"/>
    <w:rsid w:val="00296697"/>
    <w:rsid w:val="002A7D55"/>
    <w:rsid w:val="002B0472"/>
    <w:rsid w:val="002B6B12"/>
    <w:rsid w:val="002B7072"/>
    <w:rsid w:val="002C5346"/>
    <w:rsid w:val="002D1826"/>
    <w:rsid w:val="002D4A6A"/>
    <w:rsid w:val="002E6140"/>
    <w:rsid w:val="002E6985"/>
    <w:rsid w:val="002E71B6"/>
    <w:rsid w:val="002E7681"/>
    <w:rsid w:val="002F03D9"/>
    <w:rsid w:val="002F3A94"/>
    <w:rsid w:val="002F493E"/>
    <w:rsid w:val="002F4C2F"/>
    <w:rsid w:val="002F4C59"/>
    <w:rsid w:val="002F77C8"/>
    <w:rsid w:val="00301BB9"/>
    <w:rsid w:val="00302484"/>
    <w:rsid w:val="00302CD5"/>
    <w:rsid w:val="0030355B"/>
    <w:rsid w:val="00304F22"/>
    <w:rsid w:val="00306C7C"/>
    <w:rsid w:val="00310C7E"/>
    <w:rsid w:val="00313375"/>
    <w:rsid w:val="00315957"/>
    <w:rsid w:val="00322EDD"/>
    <w:rsid w:val="00325EE3"/>
    <w:rsid w:val="003272E9"/>
    <w:rsid w:val="00332320"/>
    <w:rsid w:val="00332FAE"/>
    <w:rsid w:val="00344F0E"/>
    <w:rsid w:val="003454FC"/>
    <w:rsid w:val="00347CDF"/>
    <w:rsid w:val="00347D72"/>
    <w:rsid w:val="003500B3"/>
    <w:rsid w:val="00357611"/>
    <w:rsid w:val="00364AEB"/>
    <w:rsid w:val="00367237"/>
    <w:rsid w:val="0037077F"/>
    <w:rsid w:val="00372411"/>
    <w:rsid w:val="00373882"/>
    <w:rsid w:val="00373EFE"/>
    <w:rsid w:val="003771E9"/>
    <w:rsid w:val="003843DB"/>
    <w:rsid w:val="00386B7B"/>
    <w:rsid w:val="00392766"/>
    <w:rsid w:val="00393761"/>
    <w:rsid w:val="00397D18"/>
    <w:rsid w:val="003A0377"/>
    <w:rsid w:val="003A1B36"/>
    <w:rsid w:val="003A31D8"/>
    <w:rsid w:val="003A5D7A"/>
    <w:rsid w:val="003B12F3"/>
    <w:rsid w:val="003B1454"/>
    <w:rsid w:val="003B18B6"/>
    <w:rsid w:val="003B1BAB"/>
    <w:rsid w:val="003B3655"/>
    <w:rsid w:val="003B5943"/>
    <w:rsid w:val="003C0A77"/>
    <w:rsid w:val="003C4FF8"/>
    <w:rsid w:val="003C59E0"/>
    <w:rsid w:val="003C6C8D"/>
    <w:rsid w:val="003D1EE2"/>
    <w:rsid w:val="003D48A1"/>
    <w:rsid w:val="003D4F95"/>
    <w:rsid w:val="003D5F42"/>
    <w:rsid w:val="003D60A9"/>
    <w:rsid w:val="003E291B"/>
    <w:rsid w:val="003E368D"/>
    <w:rsid w:val="003E5315"/>
    <w:rsid w:val="003E7577"/>
    <w:rsid w:val="003F3C28"/>
    <w:rsid w:val="003F4C97"/>
    <w:rsid w:val="003F6950"/>
    <w:rsid w:val="003F7FE6"/>
    <w:rsid w:val="00400193"/>
    <w:rsid w:val="00402E8F"/>
    <w:rsid w:val="004046F8"/>
    <w:rsid w:val="0040657D"/>
    <w:rsid w:val="004149F8"/>
    <w:rsid w:val="00417538"/>
    <w:rsid w:val="004212E7"/>
    <w:rsid w:val="00424442"/>
    <w:rsid w:val="0042446D"/>
    <w:rsid w:val="00427BF8"/>
    <w:rsid w:val="00430EDB"/>
    <w:rsid w:val="00431C02"/>
    <w:rsid w:val="00437395"/>
    <w:rsid w:val="00445047"/>
    <w:rsid w:val="00462D3C"/>
    <w:rsid w:val="00463C03"/>
    <w:rsid w:val="00463E39"/>
    <w:rsid w:val="004657FC"/>
    <w:rsid w:val="004733F6"/>
    <w:rsid w:val="00474E69"/>
    <w:rsid w:val="004766C6"/>
    <w:rsid w:val="0049421E"/>
    <w:rsid w:val="0049621B"/>
    <w:rsid w:val="004A2C36"/>
    <w:rsid w:val="004A2E81"/>
    <w:rsid w:val="004B3C03"/>
    <w:rsid w:val="004C1895"/>
    <w:rsid w:val="004C5327"/>
    <w:rsid w:val="004C6D40"/>
    <w:rsid w:val="004D4632"/>
    <w:rsid w:val="004D4C0B"/>
    <w:rsid w:val="004E1512"/>
    <w:rsid w:val="004E6796"/>
    <w:rsid w:val="004F0C3C"/>
    <w:rsid w:val="004F63FC"/>
    <w:rsid w:val="00505A92"/>
    <w:rsid w:val="0051320D"/>
    <w:rsid w:val="00513490"/>
    <w:rsid w:val="0051578C"/>
    <w:rsid w:val="005178B2"/>
    <w:rsid w:val="005203F1"/>
    <w:rsid w:val="00521463"/>
    <w:rsid w:val="00521BC3"/>
    <w:rsid w:val="00525069"/>
    <w:rsid w:val="00527EB3"/>
    <w:rsid w:val="005332EA"/>
    <w:rsid w:val="00533632"/>
    <w:rsid w:val="005364C2"/>
    <w:rsid w:val="00536B48"/>
    <w:rsid w:val="0054059B"/>
    <w:rsid w:val="00541E6E"/>
    <w:rsid w:val="0054251F"/>
    <w:rsid w:val="00544D8E"/>
    <w:rsid w:val="005520D8"/>
    <w:rsid w:val="00556CF1"/>
    <w:rsid w:val="00561BF3"/>
    <w:rsid w:val="005620D4"/>
    <w:rsid w:val="0056640D"/>
    <w:rsid w:val="0057195C"/>
    <w:rsid w:val="00572994"/>
    <w:rsid w:val="005748D9"/>
    <w:rsid w:val="005762A7"/>
    <w:rsid w:val="005858C8"/>
    <w:rsid w:val="005916D7"/>
    <w:rsid w:val="005A698C"/>
    <w:rsid w:val="005B7EEB"/>
    <w:rsid w:val="005C03A0"/>
    <w:rsid w:val="005D5250"/>
    <w:rsid w:val="005E0799"/>
    <w:rsid w:val="005E161F"/>
    <w:rsid w:val="005E1A3F"/>
    <w:rsid w:val="005E28FB"/>
    <w:rsid w:val="005F0087"/>
    <w:rsid w:val="005F2F12"/>
    <w:rsid w:val="005F5A80"/>
    <w:rsid w:val="00601BA5"/>
    <w:rsid w:val="0060446B"/>
    <w:rsid w:val="006044FF"/>
    <w:rsid w:val="00607CC5"/>
    <w:rsid w:val="00621806"/>
    <w:rsid w:val="00623E15"/>
    <w:rsid w:val="00624A30"/>
    <w:rsid w:val="00624E6C"/>
    <w:rsid w:val="006256F8"/>
    <w:rsid w:val="00633014"/>
    <w:rsid w:val="0063437B"/>
    <w:rsid w:val="0064112D"/>
    <w:rsid w:val="00650421"/>
    <w:rsid w:val="00650BC8"/>
    <w:rsid w:val="006517ED"/>
    <w:rsid w:val="00654C05"/>
    <w:rsid w:val="00657181"/>
    <w:rsid w:val="00664264"/>
    <w:rsid w:val="006673CA"/>
    <w:rsid w:val="00673C26"/>
    <w:rsid w:val="00673DCC"/>
    <w:rsid w:val="00673EF5"/>
    <w:rsid w:val="00680DCA"/>
    <w:rsid w:val="006812AF"/>
    <w:rsid w:val="00681A16"/>
    <w:rsid w:val="00682B42"/>
    <w:rsid w:val="0068327D"/>
    <w:rsid w:val="00693942"/>
    <w:rsid w:val="00694AF0"/>
    <w:rsid w:val="006961EB"/>
    <w:rsid w:val="006A28B6"/>
    <w:rsid w:val="006A2982"/>
    <w:rsid w:val="006A4686"/>
    <w:rsid w:val="006A4F14"/>
    <w:rsid w:val="006A6432"/>
    <w:rsid w:val="006A780C"/>
    <w:rsid w:val="006B0A5E"/>
    <w:rsid w:val="006B0E9E"/>
    <w:rsid w:val="006B5AE4"/>
    <w:rsid w:val="006C147D"/>
    <w:rsid w:val="006C7B22"/>
    <w:rsid w:val="006D1507"/>
    <w:rsid w:val="006D4054"/>
    <w:rsid w:val="006D49FD"/>
    <w:rsid w:val="006D7181"/>
    <w:rsid w:val="006E02EC"/>
    <w:rsid w:val="006E0A59"/>
    <w:rsid w:val="006E1683"/>
    <w:rsid w:val="006E7943"/>
    <w:rsid w:val="00713155"/>
    <w:rsid w:val="007157C9"/>
    <w:rsid w:val="00717A0D"/>
    <w:rsid w:val="007211B1"/>
    <w:rsid w:val="00721F52"/>
    <w:rsid w:val="007223F0"/>
    <w:rsid w:val="0072493B"/>
    <w:rsid w:val="00724DCF"/>
    <w:rsid w:val="00736CDA"/>
    <w:rsid w:val="00737B26"/>
    <w:rsid w:val="00742BB6"/>
    <w:rsid w:val="00746187"/>
    <w:rsid w:val="0075142F"/>
    <w:rsid w:val="007525DE"/>
    <w:rsid w:val="0076254F"/>
    <w:rsid w:val="00764F26"/>
    <w:rsid w:val="007801F5"/>
    <w:rsid w:val="00783CA4"/>
    <w:rsid w:val="007842FB"/>
    <w:rsid w:val="00786124"/>
    <w:rsid w:val="00791B63"/>
    <w:rsid w:val="00794AC6"/>
    <w:rsid w:val="0079514B"/>
    <w:rsid w:val="00795508"/>
    <w:rsid w:val="00795DD1"/>
    <w:rsid w:val="007A126B"/>
    <w:rsid w:val="007A2DC1"/>
    <w:rsid w:val="007A359E"/>
    <w:rsid w:val="007A45F9"/>
    <w:rsid w:val="007C03AF"/>
    <w:rsid w:val="007D3319"/>
    <w:rsid w:val="007D335D"/>
    <w:rsid w:val="007D3A55"/>
    <w:rsid w:val="007E3314"/>
    <w:rsid w:val="007E4B03"/>
    <w:rsid w:val="007E6AFB"/>
    <w:rsid w:val="007F1A08"/>
    <w:rsid w:val="007F324B"/>
    <w:rsid w:val="007F34C4"/>
    <w:rsid w:val="007F665A"/>
    <w:rsid w:val="008039A2"/>
    <w:rsid w:val="00804C83"/>
    <w:rsid w:val="0080553C"/>
    <w:rsid w:val="00805B46"/>
    <w:rsid w:val="00813282"/>
    <w:rsid w:val="00820F09"/>
    <w:rsid w:val="00822D02"/>
    <w:rsid w:val="00825DC2"/>
    <w:rsid w:val="00830B0D"/>
    <w:rsid w:val="00833EE7"/>
    <w:rsid w:val="00834AD3"/>
    <w:rsid w:val="0083613F"/>
    <w:rsid w:val="0083734E"/>
    <w:rsid w:val="00840D10"/>
    <w:rsid w:val="00842D4C"/>
    <w:rsid w:val="00843795"/>
    <w:rsid w:val="00847F0F"/>
    <w:rsid w:val="00852448"/>
    <w:rsid w:val="00855955"/>
    <w:rsid w:val="008666EB"/>
    <w:rsid w:val="00870A12"/>
    <w:rsid w:val="00872B27"/>
    <w:rsid w:val="00872D34"/>
    <w:rsid w:val="00874518"/>
    <w:rsid w:val="0088258A"/>
    <w:rsid w:val="00883115"/>
    <w:rsid w:val="00886332"/>
    <w:rsid w:val="00890C98"/>
    <w:rsid w:val="0089349E"/>
    <w:rsid w:val="00894D8B"/>
    <w:rsid w:val="00895C5D"/>
    <w:rsid w:val="008A2590"/>
    <w:rsid w:val="008A26D9"/>
    <w:rsid w:val="008A66AA"/>
    <w:rsid w:val="008A6B0A"/>
    <w:rsid w:val="008B3ED7"/>
    <w:rsid w:val="008C055D"/>
    <w:rsid w:val="008C0C29"/>
    <w:rsid w:val="008C420D"/>
    <w:rsid w:val="008D17FC"/>
    <w:rsid w:val="008D2652"/>
    <w:rsid w:val="008D3AD7"/>
    <w:rsid w:val="008E05E9"/>
    <w:rsid w:val="008E14F5"/>
    <w:rsid w:val="008E5869"/>
    <w:rsid w:val="008F3638"/>
    <w:rsid w:val="008F4441"/>
    <w:rsid w:val="008F6F31"/>
    <w:rsid w:val="008F74DF"/>
    <w:rsid w:val="00901CFE"/>
    <w:rsid w:val="0091029C"/>
    <w:rsid w:val="009127BA"/>
    <w:rsid w:val="00915E32"/>
    <w:rsid w:val="00917EC2"/>
    <w:rsid w:val="009227A6"/>
    <w:rsid w:val="00931F7F"/>
    <w:rsid w:val="00932F14"/>
    <w:rsid w:val="00933EC1"/>
    <w:rsid w:val="00934152"/>
    <w:rsid w:val="009530DB"/>
    <w:rsid w:val="00953676"/>
    <w:rsid w:val="00960ECE"/>
    <w:rsid w:val="00961ED3"/>
    <w:rsid w:val="0096400B"/>
    <w:rsid w:val="00967869"/>
    <w:rsid w:val="009705EE"/>
    <w:rsid w:val="00977927"/>
    <w:rsid w:val="009810F6"/>
    <w:rsid w:val="0098135C"/>
    <w:rsid w:val="0098156A"/>
    <w:rsid w:val="009829AB"/>
    <w:rsid w:val="0098467E"/>
    <w:rsid w:val="00986E86"/>
    <w:rsid w:val="00991BAC"/>
    <w:rsid w:val="00996D2B"/>
    <w:rsid w:val="009A6EA0"/>
    <w:rsid w:val="009B3375"/>
    <w:rsid w:val="009B6AA3"/>
    <w:rsid w:val="009C1335"/>
    <w:rsid w:val="009C1AB2"/>
    <w:rsid w:val="009C59E1"/>
    <w:rsid w:val="009C7251"/>
    <w:rsid w:val="009D012C"/>
    <w:rsid w:val="009E2E91"/>
    <w:rsid w:val="009E45BC"/>
    <w:rsid w:val="009F100B"/>
    <w:rsid w:val="009F6684"/>
    <w:rsid w:val="00A021C2"/>
    <w:rsid w:val="00A03BB8"/>
    <w:rsid w:val="00A07E38"/>
    <w:rsid w:val="00A12126"/>
    <w:rsid w:val="00A139F5"/>
    <w:rsid w:val="00A20382"/>
    <w:rsid w:val="00A21E3C"/>
    <w:rsid w:val="00A30D3D"/>
    <w:rsid w:val="00A35DBD"/>
    <w:rsid w:val="00A365F4"/>
    <w:rsid w:val="00A36A6C"/>
    <w:rsid w:val="00A42253"/>
    <w:rsid w:val="00A424AF"/>
    <w:rsid w:val="00A472D0"/>
    <w:rsid w:val="00A47D80"/>
    <w:rsid w:val="00A50B69"/>
    <w:rsid w:val="00A53132"/>
    <w:rsid w:val="00A563F2"/>
    <w:rsid w:val="00A56648"/>
    <w:rsid w:val="00A566E8"/>
    <w:rsid w:val="00A6177C"/>
    <w:rsid w:val="00A64429"/>
    <w:rsid w:val="00A6528A"/>
    <w:rsid w:val="00A71707"/>
    <w:rsid w:val="00A810F9"/>
    <w:rsid w:val="00A84373"/>
    <w:rsid w:val="00A86ECC"/>
    <w:rsid w:val="00A86FCC"/>
    <w:rsid w:val="00A9145C"/>
    <w:rsid w:val="00A95101"/>
    <w:rsid w:val="00AA0C1B"/>
    <w:rsid w:val="00AA2BD1"/>
    <w:rsid w:val="00AA30C3"/>
    <w:rsid w:val="00AA710D"/>
    <w:rsid w:val="00AA7CCA"/>
    <w:rsid w:val="00AB5A45"/>
    <w:rsid w:val="00AB6D25"/>
    <w:rsid w:val="00AB7649"/>
    <w:rsid w:val="00AC07B2"/>
    <w:rsid w:val="00AC57BE"/>
    <w:rsid w:val="00AC5946"/>
    <w:rsid w:val="00AD2C6D"/>
    <w:rsid w:val="00AD30FD"/>
    <w:rsid w:val="00AD4F81"/>
    <w:rsid w:val="00AD7467"/>
    <w:rsid w:val="00AE1351"/>
    <w:rsid w:val="00AE1591"/>
    <w:rsid w:val="00AE2D4B"/>
    <w:rsid w:val="00AE45B6"/>
    <w:rsid w:val="00AE4F99"/>
    <w:rsid w:val="00AE7973"/>
    <w:rsid w:val="00AF04CD"/>
    <w:rsid w:val="00AF64FB"/>
    <w:rsid w:val="00AF7C96"/>
    <w:rsid w:val="00B10AD2"/>
    <w:rsid w:val="00B11B69"/>
    <w:rsid w:val="00B14952"/>
    <w:rsid w:val="00B14D4C"/>
    <w:rsid w:val="00B151E0"/>
    <w:rsid w:val="00B15FBF"/>
    <w:rsid w:val="00B20CBB"/>
    <w:rsid w:val="00B21F88"/>
    <w:rsid w:val="00B2263B"/>
    <w:rsid w:val="00B24462"/>
    <w:rsid w:val="00B31E5A"/>
    <w:rsid w:val="00B324ED"/>
    <w:rsid w:val="00B3350E"/>
    <w:rsid w:val="00B43CE0"/>
    <w:rsid w:val="00B45034"/>
    <w:rsid w:val="00B47C89"/>
    <w:rsid w:val="00B53349"/>
    <w:rsid w:val="00B540CD"/>
    <w:rsid w:val="00B54660"/>
    <w:rsid w:val="00B653AB"/>
    <w:rsid w:val="00B65F9E"/>
    <w:rsid w:val="00B66B19"/>
    <w:rsid w:val="00B710CD"/>
    <w:rsid w:val="00B710DD"/>
    <w:rsid w:val="00B732FC"/>
    <w:rsid w:val="00B749F4"/>
    <w:rsid w:val="00B914E9"/>
    <w:rsid w:val="00B92F17"/>
    <w:rsid w:val="00B956EE"/>
    <w:rsid w:val="00BA09BD"/>
    <w:rsid w:val="00BA2023"/>
    <w:rsid w:val="00BA2BA1"/>
    <w:rsid w:val="00BA3562"/>
    <w:rsid w:val="00BB05DD"/>
    <w:rsid w:val="00BB4F09"/>
    <w:rsid w:val="00BB5A25"/>
    <w:rsid w:val="00BC2558"/>
    <w:rsid w:val="00BD4E33"/>
    <w:rsid w:val="00BD7F31"/>
    <w:rsid w:val="00BE7D3E"/>
    <w:rsid w:val="00BF0DDE"/>
    <w:rsid w:val="00BF5304"/>
    <w:rsid w:val="00C030DE"/>
    <w:rsid w:val="00C22105"/>
    <w:rsid w:val="00C244B6"/>
    <w:rsid w:val="00C245BA"/>
    <w:rsid w:val="00C25CD0"/>
    <w:rsid w:val="00C25FB4"/>
    <w:rsid w:val="00C2615B"/>
    <w:rsid w:val="00C314CD"/>
    <w:rsid w:val="00C329E3"/>
    <w:rsid w:val="00C33831"/>
    <w:rsid w:val="00C344C5"/>
    <w:rsid w:val="00C3702F"/>
    <w:rsid w:val="00C40A05"/>
    <w:rsid w:val="00C4206F"/>
    <w:rsid w:val="00C44153"/>
    <w:rsid w:val="00C4500A"/>
    <w:rsid w:val="00C53B69"/>
    <w:rsid w:val="00C55763"/>
    <w:rsid w:val="00C5755F"/>
    <w:rsid w:val="00C64A37"/>
    <w:rsid w:val="00C7158E"/>
    <w:rsid w:val="00C7250B"/>
    <w:rsid w:val="00C7298F"/>
    <w:rsid w:val="00C7346B"/>
    <w:rsid w:val="00C77C0E"/>
    <w:rsid w:val="00C844D4"/>
    <w:rsid w:val="00C91687"/>
    <w:rsid w:val="00C924A8"/>
    <w:rsid w:val="00C937AB"/>
    <w:rsid w:val="00C945FE"/>
    <w:rsid w:val="00C96D63"/>
    <w:rsid w:val="00C96FAA"/>
    <w:rsid w:val="00C97A04"/>
    <w:rsid w:val="00CA107B"/>
    <w:rsid w:val="00CA484D"/>
    <w:rsid w:val="00CA4DEF"/>
    <w:rsid w:val="00CA4FB6"/>
    <w:rsid w:val="00CA53B7"/>
    <w:rsid w:val="00CA61FA"/>
    <w:rsid w:val="00CC163E"/>
    <w:rsid w:val="00CC45C9"/>
    <w:rsid w:val="00CC739E"/>
    <w:rsid w:val="00CD52E0"/>
    <w:rsid w:val="00CD58B7"/>
    <w:rsid w:val="00CE0554"/>
    <w:rsid w:val="00CE4245"/>
    <w:rsid w:val="00CF4099"/>
    <w:rsid w:val="00D00796"/>
    <w:rsid w:val="00D03137"/>
    <w:rsid w:val="00D03B1A"/>
    <w:rsid w:val="00D056DD"/>
    <w:rsid w:val="00D0683B"/>
    <w:rsid w:val="00D11667"/>
    <w:rsid w:val="00D20720"/>
    <w:rsid w:val="00D261A2"/>
    <w:rsid w:val="00D26827"/>
    <w:rsid w:val="00D33A5A"/>
    <w:rsid w:val="00D36B50"/>
    <w:rsid w:val="00D44853"/>
    <w:rsid w:val="00D616D2"/>
    <w:rsid w:val="00D61ED4"/>
    <w:rsid w:val="00D63B5F"/>
    <w:rsid w:val="00D64150"/>
    <w:rsid w:val="00D647FD"/>
    <w:rsid w:val="00D66B7C"/>
    <w:rsid w:val="00D7000A"/>
    <w:rsid w:val="00D705C8"/>
    <w:rsid w:val="00D70EF7"/>
    <w:rsid w:val="00D71485"/>
    <w:rsid w:val="00D7236F"/>
    <w:rsid w:val="00D75425"/>
    <w:rsid w:val="00D75CF4"/>
    <w:rsid w:val="00D8397C"/>
    <w:rsid w:val="00D86F06"/>
    <w:rsid w:val="00D913C7"/>
    <w:rsid w:val="00D94EED"/>
    <w:rsid w:val="00D96026"/>
    <w:rsid w:val="00DA59D1"/>
    <w:rsid w:val="00DA7C1C"/>
    <w:rsid w:val="00DB147A"/>
    <w:rsid w:val="00DB1B7A"/>
    <w:rsid w:val="00DB7B09"/>
    <w:rsid w:val="00DC6708"/>
    <w:rsid w:val="00DC6FDA"/>
    <w:rsid w:val="00DC7617"/>
    <w:rsid w:val="00DD7D16"/>
    <w:rsid w:val="00DE324F"/>
    <w:rsid w:val="00DE4F76"/>
    <w:rsid w:val="00DE7CE5"/>
    <w:rsid w:val="00DF0FEB"/>
    <w:rsid w:val="00DF2FF5"/>
    <w:rsid w:val="00DF4320"/>
    <w:rsid w:val="00DF5873"/>
    <w:rsid w:val="00E01436"/>
    <w:rsid w:val="00E02268"/>
    <w:rsid w:val="00E029E0"/>
    <w:rsid w:val="00E045BD"/>
    <w:rsid w:val="00E05E86"/>
    <w:rsid w:val="00E17B77"/>
    <w:rsid w:val="00E21C88"/>
    <w:rsid w:val="00E23337"/>
    <w:rsid w:val="00E259EA"/>
    <w:rsid w:val="00E3056B"/>
    <w:rsid w:val="00E312BD"/>
    <w:rsid w:val="00E315A1"/>
    <w:rsid w:val="00E32061"/>
    <w:rsid w:val="00E42FF9"/>
    <w:rsid w:val="00E4714C"/>
    <w:rsid w:val="00E50A8F"/>
    <w:rsid w:val="00E51AEB"/>
    <w:rsid w:val="00E522A7"/>
    <w:rsid w:val="00E54452"/>
    <w:rsid w:val="00E664C5"/>
    <w:rsid w:val="00E671A2"/>
    <w:rsid w:val="00E70282"/>
    <w:rsid w:val="00E7666C"/>
    <w:rsid w:val="00E76D26"/>
    <w:rsid w:val="00E77E45"/>
    <w:rsid w:val="00E873AD"/>
    <w:rsid w:val="00E91C42"/>
    <w:rsid w:val="00EA2BBE"/>
    <w:rsid w:val="00EA445A"/>
    <w:rsid w:val="00EA77D7"/>
    <w:rsid w:val="00EB1390"/>
    <w:rsid w:val="00EB1CF5"/>
    <w:rsid w:val="00EB2C71"/>
    <w:rsid w:val="00EB4340"/>
    <w:rsid w:val="00EB556D"/>
    <w:rsid w:val="00EB5A7D"/>
    <w:rsid w:val="00EB6543"/>
    <w:rsid w:val="00EB7A8D"/>
    <w:rsid w:val="00EC1C81"/>
    <w:rsid w:val="00EC77DB"/>
    <w:rsid w:val="00ED55C0"/>
    <w:rsid w:val="00ED682B"/>
    <w:rsid w:val="00EE2F34"/>
    <w:rsid w:val="00EE41D5"/>
    <w:rsid w:val="00EE7E6C"/>
    <w:rsid w:val="00F037A4"/>
    <w:rsid w:val="00F03CCF"/>
    <w:rsid w:val="00F06762"/>
    <w:rsid w:val="00F071AC"/>
    <w:rsid w:val="00F11DD8"/>
    <w:rsid w:val="00F12CDB"/>
    <w:rsid w:val="00F17384"/>
    <w:rsid w:val="00F17790"/>
    <w:rsid w:val="00F20413"/>
    <w:rsid w:val="00F2442D"/>
    <w:rsid w:val="00F27C8F"/>
    <w:rsid w:val="00F27FEE"/>
    <w:rsid w:val="00F30CB9"/>
    <w:rsid w:val="00F3211D"/>
    <w:rsid w:val="00F32749"/>
    <w:rsid w:val="00F3571F"/>
    <w:rsid w:val="00F37172"/>
    <w:rsid w:val="00F4477E"/>
    <w:rsid w:val="00F603CF"/>
    <w:rsid w:val="00F65A35"/>
    <w:rsid w:val="00F67D8F"/>
    <w:rsid w:val="00F75085"/>
    <w:rsid w:val="00F802BE"/>
    <w:rsid w:val="00F80E93"/>
    <w:rsid w:val="00F86024"/>
    <w:rsid w:val="00F8611A"/>
    <w:rsid w:val="00F92EB0"/>
    <w:rsid w:val="00F95C51"/>
    <w:rsid w:val="00FA14AD"/>
    <w:rsid w:val="00FA16E2"/>
    <w:rsid w:val="00FA2615"/>
    <w:rsid w:val="00FA2BF2"/>
    <w:rsid w:val="00FA5128"/>
    <w:rsid w:val="00FB1082"/>
    <w:rsid w:val="00FB42D4"/>
    <w:rsid w:val="00FB5906"/>
    <w:rsid w:val="00FB762F"/>
    <w:rsid w:val="00FC269F"/>
    <w:rsid w:val="00FC2AED"/>
    <w:rsid w:val="00FC35BE"/>
    <w:rsid w:val="00FC589E"/>
    <w:rsid w:val="00FC590E"/>
    <w:rsid w:val="00FC6794"/>
    <w:rsid w:val="00FC7275"/>
    <w:rsid w:val="00FD17B1"/>
    <w:rsid w:val="00FD5709"/>
    <w:rsid w:val="00FD5EA7"/>
    <w:rsid w:val="00FD62BD"/>
    <w:rsid w:val="00FD7CDB"/>
    <w:rsid w:val="00FE1B44"/>
    <w:rsid w:val="00FE4F9E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E8D63-8714-48B4-9751-BB45EDB8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B4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B44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B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9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j.radziwonka@stat.gov.pl" TargetMode="External"/><Relationship Id="rId26" Type="http://schemas.openxmlformats.org/officeDocument/2006/relationships/hyperlink" Target="http://stat.gov.pl/obszary-tematyczne/podmioty-gospodarcze-wyniki-finansowe/przedsiebiorstwa-finansowe/wyspecjalizowane-segmenty-rynku-finansowego-2016,18,2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stat.gov.pl/metainformacje/slownik-pojec/pojecia-stosowane-w-statystyce-publicznej/3310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obszary-tematyczne/podmioty-gospodarcze-wyniki-finansowe/przedsiebiorstwa-finansowe/wyspecjalizowane-segmenty-rynku-finansowego-2016,18,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hyperlink" Target="https://stat.gov.pl/metainformacje/slownik-pojec/pojecia-stosowane-w-statystyce-publicznej/3310,pojecie.html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23490444118448"/>
          <c:y val="0.1398726996301255"/>
          <c:w val="0.76461157167810001"/>
          <c:h val="0.44463123175779501"/>
        </c:manualLayout>
      </c:layout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  <a:alpha val="30196"/>
                </a:schemeClr>
              </a:solidFill>
            </c:spPr>
          </c:dPt>
          <c:dLbls>
            <c:dLbl>
              <c:idx val="0"/>
              <c:layout>
                <c:manualLayout>
                  <c:x val="6.2804019008288886E-2"/>
                  <c:y val="-3.1794884158932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82947865519322"/>
                      <c:h val="9.221902017291064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4834754938545022E-3"/>
                  <c:y val="1.27640192210445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Wykres1!$A$6:$A$7</c:f>
              <c:strCache>
                <c:ptCount val="2"/>
                <c:pt idx="0">
                  <c:v>Liczba spraw wierzytelności konsumenckich przyjętych do obsługi w ciągu 2017 r.</c:v>
                </c:pt>
                <c:pt idx="1">
                  <c:v>Liczba spraw wierzytelności korporacyjnych przyjętych do obsługi w ciągu 2017 r.</c:v>
                </c:pt>
              </c:strCache>
            </c:strRef>
          </c:cat>
          <c:val>
            <c:numRef>
              <c:f>Wykres1!$B$4:$B$5</c:f>
              <c:numCache>
                <c:formatCode>#,##0</c:formatCode>
                <c:ptCount val="2"/>
                <c:pt idx="0">
                  <c:v>8657099</c:v>
                </c:pt>
                <c:pt idx="1">
                  <c:v>964497</c:v>
                </c:pt>
              </c:numCache>
            </c:numRef>
          </c:val>
        </c:ser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Wykres1!$A$6:$A$7</c:f>
              <c:strCache>
                <c:ptCount val="2"/>
                <c:pt idx="0">
                  <c:v>Liczba spraw wierzytelności konsumenckich przyjętych do obsługi w ciągu 2017 r.</c:v>
                </c:pt>
                <c:pt idx="1">
                  <c:v>Liczba spraw wierzytelności korporacyjnych przyjętych do obsługi w ciągu 2017 r.</c:v>
                </c:pt>
              </c:strCache>
            </c:strRef>
          </c:cat>
          <c:val>
            <c:numRef>
              <c:f>Wykres1!$C$2:$C$3</c:f>
              <c:numCache>
                <c:formatCode>#,##0</c:formatCode>
                <c:ptCount val="2"/>
                <c:pt idx="0">
                  <c:v>40218422</c:v>
                </c:pt>
                <c:pt idx="1">
                  <c:v>8828885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2.7013110186822634E-2"/>
          <c:y val="0.65909653044089955"/>
          <c:w val="0.9397058701515848"/>
          <c:h val="0.24331133344507697"/>
        </c:manualLayout>
      </c:layout>
      <c:overlay val="0"/>
      <c:txPr>
        <a:bodyPr/>
        <a:lstStyle/>
        <a:p>
          <a:pPr>
            <a:defRPr sz="800">
              <a:latin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84714410698662"/>
          <c:y val="0.12773378111597722"/>
          <c:w val="0.76587301587301593"/>
          <c:h val="0.4505135387488328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  <a:alpha val="30196"/>
                </a:schemeClr>
              </a:solidFill>
            </c:spPr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2.3656808523934494E-2"/>
                  <c:y val="9.72790228127707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05964879390077"/>
                      <c:h val="0.1008645533141210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352088801399825"/>
                  <c:y val="-8.83549205641523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55158730158731"/>
                      <c:h val="9.726224783861671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Wykres1!$A$4:$A$5</c:f>
              <c:strCache>
                <c:ptCount val="2"/>
                <c:pt idx="0">
                  <c:v>Wartość wierzytelności konsumenckich przyjętych do obsługi w ciągu 2017 r.</c:v>
                </c:pt>
                <c:pt idx="1">
                  <c:v>Wartość wierzytelności korporacyjnych przyjętych do obsługi w ciągu 2017 r.</c:v>
                </c:pt>
              </c:strCache>
            </c:strRef>
          </c:cat>
          <c:val>
            <c:numRef>
              <c:f>Wykres1!$C$4:$C$5</c:f>
              <c:numCache>
                <c:formatCode>#,##0</c:formatCode>
                <c:ptCount val="2"/>
                <c:pt idx="0">
                  <c:v>25878665</c:v>
                </c:pt>
                <c:pt idx="1">
                  <c:v>14339757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2.3946225471816022E-2"/>
          <c:y val="0.65942998819884813"/>
          <c:w val="0.84792018185226847"/>
          <c:h val="0.23345832671492434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Fira Sans" panose="020B05030500000200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0.34112</cdr:x>
      <cdr:y>0.00499</cdr:y>
    </cdr:from>
    <cdr:to>
      <cdr:x>0.71115</cdr:x>
      <cdr:y>0.05883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863193" y="21718"/>
          <a:ext cx="936346" cy="2343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>
              <a:latin typeface="Fira Sans" panose="020B0503050000020004" pitchFamily="34" charset="0"/>
            </a:rPr>
            <a:t>Liczba spraw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</cdr:x>
      <cdr:y>0.00437</cdr:y>
    </cdr:from>
    <cdr:to>
      <cdr:x>0.82571</cdr:x>
      <cdr:y>0.08752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09650" y="19020"/>
          <a:ext cx="1704443" cy="361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>
              <a:latin typeface="Fira Sans" panose="020B0503050000020004" pitchFamily="34" charset="0"/>
            </a:rPr>
            <a:t>Wartość</a:t>
          </a:r>
          <a:r>
            <a:rPr lang="pl-PL" sz="900" baseline="0">
              <a:latin typeface="Fira Sans" panose="020B0503050000020004" pitchFamily="34" charset="0"/>
            </a:rPr>
            <a:t> nominalna w tys. zł</a:t>
          </a:r>
          <a:endParaRPr lang="pl-PL" sz="900">
            <a:latin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2CEF26A4-F6AC-42BC-AB7A-41EBAE5A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2018-09-03T08:44:00Z</cp:lastPrinted>
  <dcterms:created xsi:type="dcterms:W3CDTF">2018-09-04T07:44:00Z</dcterms:created>
  <dcterms:modified xsi:type="dcterms:W3CDTF">2018-09-04T07:44:00Z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