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146"/>
        <w:gridCol w:w="9168"/>
      </w:tblGrid>
      <w:tr w:rsidR="005850C4" w:rsidTr="006C6B3A">
        <w:trPr>
          <w:trHeight w:val="20"/>
        </w:trPr>
        <w:tc>
          <w:tcPr>
            <w:tcW w:w="1146" w:type="dxa"/>
          </w:tcPr>
          <w:p w:rsidR="005850C4" w:rsidRDefault="005850C4" w:rsidP="006C6B3A">
            <w:pPr>
              <w:spacing w:after="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3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</w:tcPr>
          <w:p w:rsidR="005850C4" w:rsidRDefault="005850C4" w:rsidP="006C6B3A">
            <w:pPr>
              <w:spacing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910D17">
              <w:rPr>
                <w:rFonts w:ascii="Arial" w:hAnsi="Arial" w:cs="Arial"/>
                <w:b/>
                <w:sz w:val="28"/>
                <w:szCs w:val="28"/>
              </w:rPr>
              <w:t xml:space="preserve">GŁÓWNY URZĄD STATYSTYCZNY </w:t>
            </w:r>
            <w:r w:rsidRPr="002058A9">
              <w:rPr>
                <w:sz w:val="28"/>
              </w:rPr>
              <w:t xml:space="preserve">      </w:t>
            </w:r>
            <w:r w:rsidR="00725348">
              <w:rPr>
                <w:sz w:val="28"/>
              </w:rPr>
              <w:t xml:space="preserve">   </w:t>
            </w:r>
            <w:r w:rsidRPr="002058A9">
              <w:rPr>
                <w:sz w:val="28"/>
              </w:rPr>
              <w:t xml:space="preserve">  </w:t>
            </w:r>
            <w:r w:rsidR="0044504F">
              <w:rPr>
                <w:sz w:val="28"/>
              </w:rPr>
              <w:t xml:space="preserve"> </w:t>
            </w:r>
            <w:r w:rsidRPr="002058A9">
              <w:rPr>
                <w:sz w:val="28"/>
              </w:rPr>
              <w:t xml:space="preserve">          </w:t>
            </w:r>
            <w:r>
              <w:rPr>
                <w:sz w:val="28"/>
              </w:rPr>
              <w:t>Warszawa,</w:t>
            </w:r>
            <w:r w:rsidR="00177983">
              <w:rPr>
                <w:sz w:val="28"/>
              </w:rPr>
              <w:t xml:space="preserve"> </w:t>
            </w:r>
            <w:r w:rsidR="00BA60E5">
              <w:rPr>
                <w:sz w:val="28"/>
              </w:rPr>
              <w:t>2</w:t>
            </w:r>
            <w:r w:rsidR="007F53AF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="006760BB">
              <w:rPr>
                <w:sz w:val="28"/>
              </w:rPr>
              <w:t>1</w:t>
            </w:r>
            <w:r w:rsidR="007F53AF">
              <w:rPr>
                <w:sz w:val="28"/>
              </w:rPr>
              <w:t>1</w:t>
            </w:r>
            <w:r>
              <w:rPr>
                <w:sz w:val="28"/>
              </w:rPr>
              <w:t>.201</w:t>
            </w:r>
            <w:r w:rsidR="001D3687">
              <w:rPr>
                <w:sz w:val="28"/>
              </w:rPr>
              <w:t>7</w:t>
            </w:r>
            <w:r w:rsidR="00C50A70">
              <w:rPr>
                <w:sz w:val="28"/>
              </w:rPr>
              <w:t xml:space="preserve"> r.</w:t>
            </w:r>
          </w:p>
          <w:p w:rsidR="005850C4" w:rsidRDefault="006C6B3A" w:rsidP="006C6B3A">
            <w:pPr>
              <w:spacing w:after="80"/>
            </w:pPr>
            <w:r w:rsidRPr="00057E0B">
              <w:rPr>
                <w:rFonts w:ascii="Arial" w:hAnsi="Arial" w:cs="Arial"/>
                <w:sz w:val="28"/>
              </w:rPr>
              <w:t>Opracowanie sygnalne</w:t>
            </w:r>
          </w:p>
        </w:tc>
      </w:tr>
    </w:tbl>
    <w:p w:rsidR="005850C4" w:rsidRPr="001A5673" w:rsidRDefault="00C55EF7" w:rsidP="006C6B3A">
      <w:pPr>
        <w:spacing w:before="480" w:after="0"/>
        <w:ind w:firstLine="1134"/>
        <w:rPr>
          <w:b/>
          <w:sz w:val="24"/>
          <w:szCs w:val="24"/>
        </w:rPr>
      </w:pPr>
      <w:r w:rsidRPr="001A5673">
        <w:rPr>
          <w:rFonts w:cs="Cambria"/>
          <w:b/>
          <w:color w:val="680000"/>
          <w:sz w:val="40"/>
          <w:szCs w:val="40"/>
        </w:rPr>
        <w:t>Działalność bada</w:t>
      </w:r>
      <w:r w:rsidR="0051026D">
        <w:rPr>
          <w:rFonts w:cs="Cambria"/>
          <w:b/>
          <w:color w:val="680000"/>
          <w:sz w:val="40"/>
          <w:szCs w:val="40"/>
        </w:rPr>
        <w:t>wcza i rozwojowa w Polsce w 201</w:t>
      </w:r>
      <w:r w:rsidR="00D0148C">
        <w:rPr>
          <w:rFonts w:cs="Cambria"/>
          <w:b/>
          <w:color w:val="680000"/>
          <w:sz w:val="40"/>
          <w:szCs w:val="40"/>
        </w:rPr>
        <w:t>6</w:t>
      </w:r>
      <w:r w:rsidRPr="001A5673">
        <w:rPr>
          <w:rFonts w:cs="Cambria"/>
          <w:b/>
          <w:color w:val="680000"/>
          <w:sz w:val="40"/>
          <w:szCs w:val="40"/>
        </w:rPr>
        <w:t xml:space="preserve"> r.</w:t>
      </w:r>
      <w:r w:rsidR="005850C4" w:rsidRPr="001A5673">
        <w:rPr>
          <w:b/>
          <w:sz w:val="24"/>
          <w:szCs w:val="24"/>
        </w:rPr>
        <w:t xml:space="preserve"> </w:t>
      </w:r>
    </w:p>
    <w:p w:rsidR="003707F1" w:rsidRDefault="003707F1" w:rsidP="00F851C2">
      <w:pPr>
        <w:ind w:right="-58" w:firstLine="142"/>
        <w:rPr>
          <w:b/>
          <w:sz w:val="24"/>
          <w:szCs w:val="24"/>
        </w:rPr>
      </w:pPr>
    </w:p>
    <w:p w:rsidR="0027555B" w:rsidRDefault="0027555B" w:rsidP="0027555B">
      <w:pPr>
        <w:pStyle w:val="Tekst"/>
      </w:pPr>
      <w:r w:rsidRPr="007A36B0">
        <w:t>Wartość nakładów wewnętrznych ogółem na działalność badawczą i rozwojową (GERD) w 201</w:t>
      </w:r>
      <w:r>
        <w:t>6</w:t>
      </w:r>
      <w:r w:rsidRPr="007A36B0">
        <w:t xml:space="preserve"> r. ukształtowała się na poziomie </w:t>
      </w:r>
      <w:r w:rsidRPr="0060681B">
        <w:t>1</w:t>
      </w:r>
      <w:r w:rsidRPr="005377DC">
        <w:t>7943</w:t>
      </w:r>
      <w:r w:rsidRPr="0060681B">
        <w:t>,</w:t>
      </w:r>
      <w:r>
        <w:t>0</w:t>
      </w:r>
      <w:r w:rsidRPr="007A36B0">
        <w:t xml:space="preserve"> mln zł, tj. o </w:t>
      </w:r>
      <w:r w:rsidRPr="005377DC">
        <w:t>0</w:t>
      </w:r>
      <w:r w:rsidRPr="0060681B">
        <w:t>,</w:t>
      </w:r>
      <w:r w:rsidRPr="003713BF">
        <w:t>7%</w:t>
      </w:r>
      <w:r w:rsidRPr="007A36B0">
        <w:t xml:space="preserve"> </w:t>
      </w:r>
      <w:r>
        <w:t>niższym</w:t>
      </w:r>
      <w:r w:rsidRPr="007A36B0">
        <w:t xml:space="preserve"> niż w roku poprzednim. Intensywność prac B+R, </w:t>
      </w:r>
      <w:r w:rsidRPr="007A36B0">
        <w:rPr>
          <w:spacing w:val="-2"/>
        </w:rPr>
        <w:t xml:space="preserve">czyli udział nakładów wewnętrznych na badania i prace rozwojowe w PKB </w:t>
      </w:r>
      <w:r w:rsidRPr="0060681B">
        <w:rPr>
          <w:spacing w:val="-2"/>
        </w:rPr>
        <w:t xml:space="preserve">wyniosła </w:t>
      </w:r>
      <w:r w:rsidRPr="005377DC">
        <w:rPr>
          <w:spacing w:val="-2"/>
        </w:rPr>
        <w:t>0,97</w:t>
      </w:r>
      <w:r w:rsidRPr="0060681B">
        <w:rPr>
          <w:spacing w:val="-2"/>
        </w:rPr>
        <w:t>% (wobec</w:t>
      </w:r>
      <w:r>
        <w:rPr>
          <w:spacing w:val="-2"/>
        </w:rPr>
        <w:t xml:space="preserve"> 1,00</w:t>
      </w:r>
      <w:r w:rsidRPr="0060681B">
        <w:rPr>
          <w:spacing w:val="-2"/>
        </w:rPr>
        <w:t>%</w:t>
      </w:r>
      <w:r w:rsidRPr="007A36B0">
        <w:rPr>
          <w:spacing w:val="-2"/>
        </w:rPr>
        <w:t xml:space="preserve"> w 201</w:t>
      </w:r>
      <w:r>
        <w:rPr>
          <w:spacing w:val="-2"/>
        </w:rPr>
        <w:t>5</w:t>
      </w:r>
      <w:r w:rsidRPr="007A36B0">
        <w:rPr>
          <w:spacing w:val="-2"/>
        </w:rPr>
        <w:t xml:space="preserve"> r.).</w:t>
      </w:r>
      <w:r w:rsidRPr="007A36B0">
        <w:t xml:space="preserve"> Spośród czterech sektorów wykonawczych</w:t>
      </w:r>
      <w:r>
        <w:rPr>
          <w:rStyle w:val="Odwoanieprzypisudolnego"/>
        </w:rPr>
        <w:footnoteReference w:id="1"/>
      </w:r>
      <w:r>
        <w:t xml:space="preserve"> </w:t>
      </w:r>
      <w:r w:rsidRPr="007A36B0">
        <w:t xml:space="preserve">największy udział w nakładach wewnętrznych na prace B+R </w:t>
      </w:r>
      <w:r>
        <w:t>miał</w:t>
      </w:r>
      <w:r w:rsidRPr="007A36B0">
        <w:t xml:space="preserve"> sektor </w:t>
      </w:r>
      <w:r w:rsidRPr="0060681B">
        <w:t>przedsiębiorstw (</w:t>
      </w:r>
      <w:r w:rsidRPr="005377DC">
        <w:t>65</w:t>
      </w:r>
      <w:r w:rsidRPr="0060681B">
        <w:t>,7</w:t>
      </w:r>
      <w:r w:rsidRPr="007A36B0">
        <w:t xml:space="preserve">% nakładów ogółem). </w:t>
      </w:r>
      <w:r>
        <w:t>Personel</w:t>
      </w:r>
      <w:r w:rsidRPr="00B410D8">
        <w:rPr>
          <w:vertAlign w:val="superscript"/>
        </w:rPr>
        <w:t>1</w:t>
      </w:r>
      <w:r>
        <w:t xml:space="preserve"> w</w:t>
      </w:r>
      <w:r w:rsidRPr="007A36B0">
        <w:t xml:space="preserve"> działalności badawczej i rozwojowej (B+R) w 201</w:t>
      </w:r>
      <w:r>
        <w:t>6</w:t>
      </w:r>
      <w:r w:rsidRPr="007A36B0">
        <w:t xml:space="preserve"> r. </w:t>
      </w:r>
      <w:r>
        <w:t>obejmował</w:t>
      </w:r>
      <w:r w:rsidRPr="00071935">
        <w:t xml:space="preserve"> </w:t>
      </w:r>
      <w:r w:rsidRPr="005377DC">
        <w:t>21</w:t>
      </w:r>
      <w:r>
        <w:t>4,0</w:t>
      </w:r>
      <w:r w:rsidRPr="00071935">
        <w:t xml:space="preserve"> tys. osób.</w:t>
      </w:r>
      <w:r>
        <w:t xml:space="preserve"> </w:t>
      </w:r>
    </w:p>
    <w:p w:rsidR="001A5673" w:rsidRDefault="001A5673" w:rsidP="00685839">
      <w:pPr>
        <w:pStyle w:val="Tytutablicy"/>
        <w:spacing w:before="480"/>
      </w:pPr>
      <w:r w:rsidRPr="00A05E80">
        <w:t>Tablica 1.</w:t>
      </w:r>
      <w:r w:rsidRPr="00A05E80">
        <w:tab/>
      </w:r>
      <w:r w:rsidRPr="004E15C0">
        <w:t xml:space="preserve">Wybrane wskaźniki </w:t>
      </w:r>
      <w:r w:rsidR="003F3245">
        <w:t xml:space="preserve">nakładów wewnętrznych na działalność B+R </w:t>
      </w:r>
      <w:r w:rsidR="003F3245" w:rsidRPr="004E15C0">
        <w:t>(ceny bieżące)</w:t>
      </w:r>
    </w:p>
    <w:tbl>
      <w:tblPr>
        <w:tblStyle w:val="Tabela-Siatka"/>
        <w:tblW w:w="1020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1304"/>
        <w:gridCol w:w="1304"/>
        <w:gridCol w:w="1304"/>
        <w:gridCol w:w="1304"/>
        <w:gridCol w:w="1304"/>
      </w:tblGrid>
      <w:tr w:rsidR="00C03AC2" w:rsidTr="00C03AC2">
        <w:trPr>
          <w:trHeight w:val="312"/>
        </w:trPr>
        <w:tc>
          <w:tcPr>
            <w:tcW w:w="3686" w:type="dxa"/>
            <w:shd w:val="clear" w:color="auto" w:fill="FFE7E7"/>
            <w:vAlign w:val="center"/>
          </w:tcPr>
          <w:p w:rsidR="00C03AC2" w:rsidRPr="00F5184C" w:rsidRDefault="00C03AC2" w:rsidP="00C03AC2">
            <w:pPr>
              <w:pStyle w:val="GWKA"/>
              <w:spacing w:before="0" w:after="0"/>
            </w:pPr>
            <w:r w:rsidRPr="00F5184C">
              <w:t>Wyszczególnienie</w:t>
            </w:r>
          </w:p>
        </w:tc>
        <w:tc>
          <w:tcPr>
            <w:tcW w:w="1304" w:type="dxa"/>
            <w:shd w:val="clear" w:color="auto" w:fill="FFE7E7"/>
            <w:vAlign w:val="center"/>
          </w:tcPr>
          <w:p w:rsidR="00C03AC2" w:rsidRPr="00F5184C" w:rsidRDefault="00C03AC2" w:rsidP="00C03AC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F5184C">
              <w:rPr>
                <w:rFonts w:ascii="Calibri" w:hAnsi="Calibri" w:cs="Arial"/>
                <w:color w:val="000000" w:themeColor="text1"/>
              </w:rPr>
              <w:t>201</w:t>
            </w:r>
            <w:r>
              <w:rPr>
                <w:rFonts w:ascii="Calibri" w:hAnsi="Calibri" w:cs="Arial"/>
                <w:color w:val="000000" w:themeColor="text1"/>
              </w:rPr>
              <w:t>2</w:t>
            </w:r>
          </w:p>
        </w:tc>
        <w:tc>
          <w:tcPr>
            <w:tcW w:w="1304" w:type="dxa"/>
            <w:shd w:val="clear" w:color="auto" w:fill="FFE7E7"/>
            <w:vAlign w:val="center"/>
          </w:tcPr>
          <w:p w:rsidR="00C03AC2" w:rsidRPr="00F5184C" w:rsidRDefault="00C03AC2" w:rsidP="00C03AC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F5184C">
              <w:rPr>
                <w:rFonts w:ascii="Calibri" w:hAnsi="Calibri" w:cs="Arial"/>
                <w:color w:val="000000" w:themeColor="text1"/>
              </w:rPr>
              <w:t>201</w:t>
            </w:r>
            <w:r>
              <w:rPr>
                <w:rFonts w:ascii="Calibri" w:hAnsi="Calibri" w:cs="Arial"/>
                <w:color w:val="000000" w:themeColor="text1"/>
              </w:rPr>
              <w:t>3</w:t>
            </w:r>
          </w:p>
        </w:tc>
        <w:tc>
          <w:tcPr>
            <w:tcW w:w="1304" w:type="dxa"/>
            <w:shd w:val="clear" w:color="auto" w:fill="FFE7E7"/>
            <w:vAlign w:val="center"/>
          </w:tcPr>
          <w:p w:rsidR="00C03AC2" w:rsidRPr="00F5184C" w:rsidRDefault="00C03AC2" w:rsidP="00C03AC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F5184C">
              <w:rPr>
                <w:rFonts w:ascii="Calibri" w:hAnsi="Calibri" w:cs="Arial"/>
                <w:color w:val="000000" w:themeColor="text1"/>
              </w:rPr>
              <w:t>201</w:t>
            </w:r>
            <w:r>
              <w:rPr>
                <w:rFonts w:ascii="Calibri" w:hAnsi="Calibri" w:cs="Arial"/>
                <w:color w:val="000000" w:themeColor="text1"/>
              </w:rPr>
              <w:t>4</w:t>
            </w:r>
          </w:p>
        </w:tc>
        <w:tc>
          <w:tcPr>
            <w:tcW w:w="1304" w:type="dxa"/>
            <w:shd w:val="clear" w:color="auto" w:fill="FFE7E7"/>
            <w:vAlign w:val="center"/>
          </w:tcPr>
          <w:p w:rsidR="00C03AC2" w:rsidRPr="00F5184C" w:rsidRDefault="00C03AC2" w:rsidP="00C03AC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F5184C">
              <w:rPr>
                <w:rFonts w:ascii="Calibri" w:hAnsi="Calibri" w:cs="Arial"/>
                <w:color w:val="000000" w:themeColor="text1"/>
              </w:rPr>
              <w:t>201</w:t>
            </w:r>
            <w:r>
              <w:rPr>
                <w:rFonts w:ascii="Calibri" w:hAnsi="Calibri" w:cs="Arial"/>
                <w:color w:val="000000" w:themeColor="text1"/>
              </w:rPr>
              <w:t>5</w:t>
            </w:r>
          </w:p>
        </w:tc>
        <w:tc>
          <w:tcPr>
            <w:tcW w:w="1304" w:type="dxa"/>
            <w:shd w:val="clear" w:color="auto" w:fill="FFE7E7"/>
          </w:tcPr>
          <w:p w:rsidR="00C03AC2" w:rsidRPr="00F5184C" w:rsidRDefault="00C03AC2" w:rsidP="00C03AC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2016</w:t>
            </w:r>
          </w:p>
        </w:tc>
      </w:tr>
      <w:tr w:rsidR="00C03AC2" w:rsidTr="00C03AC2">
        <w:tc>
          <w:tcPr>
            <w:tcW w:w="3686" w:type="dxa"/>
            <w:vAlign w:val="bottom"/>
          </w:tcPr>
          <w:p w:rsidR="00C03AC2" w:rsidRPr="001F0B14" w:rsidRDefault="00C03AC2" w:rsidP="00451811">
            <w:pPr>
              <w:pStyle w:val="BOK0"/>
              <w:spacing w:before="40" w:line="216" w:lineRule="auto"/>
            </w:pPr>
            <w:r w:rsidRPr="001F0B14">
              <w:t>Nakłady wewnętrzne na badania</w:t>
            </w:r>
            <w:r>
              <w:t xml:space="preserve"> </w:t>
            </w:r>
            <w:r>
              <w:br/>
            </w:r>
            <w:r w:rsidRPr="001F0B14">
              <w:t>i prace rozwojowe (GERD)</w:t>
            </w:r>
            <w:r>
              <w:t xml:space="preserve"> </w:t>
            </w:r>
            <w:r w:rsidRPr="001F0B14">
              <w:t>w mln zł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 w:rsidRPr="001E087A">
              <w:t>1435</w:t>
            </w:r>
            <w:r>
              <w:t>3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>
              <w:t>14424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>
              <w:t>16168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>
              <w:t>18061</w:t>
            </w:r>
          </w:p>
        </w:tc>
        <w:tc>
          <w:tcPr>
            <w:tcW w:w="1304" w:type="dxa"/>
            <w:vAlign w:val="bottom"/>
          </w:tcPr>
          <w:p w:rsidR="00C03AC2" w:rsidRDefault="00C03AC2" w:rsidP="00C03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17943</w:t>
            </w:r>
          </w:p>
        </w:tc>
      </w:tr>
      <w:tr w:rsidR="00C03AC2" w:rsidTr="00C03AC2">
        <w:trPr>
          <w:trHeight w:val="340"/>
        </w:trPr>
        <w:tc>
          <w:tcPr>
            <w:tcW w:w="3686" w:type="dxa"/>
            <w:vAlign w:val="bottom"/>
          </w:tcPr>
          <w:p w:rsidR="00C03AC2" w:rsidRPr="001F0B14" w:rsidRDefault="00C03AC2" w:rsidP="00451811">
            <w:pPr>
              <w:pStyle w:val="BOK0"/>
              <w:spacing w:before="40"/>
            </w:pPr>
            <w:r w:rsidRPr="001F0B14">
              <w:t xml:space="preserve">Relacja </w:t>
            </w:r>
            <w:r>
              <w:t xml:space="preserve">nakładów wewnętrznych </w:t>
            </w:r>
            <w:r>
              <w:br/>
              <w:t>na</w:t>
            </w:r>
            <w:r w:rsidRPr="001F0B14">
              <w:t xml:space="preserve"> </w:t>
            </w:r>
            <w:r>
              <w:t xml:space="preserve">B+R do </w:t>
            </w:r>
            <w:r w:rsidRPr="001F0B14">
              <w:t>PKB w %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 w:rsidRPr="001F0B14">
              <w:t>0,</w:t>
            </w:r>
            <w:r>
              <w:t>88</w:t>
            </w:r>
          </w:p>
        </w:tc>
        <w:tc>
          <w:tcPr>
            <w:tcW w:w="1304" w:type="dxa"/>
            <w:vAlign w:val="bottom"/>
          </w:tcPr>
          <w:p w:rsidR="00C03AC2" w:rsidRPr="00C036A5" w:rsidRDefault="00C03AC2" w:rsidP="00C03AC2">
            <w:pPr>
              <w:pStyle w:val="DANE"/>
              <w:spacing w:before="0"/>
              <w:ind w:left="-113" w:right="57"/>
            </w:pPr>
            <w:r w:rsidRPr="00C036A5">
              <w:t>0,87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>
              <w:t>0,94</w:t>
            </w:r>
          </w:p>
        </w:tc>
        <w:tc>
          <w:tcPr>
            <w:tcW w:w="1304" w:type="dxa"/>
            <w:vAlign w:val="bottom"/>
          </w:tcPr>
          <w:p w:rsidR="00C03AC2" w:rsidRPr="001F0B14" w:rsidRDefault="00C03AC2" w:rsidP="00C03AC2">
            <w:pPr>
              <w:pStyle w:val="DANE"/>
              <w:spacing w:before="0"/>
              <w:ind w:left="-113" w:right="57"/>
            </w:pPr>
            <w:r>
              <w:t>1,00</w:t>
            </w:r>
          </w:p>
        </w:tc>
        <w:tc>
          <w:tcPr>
            <w:tcW w:w="1304" w:type="dxa"/>
            <w:vAlign w:val="bottom"/>
          </w:tcPr>
          <w:p w:rsidR="00C03AC2" w:rsidRDefault="00C03AC2" w:rsidP="00C03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</w:t>
            </w:r>
          </w:p>
        </w:tc>
      </w:tr>
    </w:tbl>
    <w:p w:rsidR="006A63AF" w:rsidRDefault="006A63AF" w:rsidP="006A63AF">
      <w:pPr>
        <w:pStyle w:val="PODTYTU"/>
        <w:ind w:firstLine="0"/>
      </w:pPr>
    </w:p>
    <w:p w:rsidR="00C07A39" w:rsidRDefault="00C07A39" w:rsidP="00E23CB1">
      <w:pPr>
        <w:pStyle w:val="PODTYTU"/>
        <w:numPr>
          <w:ilvl w:val="0"/>
          <w:numId w:val="2"/>
        </w:numPr>
        <w:spacing w:after="120"/>
        <w:ind w:left="567" w:hanging="578"/>
      </w:pPr>
      <w:r>
        <w:t>NAKŁADY WEWNĘTRZNE NA DZIAŁALNOŚĆ BADAWCZĄ I ROZWOJOWĄ</w:t>
      </w:r>
    </w:p>
    <w:p w:rsidR="0027555B" w:rsidRPr="00D51EBA" w:rsidRDefault="0027555B" w:rsidP="0027555B">
      <w:pPr>
        <w:pStyle w:val="Tekst"/>
      </w:pPr>
      <w:r>
        <w:t xml:space="preserve">W ramach nakładów wewnętrznych na działalność B+R wyróżniono dwie główne kategorie – nakłady bieżące oraz nakłady inwestycyjne. W 2016 r. nakłady bieżące wyniosły </w:t>
      </w:r>
      <w:r w:rsidRPr="001D36D2">
        <w:t>14592,9</w:t>
      </w:r>
      <w:r>
        <w:t xml:space="preserve"> mln zł, co stanowiło 81,3% nakładów wewnętrznych. </w:t>
      </w:r>
      <w:r w:rsidRPr="00C9288A">
        <w:t>W porównaniu z rok</w:t>
      </w:r>
      <w:r w:rsidR="003B046C">
        <w:t>iem</w:t>
      </w:r>
      <w:r w:rsidRPr="00C9288A">
        <w:t xml:space="preserve"> poprzednim </w:t>
      </w:r>
      <w:r w:rsidRPr="00D51EBA">
        <w:t>nakłady te były wyższe o 9,6%, zmniejszyły się natomiast nakłady inwestycyjne (o 29,4%).</w:t>
      </w:r>
    </w:p>
    <w:p w:rsidR="001A5673" w:rsidRDefault="001A5673" w:rsidP="00EF7EE0">
      <w:pPr>
        <w:pStyle w:val="Tytuwykresu"/>
        <w:spacing w:before="360"/>
      </w:pPr>
      <w:r w:rsidRPr="00784703">
        <w:t>W</w:t>
      </w:r>
      <w:r w:rsidR="00C07A39">
        <w:t>y</w:t>
      </w:r>
      <w:r w:rsidRPr="00784703">
        <w:t>kres 1.</w:t>
      </w:r>
      <w:r w:rsidRPr="00784703">
        <w:tab/>
      </w:r>
      <w:r w:rsidRPr="00784703">
        <w:tab/>
      </w:r>
      <w:r>
        <w:t>Nakłady wewnętrzne na działalność B+R według głównych kategorii nakładów</w:t>
      </w:r>
    </w:p>
    <w:p w:rsidR="001A0154" w:rsidRDefault="001A0154" w:rsidP="001A0154">
      <w:pPr>
        <w:pStyle w:val="Tytuwykresu"/>
        <w:spacing w:before="360"/>
        <w:jc w:val="center"/>
      </w:pPr>
      <w:r w:rsidRPr="001A0154">
        <w:rPr>
          <w:noProof/>
        </w:rPr>
        <w:drawing>
          <wp:inline distT="0" distB="0" distL="0" distR="0">
            <wp:extent cx="5508000" cy="14582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14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1" w:rsidRDefault="00E170F1" w:rsidP="00F0751E">
      <w:pPr>
        <w:pStyle w:val="Tytuwykresu"/>
        <w:jc w:val="center"/>
        <w:rPr>
          <w:color w:val="000000" w:themeColor="text1"/>
        </w:rPr>
      </w:pPr>
    </w:p>
    <w:p w:rsidR="0027555B" w:rsidRDefault="0027555B" w:rsidP="0027555B">
      <w:pPr>
        <w:spacing w:before="120" w:after="0"/>
        <w:ind w:firstLine="284"/>
        <w:jc w:val="both"/>
      </w:pPr>
      <w:r w:rsidRPr="007A36B0">
        <w:t>W 201</w:t>
      </w:r>
      <w:r>
        <w:t>6</w:t>
      </w:r>
      <w:r w:rsidRPr="007A36B0">
        <w:t xml:space="preserve"> r. </w:t>
      </w:r>
      <w:r>
        <w:t xml:space="preserve">uwzględniając źródła finansowania nakładów wewnętrznych na B+R, </w:t>
      </w:r>
      <w:r w:rsidRPr="007A36B0">
        <w:t>najwyższ</w:t>
      </w:r>
      <w:r>
        <w:t xml:space="preserve">a wartość </w:t>
      </w:r>
      <w:r w:rsidRPr="007A36B0">
        <w:t xml:space="preserve">środków </w:t>
      </w:r>
      <w:r>
        <w:t xml:space="preserve">(9528,4 mln zł) </w:t>
      </w:r>
      <w:r w:rsidRPr="007A36B0">
        <w:t>pochodz</w:t>
      </w:r>
      <w:r>
        <w:t>iła</w:t>
      </w:r>
      <w:r w:rsidRPr="007A36B0">
        <w:t xml:space="preserve"> z sektora </w:t>
      </w:r>
      <w:r>
        <w:t xml:space="preserve">przedsiębiorstw i stanowiła ona </w:t>
      </w:r>
      <w:r w:rsidRPr="00B846D5">
        <w:t>53,</w:t>
      </w:r>
      <w:r w:rsidR="000E67E4">
        <w:t>1</w:t>
      </w:r>
      <w:r w:rsidRPr="00B846D5">
        <w:t>%</w:t>
      </w:r>
      <w:r w:rsidRPr="007A36B0">
        <w:t xml:space="preserve"> wszystkich nakładów poniesionych przez podmioty prowadzące działalność B+R</w:t>
      </w:r>
      <w:r>
        <w:t>; w przypadku sektora rządowego udział ten wyniósł 38,9%.</w:t>
      </w:r>
    </w:p>
    <w:p w:rsidR="003B046C" w:rsidRDefault="003B046C" w:rsidP="0027555B">
      <w:pPr>
        <w:spacing w:before="120" w:after="0"/>
        <w:ind w:firstLine="284"/>
        <w:jc w:val="both"/>
      </w:pPr>
    </w:p>
    <w:p w:rsidR="007E677F" w:rsidRDefault="007E677F" w:rsidP="007E677F">
      <w:pPr>
        <w:pStyle w:val="Tytuwykresu"/>
      </w:pPr>
      <w:r>
        <w:lastRenderedPageBreak/>
        <w:t>Wykres 2.</w:t>
      </w:r>
      <w:r w:rsidRPr="004E15C0">
        <w:tab/>
      </w:r>
      <w:r w:rsidR="00B95503">
        <w:tab/>
      </w:r>
      <w:r>
        <w:t>Struktura nakładów wewnętrznych na działalność B+R według źródeł finansowania</w:t>
      </w:r>
      <w:r w:rsidR="00C03AC2">
        <w:t xml:space="preserve"> w 2016 r.</w:t>
      </w:r>
    </w:p>
    <w:p w:rsidR="000E67E4" w:rsidRDefault="000E67E4" w:rsidP="000E67E4">
      <w:pPr>
        <w:pStyle w:val="Tytuwykresu"/>
        <w:jc w:val="center"/>
      </w:pPr>
      <w:r w:rsidRPr="000E67E4">
        <w:rPr>
          <w:noProof/>
        </w:rPr>
        <w:drawing>
          <wp:inline distT="0" distB="0" distL="0" distR="0">
            <wp:extent cx="5508000" cy="11626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11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73" w:rsidRDefault="001A5673" w:rsidP="003B046C">
      <w:pPr>
        <w:pStyle w:val="rdoPLwykresStrona"/>
        <w:spacing w:before="100"/>
        <w:ind w:left="113"/>
        <w:jc w:val="both"/>
        <w:rPr>
          <w:sz w:val="18"/>
          <w:szCs w:val="18"/>
          <w:lang w:bidi="ar-YE"/>
        </w:rPr>
      </w:pPr>
      <w:r w:rsidRPr="00321C6E">
        <w:rPr>
          <w:i/>
          <w:iCs/>
          <w:sz w:val="18"/>
          <w:szCs w:val="18"/>
          <w:lang w:val="pl-PL"/>
        </w:rPr>
        <w:t>a</w:t>
      </w:r>
      <w:r w:rsidRPr="00321C6E">
        <w:rPr>
          <w:i/>
          <w:iCs/>
          <w:sz w:val="18"/>
          <w:szCs w:val="18"/>
          <w:vertAlign w:val="superscript"/>
          <w:lang w:val="pl-PL"/>
        </w:rPr>
        <w:t xml:space="preserve">  </w:t>
      </w:r>
      <w:r w:rsidR="0027555B" w:rsidRPr="00321C6E">
        <w:rPr>
          <w:sz w:val="18"/>
          <w:szCs w:val="18"/>
          <w:lang w:bidi="ar-YE"/>
        </w:rPr>
        <w:t xml:space="preserve">Środki pochodzące z jednostek </w:t>
      </w:r>
      <w:r w:rsidR="0027555B">
        <w:rPr>
          <w:sz w:val="18"/>
          <w:szCs w:val="18"/>
          <w:lang w:bidi="ar-YE"/>
        </w:rPr>
        <w:t xml:space="preserve">dysponujących środkami publicznymi </w:t>
      </w:r>
      <w:r w:rsidR="0027555B" w:rsidRPr="00321C6E">
        <w:rPr>
          <w:sz w:val="18"/>
          <w:szCs w:val="18"/>
          <w:lang w:bidi="ar-YE"/>
        </w:rPr>
        <w:t>(łącznie ze środkami pochodzącymi bezpośrednio z budżetu państwa i budżetów jednostek samorządu terytorialnego).</w:t>
      </w:r>
    </w:p>
    <w:p w:rsidR="000E67E4" w:rsidRDefault="000E67E4" w:rsidP="00E23CB1">
      <w:pPr>
        <w:pStyle w:val="Tytuwykresu"/>
        <w:spacing w:before="100"/>
      </w:pPr>
    </w:p>
    <w:p w:rsidR="004E0311" w:rsidRDefault="004E0311" w:rsidP="00E23CB1">
      <w:pPr>
        <w:pStyle w:val="Tytuwykresu"/>
        <w:spacing w:before="100"/>
      </w:pPr>
      <w:r>
        <w:t>Wykres 3.</w:t>
      </w:r>
      <w:r w:rsidRPr="004E15C0">
        <w:tab/>
      </w:r>
      <w:r w:rsidRPr="004E15C0">
        <w:tab/>
      </w:r>
      <w:r w:rsidR="00A57B1F">
        <w:t>Struktura n</w:t>
      </w:r>
      <w:r w:rsidRPr="004E15C0">
        <w:t>akład</w:t>
      </w:r>
      <w:r w:rsidR="00A57B1F">
        <w:t>ów</w:t>
      </w:r>
      <w:r w:rsidRPr="004E15C0">
        <w:t xml:space="preserve"> wewnętrzn</w:t>
      </w:r>
      <w:r w:rsidR="00A57B1F">
        <w:t>ych</w:t>
      </w:r>
      <w:r w:rsidRPr="004E15C0">
        <w:t xml:space="preserve"> na działalność B+R według sektorów </w:t>
      </w:r>
      <w:r>
        <w:t>wykonawczych</w:t>
      </w:r>
      <w:r w:rsidR="00E170F1">
        <w:t xml:space="preserve"> w 2016 r.</w:t>
      </w:r>
    </w:p>
    <w:p w:rsidR="001A5673" w:rsidRPr="003C696B" w:rsidRDefault="000E67E4" w:rsidP="000E67E4">
      <w:pPr>
        <w:pStyle w:val="Tytuwykresu"/>
        <w:spacing w:before="100"/>
        <w:jc w:val="center"/>
        <w:rPr>
          <w:color w:val="FFFFFF" w:themeColor="background1"/>
        </w:rPr>
      </w:pPr>
      <w:r w:rsidRPr="000E67E4">
        <w:rPr>
          <w:noProof/>
        </w:rPr>
        <w:drawing>
          <wp:inline distT="0" distB="0" distL="0" distR="0">
            <wp:extent cx="5508000" cy="12065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120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7F" w:rsidRDefault="0027555B" w:rsidP="00E23CB1">
      <w:pPr>
        <w:pStyle w:val="PODTYTU"/>
        <w:numPr>
          <w:ilvl w:val="0"/>
          <w:numId w:val="2"/>
        </w:numPr>
        <w:spacing w:after="120"/>
        <w:ind w:left="567" w:hanging="578"/>
      </w:pPr>
      <w:r>
        <w:t>PRACUJĄCY W DZIAŁALNOŚCI BADAWCZEJ I ROZWOJOWEJ</w:t>
      </w:r>
    </w:p>
    <w:p w:rsidR="0027555B" w:rsidRDefault="0027555B" w:rsidP="00E23CB1">
      <w:pPr>
        <w:pStyle w:val="Tekst"/>
        <w:spacing w:line="216" w:lineRule="auto"/>
      </w:pPr>
      <w:r w:rsidRPr="006A63AF">
        <w:t>W 201</w:t>
      </w:r>
      <w:r>
        <w:t>6</w:t>
      </w:r>
      <w:r w:rsidRPr="006A63AF">
        <w:t xml:space="preserve"> r. </w:t>
      </w:r>
      <w:r>
        <w:t>do</w:t>
      </w:r>
      <w:r w:rsidRPr="006A63AF">
        <w:t xml:space="preserve"> p</w:t>
      </w:r>
      <w:r>
        <w:t>racujących</w:t>
      </w:r>
      <w:r w:rsidRPr="006A63AF">
        <w:t xml:space="preserve"> w działalności badawcz</w:t>
      </w:r>
      <w:r>
        <w:t xml:space="preserve">ej i </w:t>
      </w:r>
      <w:r w:rsidRPr="006A63AF">
        <w:t xml:space="preserve">rozwojowej </w:t>
      </w:r>
      <w:r>
        <w:t>zaliczono</w:t>
      </w:r>
      <w:r w:rsidRPr="006A63AF">
        <w:t xml:space="preserve"> </w:t>
      </w:r>
      <w:r>
        <w:t>171,6</w:t>
      </w:r>
      <w:r w:rsidRPr="006A63AF">
        <w:t xml:space="preserve"> tys. osób</w:t>
      </w:r>
      <w:r>
        <w:t>, z czego 39,1% stanowiły</w:t>
      </w:r>
      <w:r w:rsidRPr="003D6704">
        <w:t xml:space="preserve"> </w:t>
      </w:r>
      <w:r>
        <w:t xml:space="preserve">kobiety. Liczba pracujących w działalności B+R mierzona w ekwiwalentach pełnego czasu pracy </w:t>
      </w:r>
      <w:r w:rsidRPr="00290893">
        <w:t>osiągnęła 1</w:t>
      </w:r>
      <w:r>
        <w:t>11</w:t>
      </w:r>
      <w:r w:rsidRPr="00290893">
        <w:t>,</w:t>
      </w:r>
      <w:r>
        <w:t>8</w:t>
      </w:r>
      <w:r w:rsidRPr="00290893">
        <w:t xml:space="preserve"> tys</w:t>
      </w:r>
      <w:r>
        <w:t>. EPC.</w:t>
      </w:r>
    </w:p>
    <w:p w:rsidR="0027555B" w:rsidRDefault="0027555B" w:rsidP="00E23CB1">
      <w:pPr>
        <w:pStyle w:val="Tytuwykresu"/>
      </w:pPr>
      <w:r>
        <w:t>Wykres 4.</w:t>
      </w:r>
      <w:r w:rsidRPr="004E15C0">
        <w:tab/>
      </w:r>
      <w:r>
        <w:tab/>
        <w:t>Pracujący w działalności B+R w 2016 r.</w:t>
      </w:r>
    </w:p>
    <w:p w:rsidR="00A57B1F" w:rsidRDefault="00A57B1F" w:rsidP="00A57B1F">
      <w:pPr>
        <w:pStyle w:val="Tytuwykresu"/>
        <w:jc w:val="center"/>
      </w:pPr>
      <w:r w:rsidRPr="00A57B1F">
        <w:rPr>
          <w:noProof/>
        </w:rPr>
        <w:drawing>
          <wp:inline distT="0" distB="0" distL="0" distR="0">
            <wp:extent cx="5508000" cy="1251738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12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5B" w:rsidRDefault="0027555B" w:rsidP="00E23CB1">
      <w:pPr>
        <w:pStyle w:val="Tekst"/>
        <w:spacing w:line="216" w:lineRule="auto"/>
      </w:pPr>
      <w:r>
        <w:t xml:space="preserve">W 2016 r. na 1000 pracujących (na podstawie BAEL – </w:t>
      </w:r>
      <w:r w:rsidRPr="004012D0">
        <w:t>w IV kwartale 2016 r.)</w:t>
      </w:r>
      <w:r>
        <w:rPr>
          <w:sz w:val="18"/>
          <w:szCs w:val="18"/>
        </w:rPr>
        <w:t xml:space="preserve"> </w:t>
      </w:r>
      <w:r w:rsidRPr="00B410D8">
        <w:t xml:space="preserve">przypadało </w:t>
      </w:r>
      <w:r>
        <w:t xml:space="preserve">10,5 pracujących </w:t>
      </w:r>
      <w:r w:rsidR="00451811">
        <w:br/>
      </w:r>
      <w:r>
        <w:t xml:space="preserve">w działalność B+R, natomiast 8,1 pracowników naukowo-badawczych. </w:t>
      </w:r>
    </w:p>
    <w:p w:rsidR="0027555B" w:rsidRDefault="0027555B" w:rsidP="00E23CB1">
      <w:pPr>
        <w:pStyle w:val="Tekst"/>
        <w:spacing w:line="216" w:lineRule="auto"/>
      </w:pPr>
      <w:r w:rsidRPr="00B410D8">
        <w:rPr>
          <w:rFonts w:ascii="Calibri" w:eastAsia="Times New Roman" w:hAnsi="Calibri" w:cs="Calibri"/>
          <w:color w:val="000000"/>
        </w:rPr>
        <w:t>W</w:t>
      </w:r>
      <w:r>
        <w:t xml:space="preserve">śród </w:t>
      </w:r>
      <w:r w:rsidRPr="00B410D8">
        <w:rPr>
          <w:rFonts w:ascii="Calibri" w:eastAsia="Times New Roman" w:hAnsi="Calibri" w:cs="Calibri"/>
          <w:color w:val="000000"/>
        </w:rPr>
        <w:t>prac</w:t>
      </w:r>
      <w:r>
        <w:t xml:space="preserve">ujących w działalności badawczej i rozwojowej liczba </w:t>
      </w:r>
      <w:r w:rsidRPr="00896DD1">
        <w:t>badaczy (pracowników naukowo-badawczych) w</w:t>
      </w:r>
      <w:r>
        <w:t xml:space="preserve">yniosła 132,5 tys. osób (77,2%), </w:t>
      </w:r>
      <w:r w:rsidRPr="009D4E85">
        <w:t>z czego kobiety stanowiły 36,4%.</w:t>
      </w:r>
      <w:r>
        <w:t xml:space="preserve"> </w:t>
      </w:r>
    </w:p>
    <w:p w:rsidR="007E677F" w:rsidRDefault="007E677F" w:rsidP="00685839">
      <w:pPr>
        <w:pStyle w:val="Tytutablicy"/>
        <w:spacing w:before="480"/>
      </w:pPr>
      <w:r w:rsidRPr="00A05E80">
        <w:t xml:space="preserve">Tablica </w:t>
      </w:r>
      <w:r w:rsidR="003B046C">
        <w:t>2</w:t>
      </w:r>
      <w:r w:rsidRPr="00A05E80">
        <w:t>.</w:t>
      </w:r>
      <w:r w:rsidRPr="00A05E80">
        <w:tab/>
      </w:r>
      <w:r w:rsidR="00987BBB">
        <w:t>Pracujący</w:t>
      </w:r>
      <w:r w:rsidR="00987BBB" w:rsidRPr="004E15C0">
        <w:t xml:space="preserve"> w działalności B+R według sektorów </w:t>
      </w:r>
      <w:r w:rsidR="00987BBB">
        <w:t>wykonawczych w 2016 r.</w:t>
      </w:r>
    </w:p>
    <w:tbl>
      <w:tblPr>
        <w:tblStyle w:val="Tabela-Siatka"/>
        <w:tblW w:w="1020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89"/>
        <w:gridCol w:w="3189"/>
      </w:tblGrid>
      <w:tr w:rsidR="00987BBB" w:rsidRPr="00872D8D" w:rsidTr="00987BBB">
        <w:trPr>
          <w:trHeight w:val="312"/>
        </w:trPr>
        <w:tc>
          <w:tcPr>
            <w:tcW w:w="3828" w:type="dxa"/>
            <w:shd w:val="clear" w:color="auto" w:fill="FFE7E7"/>
            <w:vAlign w:val="center"/>
          </w:tcPr>
          <w:p w:rsidR="00987BBB" w:rsidRPr="00872D8D" w:rsidRDefault="00987BBB" w:rsidP="00CF77C4">
            <w:pPr>
              <w:pStyle w:val="GWKA"/>
              <w:spacing w:before="0" w:after="0"/>
            </w:pPr>
            <w:r w:rsidRPr="00872D8D">
              <w:t>Sektory</w:t>
            </w:r>
          </w:p>
        </w:tc>
        <w:tc>
          <w:tcPr>
            <w:tcW w:w="3189" w:type="dxa"/>
            <w:shd w:val="clear" w:color="auto" w:fill="FFE7E7"/>
            <w:vAlign w:val="center"/>
          </w:tcPr>
          <w:p w:rsidR="00987BBB" w:rsidRPr="00872D8D" w:rsidRDefault="00987BBB" w:rsidP="00CF77C4">
            <w:pPr>
              <w:pStyle w:val="GWKA"/>
              <w:spacing w:before="0" w:after="0"/>
            </w:pPr>
            <w:r w:rsidRPr="00872D8D">
              <w:t>W tys. os</w:t>
            </w:r>
            <w:r w:rsidRPr="00872D8D">
              <w:rPr>
                <w:rtl/>
                <w:lang w:bidi="ar-YE"/>
              </w:rPr>
              <w:t>ó</w:t>
            </w:r>
            <w:r w:rsidRPr="00872D8D">
              <w:t>b</w:t>
            </w:r>
          </w:p>
        </w:tc>
        <w:tc>
          <w:tcPr>
            <w:tcW w:w="3189" w:type="dxa"/>
            <w:shd w:val="clear" w:color="auto" w:fill="FFE7E7"/>
            <w:vAlign w:val="center"/>
          </w:tcPr>
          <w:p w:rsidR="00987BBB" w:rsidRPr="00872D8D" w:rsidRDefault="00987BBB" w:rsidP="00CF77C4">
            <w:pPr>
              <w:pStyle w:val="GWKA"/>
              <w:spacing w:before="0" w:after="0"/>
            </w:pPr>
            <w:r w:rsidRPr="00872D8D">
              <w:t>W tys. EPC</w:t>
            </w:r>
          </w:p>
        </w:tc>
      </w:tr>
      <w:tr w:rsidR="00987BBB" w:rsidRPr="009133DB" w:rsidTr="00451811">
        <w:trPr>
          <w:trHeight w:val="283"/>
        </w:trPr>
        <w:tc>
          <w:tcPr>
            <w:tcW w:w="3828" w:type="dxa"/>
          </w:tcPr>
          <w:p w:rsidR="00987BBB" w:rsidRPr="009133DB" w:rsidRDefault="00987BBB" w:rsidP="00451811">
            <w:pPr>
              <w:pStyle w:val="BOK0"/>
              <w:spacing w:before="40"/>
              <w:rPr>
                <w:b/>
              </w:rPr>
            </w:pPr>
            <w:r w:rsidRPr="009133DB">
              <w:rPr>
                <w:b/>
              </w:rPr>
              <w:t>Ogółem</w:t>
            </w:r>
          </w:p>
        </w:tc>
        <w:tc>
          <w:tcPr>
            <w:tcW w:w="3189" w:type="dxa"/>
            <w:vAlign w:val="bottom"/>
          </w:tcPr>
          <w:p w:rsidR="00987BBB" w:rsidRPr="009133DB" w:rsidRDefault="00987BBB" w:rsidP="00987BBB">
            <w:pPr>
              <w:pStyle w:val="DANE"/>
              <w:spacing w:before="0"/>
              <w:rPr>
                <w:b/>
              </w:rPr>
            </w:pPr>
            <w:r>
              <w:rPr>
                <w:b/>
              </w:rPr>
              <w:t>171,6</w:t>
            </w:r>
          </w:p>
        </w:tc>
        <w:tc>
          <w:tcPr>
            <w:tcW w:w="3189" w:type="dxa"/>
            <w:vAlign w:val="bottom"/>
          </w:tcPr>
          <w:p w:rsidR="00987BBB" w:rsidRPr="009133DB" w:rsidRDefault="00987BBB" w:rsidP="00987BBB">
            <w:pPr>
              <w:pStyle w:val="DANE"/>
              <w:spacing w:before="0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987BBB" w:rsidTr="00451811">
        <w:trPr>
          <w:trHeight w:val="283"/>
        </w:trPr>
        <w:tc>
          <w:tcPr>
            <w:tcW w:w="3828" w:type="dxa"/>
          </w:tcPr>
          <w:p w:rsidR="00987BBB" w:rsidRPr="00872D8D" w:rsidRDefault="00987BBB" w:rsidP="00451811">
            <w:pPr>
              <w:pStyle w:val="BOK0"/>
              <w:spacing w:before="40"/>
            </w:pPr>
            <w:r w:rsidRPr="00872D8D">
              <w:t>Przedsiębiorstw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69,3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55,8</w:t>
            </w:r>
          </w:p>
        </w:tc>
      </w:tr>
      <w:tr w:rsidR="00987BBB" w:rsidTr="00451811">
        <w:trPr>
          <w:trHeight w:val="283"/>
        </w:trPr>
        <w:tc>
          <w:tcPr>
            <w:tcW w:w="3828" w:type="dxa"/>
          </w:tcPr>
          <w:p w:rsidR="00987BBB" w:rsidRPr="00872D8D" w:rsidRDefault="00987BBB" w:rsidP="00451811">
            <w:pPr>
              <w:pStyle w:val="BOK0"/>
              <w:spacing w:before="40"/>
            </w:pPr>
            <w:r w:rsidRPr="00872D8D">
              <w:t>Rządowy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7,4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3,7</w:t>
            </w:r>
          </w:p>
        </w:tc>
      </w:tr>
      <w:tr w:rsidR="00987BBB" w:rsidTr="00451811">
        <w:trPr>
          <w:trHeight w:val="283"/>
        </w:trPr>
        <w:tc>
          <w:tcPr>
            <w:tcW w:w="3828" w:type="dxa"/>
            <w:tcBorders>
              <w:bottom w:val="single" w:sz="2" w:space="0" w:color="auto"/>
            </w:tcBorders>
          </w:tcPr>
          <w:p w:rsidR="00987BBB" w:rsidRPr="00872D8D" w:rsidRDefault="00987BBB" w:rsidP="00451811">
            <w:pPr>
              <w:pStyle w:val="BOK0"/>
              <w:spacing w:before="40"/>
            </w:pPr>
            <w:r w:rsidRPr="00872D8D">
              <w:t>Szkolnictwa wyższego</w:t>
            </w:r>
          </w:p>
        </w:tc>
        <w:tc>
          <w:tcPr>
            <w:tcW w:w="3189" w:type="dxa"/>
            <w:tcBorders>
              <w:bottom w:val="single" w:sz="2" w:space="0" w:color="auto"/>
            </w:tcBorders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94,0</w:t>
            </w:r>
          </w:p>
        </w:tc>
        <w:tc>
          <w:tcPr>
            <w:tcW w:w="3189" w:type="dxa"/>
            <w:tcBorders>
              <w:bottom w:val="single" w:sz="2" w:space="0" w:color="auto"/>
            </w:tcBorders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51,7</w:t>
            </w:r>
          </w:p>
        </w:tc>
      </w:tr>
      <w:tr w:rsidR="00987BBB" w:rsidTr="00451811">
        <w:trPr>
          <w:trHeight w:val="283"/>
        </w:trPr>
        <w:tc>
          <w:tcPr>
            <w:tcW w:w="3828" w:type="dxa"/>
            <w:vAlign w:val="bottom"/>
          </w:tcPr>
          <w:p w:rsidR="00987BBB" w:rsidRPr="00C57257" w:rsidRDefault="00987BBB" w:rsidP="00451811">
            <w:pPr>
              <w:pStyle w:val="BOK0"/>
              <w:spacing w:before="40" w:line="216" w:lineRule="auto"/>
            </w:pPr>
            <w:r w:rsidRPr="00C57257">
              <w:t xml:space="preserve">Prywatnych instytucji </w:t>
            </w:r>
            <w:r>
              <w:t>n</w:t>
            </w:r>
            <w:r w:rsidRPr="00C57257">
              <w:t>iekomercyjnych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0,9</w:t>
            </w:r>
          </w:p>
        </w:tc>
        <w:tc>
          <w:tcPr>
            <w:tcW w:w="3189" w:type="dxa"/>
            <w:vAlign w:val="bottom"/>
          </w:tcPr>
          <w:p w:rsidR="00987BBB" w:rsidRPr="00F81E37" w:rsidRDefault="00987BBB" w:rsidP="00987BBB">
            <w:pPr>
              <w:pStyle w:val="DANE"/>
              <w:spacing w:before="0"/>
            </w:pPr>
            <w:r>
              <w:t>0,6</w:t>
            </w:r>
          </w:p>
        </w:tc>
      </w:tr>
    </w:tbl>
    <w:p w:rsidR="00987BBB" w:rsidRPr="00AE40C9" w:rsidRDefault="00987BBB" w:rsidP="00E23CB1">
      <w:pPr>
        <w:pStyle w:val="Tekst"/>
        <w:spacing w:line="216" w:lineRule="auto"/>
      </w:pPr>
      <w:r>
        <w:t xml:space="preserve">W 2016 r. w działalność badawczą i rozwojową zaangażowanych było 11,7 tys. pracowników z tytułem profesora oraz 19,1 tys. z tytułem doktora habilitowanego, co stanowiło odpowiednio 6,8% oraz 11,1% pracujących </w:t>
      </w:r>
      <w:r w:rsidR="00F254ED">
        <w:br/>
      </w:r>
      <w:r>
        <w:t>w działalności badawczej i rozwojowej.</w:t>
      </w:r>
      <w:r w:rsidRPr="001C3C4B">
        <w:rPr>
          <w:color w:val="000000" w:themeColor="text1"/>
        </w:rPr>
        <w:t xml:space="preserve"> </w:t>
      </w:r>
      <w:r w:rsidRPr="00AE40C9">
        <w:t xml:space="preserve">W statystykach międzynarodowych za istotną przyjmuje się </w:t>
      </w:r>
      <w:r>
        <w:t xml:space="preserve">liczbę pracujących w działalności </w:t>
      </w:r>
      <w:r w:rsidRPr="00AE40C9">
        <w:t xml:space="preserve">B+R </w:t>
      </w:r>
      <w:r>
        <w:t xml:space="preserve">posiadających </w:t>
      </w:r>
      <w:r w:rsidRPr="00AE40C9">
        <w:t>co najmniej stop</w:t>
      </w:r>
      <w:r>
        <w:t>ień</w:t>
      </w:r>
      <w:r w:rsidRPr="00AE40C9">
        <w:t xml:space="preserve"> naukowy </w:t>
      </w:r>
      <w:r>
        <w:t>doktora; w</w:t>
      </w:r>
      <w:r w:rsidRPr="00AE40C9">
        <w:t xml:space="preserve"> Polsce w 201</w:t>
      </w:r>
      <w:r>
        <w:t>6</w:t>
      </w:r>
      <w:r w:rsidRPr="00AE40C9">
        <w:t xml:space="preserve"> r. </w:t>
      </w:r>
      <w:r>
        <w:t xml:space="preserve">liczba </w:t>
      </w:r>
      <w:r w:rsidR="00F254ED">
        <w:br/>
      </w:r>
      <w:r>
        <w:t xml:space="preserve">ta </w:t>
      </w:r>
      <w:r w:rsidRPr="00AE40C9">
        <w:t xml:space="preserve">wyniosła </w:t>
      </w:r>
      <w:r>
        <w:t>46</w:t>
      </w:r>
      <w:r w:rsidRPr="00196DBB">
        <w:t>,</w:t>
      </w:r>
      <w:r>
        <w:t>3</w:t>
      </w:r>
      <w:r w:rsidRPr="00AE40C9">
        <w:t xml:space="preserve"> tys.</w:t>
      </w:r>
      <w:r>
        <w:t xml:space="preserve"> osób, co stanowiło 27,0% pracujących w działalności badawczej i rozwojowej</w:t>
      </w:r>
      <w:r w:rsidRPr="00AE40C9">
        <w:t xml:space="preserve">. </w:t>
      </w:r>
    </w:p>
    <w:p w:rsidR="00C07A39" w:rsidRDefault="00C07A39" w:rsidP="007E677F">
      <w:pPr>
        <w:pStyle w:val="PODTYTU"/>
      </w:pPr>
      <w:r>
        <w:lastRenderedPageBreak/>
        <w:t>Uwagi metodyczne</w:t>
      </w:r>
    </w:p>
    <w:p w:rsidR="0027555B" w:rsidRPr="00F56132" w:rsidRDefault="0027555B" w:rsidP="0027555B">
      <w:pPr>
        <w:pStyle w:val="Tekst"/>
      </w:pPr>
      <w:r w:rsidRPr="00F56132">
        <w:rPr>
          <w:b/>
        </w:rPr>
        <w:t>1.</w:t>
      </w:r>
      <w:r w:rsidRPr="00F56132">
        <w:t xml:space="preserve"> Informację opracowano na podstawie wyników badań GUS </w:t>
      </w:r>
      <w:r w:rsidRPr="00F56132">
        <w:rPr>
          <w:i/>
        </w:rPr>
        <w:t>Działalność badawcza i rozwojowa (B+R)</w:t>
      </w:r>
      <w:r w:rsidRPr="00F56132">
        <w:t xml:space="preserve">, przeprowadzonych zgodnie z zaleceniami metodycznymi </w:t>
      </w:r>
      <w:r w:rsidRPr="00F56132">
        <w:rPr>
          <w:i/>
        </w:rPr>
        <w:t>Podręcznika Frascati</w:t>
      </w:r>
      <w:r w:rsidRPr="00F56132">
        <w:t xml:space="preserve"> (2015).</w:t>
      </w:r>
    </w:p>
    <w:p w:rsidR="0027555B" w:rsidRPr="00F56132" w:rsidRDefault="0027555B" w:rsidP="001A0154">
      <w:pPr>
        <w:pStyle w:val="Tekst"/>
        <w:spacing w:before="80"/>
      </w:pPr>
      <w:r w:rsidRPr="00F56132">
        <w:rPr>
          <w:b/>
        </w:rPr>
        <w:t>2.</w:t>
      </w:r>
      <w:r w:rsidRPr="00F56132">
        <w:t xml:space="preserve"> Badaniem działalności badawczej i rozwojowej objęto podmioty prowadzące działalność badawczą </w:t>
      </w:r>
      <w:r w:rsidRPr="00F56132">
        <w:br/>
        <w:t xml:space="preserve">i rozwojową w sposób ciągły lub doraźny, finansujących wykonanie prac badawczych i rozwojowych oraz alokujące środki na badania naukowe i prace rozwojowe. </w:t>
      </w:r>
    </w:p>
    <w:p w:rsidR="0027555B" w:rsidRPr="00F56132" w:rsidRDefault="0027555B" w:rsidP="001A0154">
      <w:pPr>
        <w:pStyle w:val="Tekst"/>
        <w:spacing w:before="80"/>
      </w:pPr>
      <w:r w:rsidRPr="00F56132">
        <w:rPr>
          <w:b/>
        </w:rPr>
        <w:t>3.</w:t>
      </w:r>
      <w:r w:rsidRPr="00F56132">
        <w:t xml:space="preserve"> W międzynarodowych badaniach nakładów poniesionych na prace B+R stosuje się klasyfikację źródeł pochodzenia środków zgodną z klasyfikacją instytucjonalną według </w:t>
      </w:r>
      <w:r w:rsidRPr="00F56132">
        <w:rPr>
          <w:i/>
        </w:rPr>
        <w:t xml:space="preserve">Podręcznika Frascati </w:t>
      </w:r>
      <w:r w:rsidRPr="00F56132">
        <w:t>(2015), z uwzględnieniem kryteriów zbieżnych ze stosowanymi w systemie Rachunków Narodowych, w</w:t>
      </w:r>
      <w:r w:rsidR="00F254ED">
        <w:t xml:space="preserve"> </w:t>
      </w:r>
      <w:r w:rsidRPr="00F56132">
        <w:t xml:space="preserve">ramach której wyróżniono: </w:t>
      </w:r>
    </w:p>
    <w:p w:rsidR="0027555B" w:rsidRPr="00B410D8" w:rsidRDefault="0027555B" w:rsidP="00F254ED">
      <w:pPr>
        <w:pStyle w:val="Tekstprzypisudolnego"/>
        <w:spacing w:after="0"/>
        <w:ind w:left="1" w:firstLine="566"/>
        <w:jc w:val="both"/>
        <w:rPr>
          <w:sz w:val="22"/>
          <w:szCs w:val="22"/>
        </w:rPr>
      </w:pPr>
      <w:r w:rsidRPr="00B410D8">
        <w:rPr>
          <w:sz w:val="22"/>
          <w:szCs w:val="22"/>
        </w:rPr>
        <w:t>Sektor rządowy – podmioty sektora instytucji rządowych i samorządowych w systemie rachunków narodowych z wyłącze</w:t>
      </w:r>
      <w:r>
        <w:rPr>
          <w:sz w:val="22"/>
          <w:szCs w:val="22"/>
        </w:rPr>
        <w:t>niem publicznych szkół wyższych;</w:t>
      </w:r>
      <w:r w:rsidRPr="00B410D8">
        <w:rPr>
          <w:sz w:val="22"/>
          <w:szCs w:val="22"/>
        </w:rPr>
        <w:t xml:space="preserve"> </w:t>
      </w:r>
    </w:p>
    <w:p w:rsidR="0027555B" w:rsidRPr="00B410D8" w:rsidRDefault="0027555B" w:rsidP="00F254ED">
      <w:pPr>
        <w:pStyle w:val="Tekstprzypisudolnego"/>
        <w:spacing w:after="0"/>
        <w:ind w:firstLine="566"/>
        <w:jc w:val="both"/>
        <w:rPr>
          <w:sz w:val="22"/>
          <w:szCs w:val="22"/>
        </w:rPr>
      </w:pPr>
      <w:r w:rsidRPr="00B410D8">
        <w:rPr>
          <w:sz w:val="22"/>
          <w:szCs w:val="22"/>
        </w:rPr>
        <w:t>Sektor przedsiębiorstw – krajowe podmioty gospodarcze, klasyfikowane w systemie rachunków narodowych do sektorów przedsiębiorstw niefinansowych, instytucji finansowych oraz gospodarstw domowych, z wyłącz</w:t>
      </w:r>
      <w:r>
        <w:rPr>
          <w:sz w:val="22"/>
          <w:szCs w:val="22"/>
        </w:rPr>
        <w:t>eniem prywatnych szkół wyższych;</w:t>
      </w:r>
      <w:r w:rsidRPr="00B410D8">
        <w:rPr>
          <w:sz w:val="22"/>
          <w:szCs w:val="22"/>
        </w:rPr>
        <w:t xml:space="preserve"> </w:t>
      </w:r>
    </w:p>
    <w:p w:rsidR="0027555B" w:rsidRPr="00B410D8" w:rsidRDefault="0027555B" w:rsidP="00F254ED">
      <w:pPr>
        <w:pStyle w:val="Tekstprzypisudolnego"/>
        <w:spacing w:after="0"/>
        <w:ind w:firstLine="566"/>
        <w:jc w:val="both"/>
        <w:rPr>
          <w:sz w:val="22"/>
          <w:szCs w:val="22"/>
        </w:rPr>
      </w:pPr>
      <w:r w:rsidRPr="00B410D8">
        <w:rPr>
          <w:sz w:val="22"/>
          <w:szCs w:val="22"/>
        </w:rPr>
        <w:t>Sektor szkolnictwa wyższego – krajowe szkoły wyższe: publiczne i prywatne (w tym organizacji wyznaniowych) oraz podległe im instytuty, centra badawcze i kliniki. Od 2016 r. do tego sektora zaliczane są również instytuty PAN oraz instytuty badawcze prowadzące studia doktoranc</w:t>
      </w:r>
      <w:r>
        <w:rPr>
          <w:sz w:val="22"/>
          <w:szCs w:val="22"/>
        </w:rPr>
        <w:t>kie;</w:t>
      </w:r>
      <w:r w:rsidRPr="00B410D8">
        <w:rPr>
          <w:sz w:val="22"/>
          <w:szCs w:val="22"/>
        </w:rPr>
        <w:t xml:space="preserve"> </w:t>
      </w:r>
    </w:p>
    <w:p w:rsidR="0027555B" w:rsidRPr="00B410D8" w:rsidRDefault="0027555B" w:rsidP="00F254ED">
      <w:pPr>
        <w:pStyle w:val="Tekstprzypisudolnego"/>
        <w:spacing w:after="0"/>
        <w:ind w:firstLine="566"/>
        <w:jc w:val="both"/>
        <w:rPr>
          <w:sz w:val="22"/>
          <w:szCs w:val="22"/>
        </w:rPr>
      </w:pPr>
      <w:r w:rsidRPr="00B410D8">
        <w:rPr>
          <w:sz w:val="22"/>
          <w:szCs w:val="22"/>
        </w:rPr>
        <w:t>Sektor prywatnych instytucji niekomercyjnych – krajowe podmioty klasyfikowane w systemie rachunków narodowych do sektora instytucji niekomercyjnych działających na rzecz gospodarstw domowych, z wyłączeniem szkół wy</w:t>
      </w:r>
      <w:r>
        <w:rPr>
          <w:sz w:val="22"/>
          <w:szCs w:val="22"/>
        </w:rPr>
        <w:t>ższych organizacji wyznaniowych;</w:t>
      </w:r>
      <w:r w:rsidRPr="00B410D8">
        <w:rPr>
          <w:sz w:val="22"/>
          <w:szCs w:val="22"/>
        </w:rPr>
        <w:t xml:space="preserve"> </w:t>
      </w:r>
    </w:p>
    <w:p w:rsidR="0027555B" w:rsidRPr="00B410D8" w:rsidRDefault="0027555B" w:rsidP="0027555B">
      <w:pPr>
        <w:pStyle w:val="Tekstprzypisudolnego"/>
        <w:spacing w:after="0"/>
        <w:jc w:val="both"/>
        <w:rPr>
          <w:sz w:val="22"/>
          <w:szCs w:val="22"/>
        </w:rPr>
      </w:pPr>
      <w:r w:rsidRPr="00B410D8">
        <w:rPr>
          <w:sz w:val="22"/>
          <w:szCs w:val="22"/>
        </w:rPr>
        <w:t>Zagranica – obejmuje jednostki będące nierezydentami, które dokonują transakcji z jednostkami instytucjonalnymi będącymi rezydentami lub mającymi inne powiązania gospodarcze z rezydentami.</w:t>
      </w:r>
    </w:p>
    <w:p w:rsidR="0027555B" w:rsidRPr="00F56132" w:rsidRDefault="0027555B" w:rsidP="001A0154">
      <w:pPr>
        <w:pStyle w:val="Tekst"/>
        <w:spacing w:before="80"/>
      </w:pPr>
      <w:r w:rsidRPr="00F56132">
        <w:rPr>
          <w:b/>
        </w:rPr>
        <w:t>4.</w:t>
      </w:r>
      <w:r w:rsidRPr="00F56132">
        <w:t xml:space="preserve"> Spośród sektorów instytucjonalnych wyróżnia się cztery sektory wykonawcze, tj. krajowe grupy podmiotów, w których prowadzone są badania naukowe lub prace rozwojowe: sektor przedsiębiorstw, sektor rządowy, sektor szkolnictwa wyższego oraz sektor prywatnych instytucji niekomercyjnych.</w:t>
      </w:r>
    </w:p>
    <w:p w:rsidR="0027555B" w:rsidRPr="00F56132" w:rsidRDefault="0027555B" w:rsidP="001A0154">
      <w:pPr>
        <w:pStyle w:val="Tekst"/>
        <w:spacing w:before="80"/>
      </w:pPr>
      <w:r w:rsidRPr="00F56132">
        <w:rPr>
          <w:b/>
        </w:rPr>
        <w:t>5.</w:t>
      </w:r>
      <w:r w:rsidRPr="00F56132">
        <w:t xml:space="preserve"> Nakłady wewnętrzne to nakłady finansowe poniesione w roku sprawozdawczym wyłącznie na działalność B+R prowadzoną wewnątrz jednostki sprawozdawczej.</w:t>
      </w:r>
    </w:p>
    <w:p w:rsidR="0027555B" w:rsidRDefault="0027555B" w:rsidP="001A0154">
      <w:pPr>
        <w:pStyle w:val="Tekstprzypisudolnego"/>
        <w:spacing w:before="80" w:after="0" w:line="240" w:lineRule="auto"/>
        <w:ind w:firstLine="284"/>
        <w:jc w:val="both"/>
      </w:pPr>
      <w:r w:rsidRPr="00B410D8">
        <w:rPr>
          <w:b/>
          <w:sz w:val="22"/>
          <w:szCs w:val="22"/>
        </w:rPr>
        <w:t>6.</w:t>
      </w:r>
      <w:r w:rsidRPr="00B410D8">
        <w:rPr>
          <w:sz w:val="22"/>
          <w:szCs w:val="22"/>
        </w:rPr>
        <w:t xml:space="preserve"> Personel obejmuje wszystkie osoby zaangażowane bezpośrednio w działalność B+R realizowaną w jednostce sprawozdawczej (w ramach podstawowego czasu pracy lub poza nim – w ramach umów cywilnoprawnych </w:t>
      </w:r>
      <w:r w:rsidR="001A0154">
        <w:rPr>
          <w:sz w:val="22"/>
          <w:szCs w:val="22"/>
        </w:rPr>
        <w:br/>
      </w:r>
      <w:r w:rsidRPr="00B410D8">
        <w:rPr>
          <w:sz w:val="22"/>
          <w:szCs w:val="22"/>
        </w:rPr>
        <w:t xml:space="preserve">z pracodawcą). </w:t>
      </w:r>
    </w:p>
    <w:p w:rsidR="0027555B" w:rsidRPr="00B410D8" w:rsidRDefault="0027555B" w:rsidP="001A0154">
      <w:pPr>
        <w:pStyle w:val="Tekstprzypisudolnego"/>
        <w:spacing w:before="80" w:after="0" w:line="240" w:lineRule="auto"/>
        <w:ind w:firstLine="284"/>
        <w:jc w:val="both"/>
      </w:pPr>
      <w:r w:rsidRPr="00B410D8">
        <w:rPr>
          <w:b/>
          <w:sz w:val="22"/>
          <w:szCs w:val="22"/>
        </w:rPr>
        <w:t>7.</w:t>
      </w:r>
      <w:r w:rsidRPr="00B410D8">
        <w:rPr>
          <w:sz w:val="22"/>
          <w:szCs w:val="22"/>
        </w:rPr>
        <w:t xml:space="preserve"> Personel zaprezentowano w osobach oraz w jednostkach przeliczeniowych – ekwiwalentach pełnego czasu pracy (osobolatach). Jeden ekwiwalent pełnego czasu pracy (EPC) oznacza jeden osoborok poświęcony wyłącznie na działalność B+R.</w:t>
      </w:r>
    </w:p>
    <w:p w:rsidR="0027555B" w:rsidRDefault="0027555B" w:rsidP="001A0154">
      <w:pPr>
        <w:spacing w:before="80" w:after="0"/>
        <w:ind w:firstLine="284"/>
        <w:jc w:val="both"/>
      </w:pPr>
      <w:r w:rsidRPr="00F56132">
        <w:rPr>
          <w:b/>
        </w:rPr>
        <w:t>8.</w:t>
      </w:r>
      <w:r w:rsidRPr="00F56132">
        <w:t xml:space="preserve"> Dokładne wyjaśnienia pojęć zostaną zawarte w uwagach metodycznych publikacji </w:t>
      </w:r>
      <w:r w:rsidRPr="00F56132">
        <w:rPr>
          <w:i/>
        </w:rPr>
        <w:t xml:space="preserve">Działalność badawcza </w:t>
      </w:r>
      <w:r w:rsidR="001A0154">
        <w:rPr>
          <w:i/>
        </w:rPr>
        <w:br/>
      </w:r>
      <w:r w:rsidRPr="00F56132">
        <w:rPr>
          <w:i/>
        </w:rPr>
        <w:t>i rozwojowa w Polsce w 2016 r</w:t>
      </w:r>
      <w:r w:rsidRPr="00F56132">
        <w:t>.</w:t>
      </w:r>
    </w:p>
    <w:p w:rsidR="00E23CB1" w:rsidRDefault="00E23CB1" w:rsidP="001A0154">
      <w:pPr>
        <w:spacing w:before="80" w:after="0"/>
        <w:ind w:firstLine="284"/>
        <w:jc w:val="both"/>
      </w:pPr>
    </w:p>
    <w:p w:rsidR="001A0154" w:rsidRPr="00F56132" w:rsidRDefault="001A0154" w:rsidP="001A0154">
      <w:pPr>
        <w:spacing w:before="120" w:after="0"/>
        <w:ind w:firstLine="284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10"/>
      </w:tblGrid>
      <w:tr w:rsidR="00AF15E0" w:rsidRPr="00C03AC2" w:rsidTr="0032112F">
        <w:trPr>
          <w:jc w:val="center"/>
        </w:trPr>
        <w:tc>
          <w:tcPr>
            <w:tcW w:w="4630" w:type="dxa"/>
          </w:tcPr>
          <w:p w:rsidR="00AF15E0" w:rsidRPr="00C03AC2" w:rsidRDefault="00AF15E0" w:rsidP="00AF1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AC2">
              <w:rPr>
                <w:rFonts w:cstheme="minorHAnsi"/>
                <w:sz w:val="20"/>
                <w:szCs w:val="20"/>
              </w:rPr>
              <w:t>Opracowanie merytoryczne:</w:t>
            </w:r>
          </w:p>
          <w:p w:rsidR="00AF15E0" w:rsidRPr="00C03AC2" w:rsidRDefault="00AF15E0" w:rsidP="00AF1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AC2">
              <w:rPr>
                <w:rFonts w:cstheme="minorHAnsi"/>
                <w:b/>
                <w:sz w:val="20"/>
                <w:szCs w:val="20"/>
              </w:rPr>
              <w:t>Urząd Statystyczny w Szczecinie</w:t>
            </w:r>
          </w:p>
          <w:p w:rsidR="00AF15E0" w:rsidRPr="00C03AC2" w:rsidRDefault="00AF15E0" w:rsidP="00AF1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AC2">
              <w:rPr>
                <w:rFonts w:cstheme="minorHAnsi"/>
                <w:b/>
                <w:sz w:val="20"/>
                <w:szCs w:val="20"/>
              </w:rPr>
              <w:t xml:space="preserve">Ośrodek Statystyki Nauki, Techniki, Innowacji </w:t>
            </w:r>
            <w:r w:rsidRPr="00C03AC2">
              <w:rPr>
                <w:rFonts w:cstheme="minorHAnsi"/>
                <w:b/>
                <w:sz w:val="20"/>
                <w:szCs w:val="20"/>
              </w:rPr>
              <w:br/>
              <w:t>i Społeczeństwa Informacyjnego</w:t>
            </w:r>
          </w:p>
          <w:p w:rsidR="00685839" w:rsidRPr="00C03AC2" w:rsidRDefault="00685839" w:rsidP="00AF1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AC2">
              <w:rPr>
                <w:rFonts w:cstheme="minorHAnsi"/>
                <w:b/>
                <w:sz w:val="20"/>
                <w:szCs w:val="20"/>
              </w:rPr>
              <w:t xml:space="preserve">Marta Sobieraj </w:t>
            </w:r>
          </w:p>
          <w:p w:rsidR="00AF15E0" w:rsidRPr="00C03AC2" w:rsidRDefault="00AF15E0" w:rsidP="00AF15E0">
            <w:pPr>
              <w:pStyle w:val="Nagwek3"/>
              <w:spacing w:line="240" w:lineRule="auto"/>
              <w:outlineLvl w:val="2"/>
              <w:rPr>
                <w:sz w:val="20"/>
              </w:rPr>
            </w:pPr>
            <w:r w:rsidRPr="00C03AC2">
              <w:rPr>
                <w:rFonts w:asciiTheme="minorHAnsi" w:hAnsiTheme="minorHAnsi" w:cstheme="minorHAnsi"/>
                <w:sz w:val="20"/>
                <w:lang w:val="fi-FI"/>
              </w:rPr>
              <w:t>Tel: 91 459 77 09, 91 459 75 83</w:t>
            </w:r>
          </w:p>
        </w:tc>
        <w:tc>
          <w:tcPr>
            <w:tcW w:w="4710" w:type="dxa"/>
          </w:tcPr>
          <w:p w:rsidR="00AF15E0" w:rsidRPr="00C03AC2" w:rsidRDefault="00AF15E0" w:rsidP="00AF1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AC2">
              <w:rPr>
                <w:rFonts w:cstheme="minorHAnsi"/>
                <w:sz w:val="20"/>
                <w:szCs w:val="20"/>
              </w:rPr>
              <w:t>Rozpowszechnianie:</w:t>
            </w:r>
            <w:r w:rsidRPr="00C03AC2">
              <w:rPr>
                <w:rFonts w:cstheme="minorHAnsi"/>
                <w:sz w:val="20"/>
                <w:szCs w:val="20"/>
              </w:rPr>
              <w:br/>
            </w:r>
            <w:r w:rsidRPr="00C03AC2">
              <w:rPr>
                <w:rFonts w:cstheme="minorHAnsi"/>
                <w:b/>
                <w:sz w:val="20"/>
                <w:szCs w:val="20"/>
              </w:rPr>
              <w:t>Rzecznik Prasowy Prezesa GUS</w:t>
            </w:r>
          </w:p>
          <w:p w:rsidR="00160371" w:rsidRPr="00C03AC2" w:rsidRDefault="00160371" w:rsidP="00160371">
            <w:pPr>
              <w:pStyle w:val="stanwdniuStrona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3AC2">
              <w:rPr>
                <w:rFonts w:asciiTheme="minorHAnsi" w:hAnsiTheme="minorHAnsi"/>
                <w:b/>
                <w:bCs/>
                <w:sz w:val="20"/>
                <w:szCs w:val="20"/>
              </w:rPr>
              <w:t>Karolina Dawidziuk</w:t>
            </w:r>
          </w:p>
          <w:p w:rsidR="00160371" w:rsidRPr="00C03AC2" w:rsidRDefault="00160371" w:rsidP="00160371">
            <w:pPr>
              <w:pStyle w:val="Nagwek3"/>
              <w:spacing w:line="240" w:lineRule="auto"/>
              <w:outlineLvl w:val="2"/>
              <w:rPr>
                <w:rFonts w:asciiTheme="minorHAnsi" w:hAnsiTheme="minorHAnsi" w:cstheme="minorHAnsi"/>
                <w:sz w:val="20"/>
                <w:lang w:val="fi-FI"/>
              </w:rPr>
            </w:pPr>
            <w:r w:rsidRPr="00C03AC2">
              <w:rPr>
                <w:rFonts w:asciiTheme="minorHAnsi" w:hAnsiTheme="minorHAnsi" w:cstheme="minorHAnsi"/>
                <w:sz w:val="20"/>
                <w:lang w:val="fi-FI"/>
              </w:rPr>
              <w:t xml:space="preserve">Tel: </w:t>
            </w:r>
            <w:r w:rsidRPr="00C03AC2">
              <w:rPr>
                <w:rFonts w:asciiTheme="minorHAnsi" w:hAnsiTheme="minorHAnsi"/>
                <w:bCs/>
                <w:sz w:val="20"/>
              </w:rPr>
              <w:t>22 608 3475,  22 608 3009</w:t>
            </w:r>
          </w:p>
          <w:p w:rsidR="00AF15E0" w:rsidRPr="00C03AC2" w:rsidRDefault="00AF15E0" w:rsidP="00AF15E0">
            <w:pPr>
              <w:jc w:val="center"/>
              <w:rPr>
                <w:sz w:val="20"/>
                <w:szCs w:val="20"/>
                <w:lang w:val="de-DE"/>
              </w:rPr>
            </w:pPr>
            <w:r w:rsidRPr="00C03AC2">
              <w:rPr>
                <w:rFonts w:cstheme="minorHAnsi"/>
                <w:b/>
                <w:sz w:val="20"/>
                <w:szCs w:val="20"/>
                <w:lang w:val="en-US"/>
              </w:rPr>
              <w:t>e-mail</w:t>
            </w:r>
            <w:r w:rsidRPr="00C03AC2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hyperlink r:id="rId13" w:history="1">
              <w:r w:rsidRPr="00C03AC2">
                <w:rPr>
                  <w:rStyle w:val="Hipercze"/>
                  <w:rFonts w:cstheme="minorHAnsi"/>
                  <w:b/>
                  <w:szCs w:val="20"/>
                  <w:lang w:val="en-GB"/>
                </w:rPr>
                <w:t>rzecznik@stat.gov.pl</w:t>
              </w:r>
            </w:hyperlink>
            <w:r w:rsidRPr="00C03AC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F15E0" w:rsidRPr="00C03AC2" w:rsidTr="00C03AC2">
        <w:trPr>
          <w:trHeight w:val="170"/>
          <w:jc w:val="center"/>
        </w:trPr>
        <w:tc>
          <w:tcPr>
            <w:tcW w:w="9340" w:type="dxa"/>
            <w:gridSpan w:val="2"/>
          </w:tcPr>
          <w:p w:rsidR="00AF15E0" w:rsidRPr="00C03AC2" w:rsidRDefault="00AF15E0" w:rsidP="00C03AC2">
            <w:pPr>
              <w:spacing w:before="100" w:line="21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3AC2">
              <w:rPr>
                <w:rFonts w:cstheme="minorHAnsi"/>
                <w:sz w:val="20"/>
                <w:szCs w:val="20"/>
              </w:rPr>
              <w:t>Obszar tematyczny Nauka i technika, Społeczeństwo informacyjne:</w:t>
            </w:r>
          </w:p>
          <w:p w:rsidR="00AF15E0" w:rsidRPr="00C03AC2" w:rsidRDefault="00A23492" w:rsidP="00C03AC2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AF15E0" w:rsidRPr="00C03AC2">
                <w:rPr>
                  <w:rStyle w:val="Hipercze"/>
                  <w:szCs w:val="20"/>
                </w:rPr>
                <w:t>http://stat.gov.pl/obszary-tematyczne/nauka-i-technika-spoleczenstwo-informacyjne/</w:t>
              </w:r>
            </w:hyperlink>
          </w:p>
        </w:tc>
      </w:tr>
    </w:tbl>
    <w:p w:rsidR="004F35CA" w:rsidRPr="0032112F" w:rsidRDefault="004F35CA" w:rsidP="0032112F">
      <w:pPr>
        <w:pStyle w:val="Akapitzlist"/>
        <w:ind w:left="1080" w:hanging="938"/>
      </w:pPr>
    </w:p>
    <w:sectPr w:rsidR="004F35CA" w:rsidRPr="0032112F" w:rsidSect="0032112F">
      <w:footerReference w:type="default" r:id="rId15"/>
      <w:pgSz w:w="11906" w:h="16838" w:code="9"/>
      <w:pgMar w:top="851" w:right="851" w:bottom="851" w:left="851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92" w:rsidRDefault="00A23492" w:rsidP="00670E4C">
      <w:pPr>
        <w:spacing w:after="0"/>
      </w:pPr>
      <w:r>
        <w:separator/>
      </w:r>
    </w:p>
  </w:endnote>
  <w:endnote w:type="continuationSeparator" w:id="0">
    <w:p w:rsidR="00A23492" w:rsidRDefault="00A23492" w:rsidP="00670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5485"/>
      <w:docPartObj>
        <w:docPartGallery w:val="Page Numbers (Bottom of Page)"/>
        <w:docPartUnique/>
      </w:docPartObj>
    </w:sdtPr>
    <w:sdtEndPr/>
    <w:sdtContent>
      <w:p w:rsidR="006F0419" w:rsidRDefault="00C074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419" w:rsidRDefault="006F0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92" w:rsidRDefault="00A23492" w:rsidP="00670E4C">
      <w:pPr>
        <w:spacing w:after="0"/>
      </w:pPr>
      <w:r>
        <w:separator/>
      </w:r>
    </w:p>
  </w:footnote>
  <w:footnote w:type="continuationSeparator" w:id="0">
    <w:p w:rsidR="00A23492" w:rsidRDefault="00A23492" w:rsidP="00670E4C">
      <w:pPr>
        <w:spacing w:after="0"/>
      </w:pPr>
      <w:r>
        <w:continuationSeparator/>
      </w:r>
    </w:p>
  </w:footnote>
  <w:footnote w:id="1">
    <w:p w:rsidR="0027555B" w:rsidRDefault="0027555B" w:rsidP="0027555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B046C">
        <w:rPr>
          <w:spacing w:val="-4"/>
        </w:rPr>
        <w:t>Dane dotyczące działalności badawczej i rozwojowej według sektorów wykonawczych oraz personelu B+R są nieporównywalne</w:t>
      </w:r>
      <w:r>
        <w:t xml:space="preserve"> </w:t>
      </w:r>
      <w:r w:rsidR="003B046C">
        <w:br/>
      </w:r>
      <w:r>
        <w:t xml:space="preserve">z latami poprzednimi, ze względu na zmianę metodyki. </w:t>
      </w:r>
    </w:p>
    <w:p w:rsidR="0027555B" w:rsidRPr="00850DE8" w:rsidRDefault="0027555B" w:rsidP="0027555B">
      <w:pPr>
        <w:pStyle w:val="Tekstprzypisudolnego"/>
        <w:spacing w:after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6C1"/>
    <w:multiLevelType w:val="hybridMultilevel"/>
    <w:tmpl w:val="81960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336C"/>
    <w:multiLevelType w:val="hybridMultilevel"/>
    <w:tmpl w:val="FCAE4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97815"/>
    <w:multiLevelType w:val="hybridMultilevel"/>
    <w:tmpl w:val="AF78236E"/>
    <w:lvl w:ilvl="0" w:tplc="47C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7B5A"/>
    <w:multiLevelType w:val="hybridMultilevel"/>
    <w:tmpl w:val="08A4E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7B010A"/>
    <w:multiLevelType w:val="hybridMultilevel"/>
    <w:tmpl w:val="80605E0A"/>
    <w:lvl w:ilvl="0" w:tplc="03BA6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106C2"/>
    <w:multiLevelType w:val="hybridMultilevel"/>
    <w:tmpl w:val="EE84F0A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72A4589A"/>
    <w:multiLevelType w:val="hybridMultilevel"/>
    <w:tmpl w:val="C032C4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0045DA"/>
    <w:rsid w:val="000053D4"/>
    <w:rsid w:val="00005892"/>
    <w:rsid w:val="00012CD9"/>
    <w:rsid w:val="00013071"/>
    <w:rsid w:val="0001663B"/>
    <w:rsid w:val="0002203F"/>
    <w:rsid w:val="00023910"/>
    <w:rsid w:val="00033C84"/>
    <w:rsid w:val="0004514D"/>
    <w:rsid w:val="000575D2"/>
    <w:rsid w:val="00085428"/>
    <w:rsid w:val="00085B4F"/>
    <w:rsid w:val="000907AF"/>
    <w:rsid w:val="000A3261"/>
    <w:rsid w:val="000B1F24"/>
    <w:rsid w:val="000C0C84"/>
    <w:rsid w:val="000C1596"/>
    <w:rsid w:val="000C3550"/>
    <w:rsid w:val="000E3B98"/>
    <w:rsid w:val="000E67E4"/>
    <w:rsid w:val="000F0DD8"/>
    <w:rsid w:val="001045B9"/>
    <w:rsid w:val="00122FC2"/>
    <w:rsid w:val="00124EC7"/>
    <w:rsid w:val="00125AB6"/>
    <w:rsid w:val="00131CF8"/>
    <w:rsid w:val="001327EC"/>
    <w:rsid w:val="001512C1"/>
    <w:rsid w:val="00160371"/>
    <w:rsid w:val="00161992"/>
    <w:rsid w:val="00170E2A"/>
    <w:rsid w:val="00176E08"/>
    <w:rsid w:val="00177983"/>
    <w:rsid w:val="00184ED6"/>
    <w:rsid w:val="001978B8"/>
    <w:rsid w:val="001A00A0"/>
    <w:rsid w:val="001A0154"/>
    <w:rsid w:val="001A5673"/>
    <w:rsid w:val="001B70B9"/>
    <w:rsid w:val="001B71C8"/>
    <w:rsid w:val="001B7FBD"/>
    <w:rsid w:val="001C3A9E"/>
    <w:rsid w:val="001C3C4B"/>
    <w:rsid w:val="001D038C"/>
    <w:rsid w:val="001D3687"/>
    <w:rsid w:val="001D6FC2"/>
    <w:rsid w:val="001D7A53"/>
    <w:rsid w:val="001E0E79"/>
    <w:rsid w:val="001F4363"/>
    <w:rsid w:val="002046A9"/>
    <w:rsid w:val="00212D42"/>
    <w:rsid w:val="00213F48"/>
    <w:rsid w:val="002263CE"/>
    <w:rsid w:val="00236297"/>
    <w:rsid w:val="002445A4"/>
    <w:rsid w:val="00260311"/>
    <w:rsid w:val="00272D5B"/>
    <w:rsid w:val="0027555B"/>
    <w:rsid w:val="00285774"/>
    <w:rsid w:val="002A49B2"/>
    <w:rsid w:val="002A6F6D"/>
    <w:rsid w:val="002B7F9D"/>
    <w:rsid w:val="002C130E"/>
    <w:rsid w:val="002C39A0"/>
    <w:rsid w:val="002D52A2"/>
    <w:rsid w:val="002E346C"/>
    <w:rsid w:val="002E56D3"/>
    <w:rsid w:val="002F1706"/>
    <w:rsid w:val="00300041"/>
    <w:rsid w:val="003032E9"/>
    <w:rsid w:val="003041D5"/>
    <w:rsid w:val="00304D66"/>
    <w:rsid w:val="00317DEC"/>
    <w:rsid w:val="0032112F"/>
    <w:rsid w:val="00321C6E"/>
    <w:rsid w:val="003233F1"/>
    <w:rsid w:val="00325AA3"/>
    <w:rsid w:val="003329F6"/>
    <w:rsid w:val="00352AEF"/>
    <w:rsid w:val="003648FD"/>
    <w:rsid w:val="0037033B"/>
    <w:rsid w:val="003707F1"/>
    <w:rsid w:val="00370A1D"/>
    <w:rsid w:val="0038365B"/>
    <w:rsid w:val="00390CEC"/>
    <w:rsid w:val="00391417"/>
    <w:rsid w:val="00397195"/>
    <w:rsid w:val="003A7EB3"/>
    <w:rsid w:val="003B046C"/>
    <w:rsid w:val="003B66EC"/>
    <w:rsid w:val="003C010C"/>
    <w:rsid w:val="003C6CEC"/>
    <w:rsid w:val="003C7625"/>
    <w:rsid w:val="003E1396"/>
    <w:rsid w:val="003F2524"/>
    <w:rsid w:val="003F2891"/>
    <w:rsid w:val="003F3181"/>
    <w:rsid w:val="003F3245"/>
    <w:rsid w:val="003F5028"/>
    <w:rsid w:val="003F56DC"/>
    <w:rsid w:val="00407516"/>
    <w:rsid w:val="0041636F"/>
    <w:rsid w:val="00424D7D"/>
    <w:rsid w:val="00424F59"/>
    <w:rsid w:val="004310CD"/>
    <w:rsid w:val="0043270F"/>
    <w:rsid w:val="00434B4A"/>
    <w:rsid w:val="0044504F"/>
    <w:rsid w:val="004455D4"/>
    <w:rsid w:val="00450F03"/>
    <w:rsid w:val="00451811"/>
    <w:rsid w:val="00451D55"/>
    <w:rsid w:val="0045339F"/>
    <w:rsid w:val="004727E1"/>
    <w:rsid w:val="004760F8"/>
    <w:rsid w:val="004775CF"/>
    <w:rsid w:val="0049131A"/>
    <w:rsid w:val="00492A1A"/>
    <w:rsid w:val="00493F96"/>
    <w:rsid w:val="00496E1C"/>
    <w:rsid w:val="004A11F8"/>
    <w:rsid w:val="004A7979"/>
    <w:rsid w:val="004A79F9"/>
    <w:rsid w:val="004B44E8"/>
    <w:rsid w:val="004B631A"/>
    <w:rsid w:val="004B6B3B"/>
    <w:rsid w:val="004C27FB"/>
    <w:rsid w:val="004D6F48"/>
    <w:rsid w:val="004E0311"/>
    <w:rsid w:val="004E07E8"/>
    <w:rsid w:val="004F35CA"/>
    <w:rsid w:val="00503237"/>
    <w:rsid w:val="005042C4"/>
    <w:rsid w:val="0051026D"/>
    <w:rsid w:val="00524081"/>
    <w:rsid w:val="0053048B"/>
    <w:rsid w:val="0054087D"/>
    <w:rsid w:val="00542252"/>
    <w:rsid w:val="005435F7"/>
    <w:rsid w:val="00555A33"/>
    <w:rsid w:val="0055645B"/>
    <w:rsid w:val="00563739"/>
    <w:rsid w:val="00564F70"/>
    <w:rsid w:val="0056583E"/>
    <w:rsid w:val="00567C91"/>
    <w:rsid w:val="005850C4"/>
    <w:rsid w:val="00591E88"/>
    <w:rsid w:val="0059552C"/>
    <w:rsid w:val="005A5818"/>
    <w:rsid w:val="005B3A1F"/>
    <w:rsid w:val="005C3ACF"/>
    <w:rsid w:val="005C3FE3"/>
    <w:rsid w:val="005C41CE"/>
    <w:rsid w:val="005D6F85"/>
    <w:rsid w:val="005E118B"/>
    <w:rsid w:val="005E2EFA"/>
    <w:rsid w:val="005E6FD6"/>
    <w:rsid w:val="005F2D45"/>
    <w:rsid w:val="0060212D"/>
    <w:rsid w:val="00604A94"/>
    <w:rsid w:val="00610AAA"/>
    <w:rsid w:val="00611BB9"/>
    <w:rsid w:val="006179DF"/>
    <w:rsid w:val="00621112"/>
    <w:rsid w:val="00650340"/>
    <w:rsid w:val="00655711"/>
    <w:rsid w:val="00670E4C"/>
    <w:rsid w:val="006760BB"/>
    <w:rsid w:val="00685839"/>
    <w:rsid w:val="006927ED"/>
    <w:rsid w:val="006A63AF"/>
    <w:rsid w:val="006A6C82"/>
    <w:rsid w:val="006B4F33"/>
    <w:rsid w:val="006B787A"/>
    <w:rsid w:val="006C2267"/>
    <w:rsid w:val="006C417A"/>
    <w:rsid w:val="006C6B3A"/>
    <w:rsid w:val="006F0419"/>
    <w:rsid w:val="00703B0D"/>
    <w:rsid w:val="00712995"/>
    <w:rsid w:val="00715FBC"/>
    <w:rsid w:val="007175B6"/>
    <w:rsid w:val="00723BB7"/>
    <w:rsid w:val="00725348"/>
    <w:rsid w:val="00726221"/>
    <w:rsid w:val="00744AF4"/>
    <w:rsid w:val="00753853"/>
    <w:rsid w:val="00757777"/>
    <w:rsid w:val="007646A7"/>
    <w:rsid w:val="00777128"/>
    <w:rsid w:val="0078167C"/>
    <w:rsid w:val="00782838"/>
    <w:rsid w:val="0078335F"/>
    <w:rsid w:val="00784703"/>
    <w:rsid w:val="00786596"/>
    <w:rsid w:val="00793973"/>
    <w:rsid w:val="00797554"/>
    <w:rsid w:val="007A0997"/>
    <w:rsid w:val="007B381F"/>
    <w:rsid w:val="007C1483"/>
    <w:rsid w:val="007C1AD3"/>
    <w:rsid w:val="007D1929"/>
    <w:rsid w:val="007D68BC"/>
    <w:rsid w:val="007E640E"/>
    <w:rsid w:val="007E677F"/>
    <w:rsid w:val="007E799F"/>
    <w:rsid w:val="007F53AF"/>
    <w:rsid w:val="00801880"/>
    <w:rsid w:val="00815F29"/>
    <w:rsid w:val="00825F70"/>
    <w:rsid w:val="00826F74"/>
    <w:rsid w:val="0083010F"/>
    <w:rsid w:val="00842A79"/>
    <w:rsid w:val="00846F96"/>
    <w:rsid w:val="00853970"/>
    <w:rsid w:val="0085629D"/>
    <w:rsid w:val="00866A78"/>
    <w:rsid w:val="0088044C"/>
    <w:rsid w:val="00880EA8"/>
    <w:rsid w:val="00881CD2"/>
    <w:rsid w:val="00883151"/>
    <w:rsid w:val="00893703"/>
    <w:rsid w:val="008A3475"/>
    <w:rsid w:val="008C1093"/>
    <w:rsid w:val="008C3876"/>
    <w:rsid w:val="008D7155"/>
    <w:rsid w:val="008F1529"/>
    <w:rsid w:val="008F6C62"/>
    <w:rsid w:val="008F6FFD"/>
    <w:rsid w:val="00904E5B"/>
    <w:rsid w:val="00912D67"/>
    <w:rsid w:val="009133DB"/>
    <w:rsid w:val="00923948"/>
    <w:rsid w:val="009279D2"/>
    <w:rsid w:val="00927BC0"/>
    <w:rsid w:val="00951992"/>
    <w:rsid w:val="00956891"/>
    <w:rsid w:val="00956912"/>
    <w:rsid w:val="009619D2"/>
    <w:rsid w:val="0096638B"/>
    <w:rsid w:val="00973F19"/>
    <w:rsid w:val="00973FC8"/>
    <w:rsid w:val="00987BBB"/>
    <w:rsid w:val="009936EB"/>
    <w:rsid w:val="009A077F"/>
    <w:rsid w:val="009B1732"/>
    <w:rsid w:val="009C3875"/>
    <w:rsid w:val="009C5BAF"/>
    <w:rsid w:val="009C61B0"/>
    <w:rsid w:val="009E0514"/>
    <w:rsid w:val="009E4F19"/>
    <w:rsid w:val="009F51BB"/>
    <w:rsid w:val="00A0551E"/>
    <w:rsid w:val="00A06DE6"/>
    <w:rsid w:val="00A12E6E"/>
    <w:rsid w:val="00A14882"/>
    <w:rsid w:val="00A14B37"/>
    <w:rsid w:val="00A23492"/>
    <w:rsid w:val="00A32A61"/>
    <w:rsid w:val="00A333D8"/>
    <w:rsid w:val="00A4712B"/>
    <w:rsid w:val="00A537FE"/>
    <w:rsid w:val="00A57B1F"/>
    <w:rsid w:val="00A6703C"/>
    <w:rsid w:val="00A83296"/>
    <w:rsid w:val="00A91B92"/>
    <w:rsid w:val="00A93AD1"/>
    <w:rsid w:val="00AB293A"/>
    <w:rsid w:val="00AC0810"/>
    <w:rsid w:val="00AC32F2"/>
    <w:rsid w:val="00AD783B"/>
    <w:rsid w:val="00AF15E0"/>
    <w:rsid w:val="00AF32BB"/>
    <w:rsid w:val="00AF3C25"/>
    <w:rsid w:val="00AF7242"/>
    <w:rsid w:val="00AF78A6"/>
    <w:rsid w:val="00B217E6"/>
    <w:rsid w:val="00B22F50"/>
    <w:rsid w:val="00B24421"/>
    <w:rsid w:val="00B27D25"/>
    <w:rsid w:val="00B30D07"/>
    <w:rsid w:val="00B35697"/>
    <w:rsid w:val="00B36A8C"/>
    <w:rsid w:val="00B37BEF"/>
    <w:rsid w:val="00B44343"/>
    <w:rsid w:val="00B46784"/>
    <w:rsid w:val="00B55379"/>
    <w:rsid w:val="00B55CB7"/>
    <w:rsid w:val="00B61674"/>
    <w:rsid w:val="00B70EEA"/>
    <w:rsid w:val="00B75F03"/>
    <w:rsid w:val="00B77AA2"/>
    <w:rsid w:val="00B95503"/>
    <w:rsid w:val="00BA3077"/>
    <w:rsid w:val="00BA4527"/>
    <w:rsid w:val="00BA60E5"/>
    <w:rsid w:val="00BB1810"/>
    <w:rsid w:val="00BE5FDF"/>
    <w:rsid w:val="00BF05BE"/>
    <w:rsid w:val="00BF2248"/>
    <w:rsid w:val="00BF2B73"/>
    <w:rsid w:val="00BF720A"/>
    <w:rsid w:val="00C02C9E"/>
    <w:rsid w:val="00C036A5"/>
    <w:rsid w:val="00C03AC2"/>
    <w:rsid w:val="00C07451"/>
    <w:rsid w:val="00C07A39"/>
    <w:rsid w:val="00C20019"/>
    <w:rsid w:val="00C306A2"/>
    <w:rsid w:val="00C3627E"/>
    <w:rsid w:val="00C41941"/>
    <w:rsid w:val="00C46F7F"/>
    <w:rsid w:val="00C50A70"/>
    <w:rsid w:val="00C55EF7"/>
    <w:rsid w:val="00C56FFF"/>
    <w:rsid w:val="00C6063D"/>
    <w:rsid w:val="00C70642"/>
    <w:rsid w:val="00C7446D"/>
    <w:rsid w:val="00C74E6D"/>
    <w:rsid w:val="00C7593A"/>
    <w:rsid w:val="00C86850"/>
    <w:rsid w:val="00C87A25"/>
    <w:rsid w:val="00CA2921"/>
    <w:rsid w:val="00CB682C"/>
    <w:rsid w:val="00CC4C6C"/>
    <w:rsid w:val="00CC606D"/>
    <w:rsid w:val="00CC7D39"/>
    <w:rsid w:val="00CD7FC9"/>
    <w:rsid w:val="00CE36FE"/>
    <w:rsid w:val="00CF1645"/>
    <w:rsid w:val="00CF77C4"/>
    <w:rsid w:val="00D0148C"/>
    <w:rsid w:val="00D11904"/>
    <w:rsid w:val="00D36F79"/>
    <w:rsid w:val="00D443D1"/>
    <w:rsid w:val="00D50082"/>
    <w:rsid w:val="00D63E86"/>
    <w:rsid w:val="00D75631"/>
    <w:rsid w:val="00D75E74"/>
    <w:rsid w:val="00D92B2D"/>
    <w:rsid w:val="00DB4D3D"/>
    <w:rsid w:val="00DB5FE9"/>
    <w:rsid w:val="00DC129C"/>
    <w:rsid w:val="00DC1F8B"/>
    <w:rsid w:val="00DD1723"/>
    <w:rsid w:val="00DE10A3"/>
    <w:rsid w:val="00DE6257"/>
    <w:rsid w:val="00DE662D"/>
    <w:rsid w:val="00DF05A0"/>
    <w:rsid w:val="00DF0E53"/>
    <w:rsid w:val="00E102CB"/>
    <w:rsid w:val="00E170F1"/>
    <w:rsid w:val="00E20C89"/>
    <w:rsid w:val="00E23CB1"/>
    <w:rsid w:val="00E240F4"/>
    <w:rsid w:val="00E24383"/>
    <w:rsid w:val="00E4077F"/>
    <w:rsid w:val="00E43FD3"/>
    <w:rsid w:val="00E50E94"/>
    <w:rsid w:val="00E706A3"/>
    <w:rsid w:val="00E70B0C"/>
    <w:rsid w:val="00E80855"/>
    <w:rsid w:val="00E84633"/>
    <w:rsid w:val="00E93087"/>
    <w:rsid w:val="00E95D8B"/>
    <w:rsid w:val="00EB0213"/>
    <w:rsid w:val="00EB0452"/>
    <w:rsid w:val="00EC78F8"/>
    <w:rsid w:val="00ED78A9"/>
    <w:rsid w:val="00EE3820"/>
    <w:rsid w:val="00EF4A19"/>
    <w:rsid w:val="00EF5F95"/>
    <w:rsid w:val="00EF7EE0"/>
    <w:rsid w:val="00F0751E"/>
    <w:rsid w:val="00F24AB5"/>
    <w:rsid w:val="00F254ED"/>
    <w:rsid w:val="00F25B52"/>
    <w:rsid w:val="00F309E1"/>
    <w:rsid w:val="00F33589"/>
    <w:rsid w:val="00F5184C"/>
    <w:rsid w:val="00F538C6"/>
    <w:rsid w:val="00F61784"/>
    <w:rsid w:val="00F662E8"/>
    <w:rsid w:val="00F67929"/>
    <w:rsid w:val="00F721C9"/>
    <w:rsid w:val="00F821CA"/>
    <w:rsid w:val="00F851C2"/>
    <w:rsid w:val="00F917FC"/>
    <w:rsid w:val="00FA409C"/>
    <w:rsid w:val="00FA648F"/>
    <w:rsid w:val="00FB50D4"/>
    <w:rsid w:val="00FD2577"/>
    <w:rsid w:val="00FD3666"/>
    <w:rsid w:val="00FD3F4E"/>
    <w:rsid w:val="00FE035D"/>
    <w:rsid w:val="00FF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04]">
      <v:fill color="white"/>
      <v:stroke dashstyle="3 1" color="none [3204]"/>
    </o:shapedefaults>
    <o:shapelayout v:ext="edit">
      <o:idmap v:ext="edit" data="1"/>
    </o:shapelayout>
  </w:shapeDefaults>
  <w:decimalSymbol w:val=","/>
  <w:listSeparator w:val=";"/>
  <w15:docId w15:val="{8FE6B2A4-3F29-4DE7-A7AA-0C46A39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38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5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Akapitzlist">
    <w:name w:val="List Paragraph"/>
    <w:basedOn w:val="Normalny"/>
    <w:uiPriority w:val="34"/>
    <w:qFormat/>
    <w:rsid w:val="0002203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C27FB"/>
    <w:rPr>
      <w:b/>
      <w:bCs/>
      <w:color w:val="4F81BD" w:themeColor="accent1"/>
      <w:sz w:val="18"/>
      <w:szCs w:val="18"/>
    </w:rPr>
  </w:style>
  <w:style w:type="paragraph" w:customStyle="1" w:styleId="Tekst">
    <w:name w:val="Tekst"/>
    <w:basedOn w:val="Normalny"/>
    <w:qFormat/>
    <w:rsid w:val="00FD3666"/>
    <w:pPr>
      <w:spacing w:before="120" w:after="0"/>
      <w:ind w:firstLine="284"/>
      <w:jc w:val="both"/>
    </w:pPr>
  </w:style>
  <w:style w:type="paragraph" w:customStyle="1" w:styleId="Tytutablicy">
    <w:name w:val="Tytuł tablicy"/>
    <w:basedOn w:val="Normalny"/>
    <w:qFormat/>
    <w:rsid w:val="00757777"/>
    <w:pPr>
      <w:tabs>
        <w:tab w:val="left" w:pos="1134"/>
      </w:tabs>
      <w:spacing w:before="240"/>
      <w:ind w:left="1134" w:hanging="1134"/>
    </w:pPr>
    <w:rPr>
      <w:color w:val="800000"/>
    </w:rPr>
  </w:style>
  <w:style w:type="paragraph" w:customStyle="1" w:styleId="Tytuwykresu">
    <w:name w:val="Tytuł wykresu"/>
    <w:qFormat/>
    <w:rsid w:val="00757777"/>
    <w:pPr>
      <w:tabs>
        <w:tab w:val="right" w:pos="1134"/>
      </w:tabs>
      <w:spacing w:before="140" w:after="140" w:line="240" w:lineRule="auto"/>
      <w:ind w:left="1134" w:hanging="1134"/>
    </w:pPr>
    <w:rPr>
      <w:color w:val="6C0000"/>
    </w:rPr>
  </w:style>
  <w:style w:type="paragraph" w:customStyle="1" w:styleId="przypisdolny">
    <w:name w:val="przypis dolny"/>
    <w:basedOn w:val="przypis"/>
    <w:uiPriority w:val="99"/>
    <w:rsid w:val="00F721C9"/>
    <w:pPr>
      <w:spacing w:before="0"/>
    </w:pPr>
    <w:rPr>
      <w:sz w:val="17"/>
      <w:szCs w:val="17"/>
    </w:rPr>
  </w:style>
  <w:style w:type="paragraph" w:customStyle="1" w:styleId="przypis">
    <w:name w:val="przypis"/>
    <w:basedOn w:val="Brakstyluakapitowego"/>
    <w:uiPriority w:val="99"/>
    <w:rsid w:val="00FA648F"/>
    <w:pPr>
      <w:spacing w:before="113" w:line="18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Brakstyluakapitowego">
    <w:name w:val="[Brak stylu akapitowego]"/>
    <w:rsid w:val="00FA64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odstawowyakapitowy">
    <w:name w:val="[Podstawowy akapitowy]"/>
    <w:basedOn w:val="Brakstyluakapitowego"/>
    <w:uiPriority w:val="99"/>
    <w:rsid w:val="00FA648F"/>
  </w:style>
  <w:style w:type="paragraph" w:customStyle="1" w:styleId="PODTYTU">
    <w:name w:val="PODTYTUŁ"/>
    <w:basedOn w:val="Normalny"/>
    <w:qFormat/>
    <w:rsid w:val="00757777"/>
    <w:pPr>
      <w:tabs>
        <w:tab w:val="right" w:pos="567"/>
      </w:tabs>
      <w:spacing w:before="240" w:after="240"/>
      <w:ind w:left="567" w:hanging="567"/>
    </w:pPr>
    <w:rPr>
      <w:b/>
      <w:color w:val="6C0000"/>
    </w:rPr>
  </w:style>
  <w:style w:type="paragraph" w:customStyle="1" w:styleId="GWKA">
    <w:name w:val="GŁÓWKA"/>
    <w:qFormat/>
    <w:rsid w:val="004760F8"/>
    <w:pPr>
      <w:spacing w:before="60" w:after="60" w:line="240" w:lineRule="auto"/>
      <w:contextualSpacing/>
      <w:jc w:val="center"/>
    </w:pPr>
    <w:rPr>
      <w:rFonts w:ascii="Calibri" w:hAnsi="Calibri"/>
    </w:rPr>
  </w:style>
  <w:style w:type="paragraph" w:customStyle="1" w:styleId="BOK0">
    <w:name w:val="BOK 0"/>
    <w:next w:val="Brakstyluakapitowego"/>
    <w:qFormat/>
    <w:rsid w:val="00782838"/>
    <w:pPr>
      <w:spacing w:before="60" w:after="0" w:line="240" w:lineRule="auto"/>
      <w:ind w:left="227" w:hanging="227"/>
      <w:contextualSpacing/>
    </w:pPr>
  </w:style>
  <w:style w:type="paragraph" w:customStyle="1" w:styleId="DANE">
    <w:name w:val="DANE"/>
    <w:next w:val="Brakstyluakapitowego"/>
    <w:qFormat/>
    <w:rsid w:val="00782838"/>
    <w:pPr>
      <w:spacing w:before="60" w:after="0" w:line="240" w:lineRule="auto"/>
      <w:ind w:right="113"/>
      <w:contextualSpacing/>
      <w:jc w:val="right"/>
    </w:pPr>
  </w:style>
  <w:style w:type="paragraph" w:customStyle="1" w:styleId="BOK1">
    <w:name w:val="BOK 1"/>
    <w:qFormat/>
    <w:rsid w:val="00782838"/>
    <w:pPr>
      <w:spacing w:before="60" w:after="0" w:line="240" w:lineRule="auto"/>
      <w:ind w:left="454" w:hanging="227"/>
    </w:pPr>
  </w:style>
  <w:style w:type="paragraph" w:customStyle="1" w:styleId="SRDTYTU">
    <w:name w:val="SRÓDTYTUŁ"/>
    <w:basedOn w:val="Normalny"/>
    <w:qFormat/>
    <w:rsid w:val="001E0E79"/>
    <w:pPr>
      <w:spacing w:before="60" w:after="60"/>
      <w:jc w:val="center"/>
    </w:pPr>
  </w:style>
  <w:style w:type="paragraph" w:customStyle="1" w:styleId="BOK2">
    <w:name w:val="BOK 2"/>
    <w:basedOn w:val="Normalny"/>
    <w:qFormat/>
    <w:rsid w:val="00782838"/>
    <w:pPr>
      <w:spacing w:before="60" w:after="0"/>
      <w:ind w:left="624" w:hanging="227"/>
    </w:pPr>
  </w:style>
  <w:style w:type="character" w:customStyle="1" w:styleId="INDEKS">
    <w:name w:val="INDEKS"/>
    <w:basedOn w:val="Domylnaczcionkaakapitu"/>
    <w:uiPriority w:val="1"/>
    <w:qFormat/>
    <w:rsid w:val="009C5BAF"/>
    <w:rPr>
      <w:vertAlign w:val="superscript"/>
    </w:rPr>
  </w:style>
  <w:style w:type="paragraph" w:customStyle="1" w:styleId="WYKRES">
    <w:name w:val="WYKRES"/>
    <w:qFormat/>
    <w:rsid w:val="004760F8"/>
    <w:pPr>
      <w:spacing w:line="240" w:lineRule="auto"/>
      <w:ind w:left="1134"/>
    </w:pPr>
  </w:style>
  <w:style w:type="table" w:customStyle="1" w:styleId="Tabelalisty3akcent41">
    <w:name w:val="Tabela listy 3 — akcent 41"/>
    <w:basedOn w:val="Standardowy"/>
    <w:uiPriority w:val="48"/>
    <w:rsid w:val="00F85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customStyle="1" w:styleId="TytutabeliPLStrona">
    <w:name w:val="Tytuł tabeli PL (Strona)"/>
    <w:basedOn w:val="Normalny"/>
    <w:next w:val="Normalny"/>
    <w:uiPriority w:val="99"/>
    <w:rsid w:val="00F851C2"/>
    <w:pPr>
      <w:widowControl w:val="0"/>
      <w:tabs>
        <w:tab w:val="left" w:pos="1417"/>
      </w:tabs>
      <w:autoSpaceDE w:val="0"/>
      <w:autoSpaceDN w:val="0"/>
      <w:adjustRightInd w:val="0"/>
      <w:spacing w:before="113" w:after="113" w:line="200" w:lineRule="atLeast"/>
      <w:textAlignment w:val="center"/>
    </w:pPr>
    <w:rPr>
      <w:rFonts w:ascii="Calibri" w:eastAsia="Times New Roman" w:hAnsi="Calibri" w:cs="Calibri"/>
      <w:color w:val="2382F4"/>
    </w:rPr>
  </w:style>
  <w:style w:type="table" w:customStyle="1" w:styleId="Tabelasiatki4akcent11">
    <w:name w:val="Tabela siatki 4 — akcent 11"/>
    <w:basedOn w:val="Standardowy"/>
    <w:uiPriority w:val="49"/>
    <w:rsid w:val="00F85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ytuwykresuPLStrona">
    <w:name w:val="Tytuł wykresu PL (Strona)"/>
    <w:basedOn w:val="Normalny"/>
    <w:next w:val="Normalny"/>
    <w:uiPriority w:val="99"/>
    <w:rsid w:val="00EC78F8"/>
    <w:pPr>
      <w:keepNext/>
      <w:widowControl w:val="0"/>
      <w:autoSpaceDE w:val="0"/>
      <w:autoSpaceDN w:val="0"/>
      <w:adjustRightInd w:val="0"/>
      <w:spacing w:before="170" w:after="113" w:line="240" w:lineRule="atLeast"/>
      <w:ind w:left="1060" w:firstLine="60"/>
      <w:textAlignment w:val="center"/>
    </w:pPr>
    <w:rPr>
      <w:rFonts w:ascii="Calibri" w:eastAsia="Times New Roman" w:hAnsi="Calibri" w:cs="Calibri"/>
      <w:color w:val="2382F4"/>
    </w:rPr>
  </w:style>
  <w:style w:type="paragraph" w:customStyle="1" w:styleId="bodytextStrona">
    <w:name w:val="body text (Strona)"/>
    <w:basedOn w:val="Normalny"/>
    <w:uiPriority w:val="99"/>
    <w:rsid w:val="00EC78F8"/>
    <w:pPr>
      <w:widowControl w:val="0"/>
      <w:autoSpaceDE w:val="0"/>
      <w:autoSpaceDN w:val="0"/>
      <w:adjustRightInd w:val="0"/>
      <w:spacing w:after="57" w:line="280" w:lineRule="atLeast"/>
      <w:ind w:left="1134" w:firstLine="283"/>
      <w:jc w:val="both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gwkaTablica">
    <w:name w:val="główka (Tablica)"/>
    <w:basedOn w:val="Normalny"/>
    <w:uiPriority w:val="99"/>
    <w:rsid w:val="00EC78F8"/>
    <w:pPr>
      <w:widowControl w:val="0"/>
      <w:autoSpaceDE w:val="0"/>
      <w:autoSpaceDN w:val="0"/>
      <w:adjustRightInd w:val="0"/>
      <w:spacing w:before="57" w:after="57" w:line="240" w:lineRule="atLeast"/>
      <w:jc w:val="center"/>
      <w:textAlignment w:val="center"/>
    </w:pPr>
    <w:rPr>
      <w:rFonts w:ascii="Calibri" w:eastAsia="Times New Roman" w:hAnsi="Calibri" w:cs="Calibri"/>
      <w:color w:val="FFFFFF"/>
      <w:sz w:val="20"/>
      <w:szCs w:val="20"/>
    </w:rPr>
  </w:style>
  <w:style w:type="paragraph" w:customStyle="1" w:styleId="boktabeli">
    <w:name w:val="bok tabeli"/>
    <w:basedOn w:val="Normalny"/>
    <w:uiPriority w:val="99"/>
    <w:rsid w:val="00EC78F8"/>
    <w:pPr>
      <w:widowControl w:val="0"/>
      <w:tabs>
        <w:tab w:val="right" w:leader="dot" w:pos="4340"/>
      </w:tabs>
      <w:autoSpaceDE w:val="0"/>
      <w:autoSpaceDN w:val="0"/>
      <w:adjustRightInd w:val="0"/>
      <w:spacing w:before="113" w:after="0" w:line="240" w:lineRule="atLeast"/>
      <w:ind w:left="170" w:right="57" w:hanging="170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boktabeliw1">
    <w:name w:val="bok tabeli w1"/>
    <w:basedOn w:val="boktabeli"/>
    <w:uiPriority w:val="99"/>
    <w:rsid w:val="00EC78F8"/>
    <w:pPr>
      <w:ind w:left="283"/>
    </w:pPr>
  </w:style>
  <w:style w:type="paragraph" w:customStyle="1" w:styleId="boktabeliw2">
    <w:name w:val="bok tabeli w2"/>
    <w:basedOn w:val="boktabeli"/>
    <w:uiPriority w:val="99"/>
    <w:rsid w:val="00EC78F8"/>
    <w:pPr>
      <w:ind w:left="397"/>
    </w:pPr>
  </w:style>
  <w:style w:type="paragraph" w:customStyle="1" w:styleId="tekstwtabeliStrona">
    <w:name w:val="tekst w tabeli (Strona)"/>
    <w:basedOn w:val="Normalny"/>
    <w:uiPriority w:val="99"/>
    <w:rsid w:val="00E84633"/>
    <w:pPr>
      <w:autoSpaceDE w:val="0"/>
      <w:autoSpaceDN w:val="0"/>
      <w:spacing w:after="57" w:line="288" w:lineRule="auto"/>
      <w:ind w:left="170"/>
      <w:jc w:val="both"/>
    </w:pPr>
    <w:rPr>
      <w:rFonts w:ascii="Calibri" w:eastAsiaTheme="minorHAnsi" w:hAnsi="Calibri" w:cs="Times New Roman"/>
      <w:b/>
      <w:bCs/>
      <w:color w:val="000000"/>
      <w:sz w:val="20"/>
      <w:szCs w:val="20"/>
    </w:rPr>
  </w:style>
  <w:style w:type="paragraph" w:customStyle="1" w:styleId="TytupodrozdziauPLStrona">
    <w:name w:val="Tytuł podrozdziału PL (Strona)"/>
    <w:basedOn w:val="Normalny"/>
    <w:next w:val="Normalny"/>
    <w:uiPriority w:val="99"/>
    <w:rsid w:val="001A5673"/>
    <w:pPr>
      <w:keepNext/>
      <w:widowControl w:val="0"/>
      <w:tabs>
        <w:tab w:val="left" w:pos="567"/>
      </w:tabs>
      <w:autoSpaceDE w:val="0"/>
      <w:autoSpaceDN w:val="0"/>
      <w:adjustRightInd w:val="0"/>
      <w:spacing w:before="283" w:after="227" w:line="360" w:lineRule="atLeast"/>
      <w:textAlignment w:val="center"/>
    </w:pPr>
    <w:rPr>
      <w:rFonts w:ascii="Cambria" w:hAnsi="Cambria" w:cs="Cambria"/>
      <w:color w:val="680000"/>
      <w:sz w:val="28"/>
      <w:szCs w:val="28"/>
    </w:rPr>
  </w:style>
  <w:style w:type="paragraph" w:customStyle="1" w:styleId="przypisdolnytabelaPLStrona">
    <w:name w:val="przypis dolny tabela PL (Strona)"/>
    <w:basedOn w:val="Normalny"/>
    <w:next w:val="Normalny"/>
    <w:uiPriority w:val="99"/>
    <w:rsid w:val="001A56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5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doPLwykresStrona">
    <w:name w:val="źródło PL wykres (Strona)"/>
    <w:basedOn w:val="Normalny"/>
    <w:next w:val="Normalny"/>
    <w:uiPriority w:val="99"/>
    <w:rsid w:val="001A5673"/>
    <w:pPr>
      <w:widowControl w:val="0"/>
      <w:autoSpaceDE w:val="0"/>
      <w:autoSpaceDN w:val="0"/>
      <w:adjustRightInd w:val="0"/>
      <w:spacing w:after="0" w:line="160" w:lineRule="atLeast"/>
      <w:ind w:left="1928"/>
      <w:textAlignment w:val="center"/>
    </w:pPr>
    <w:rPr>
      <w:rFonts w:ascii="Calibri" w:hAnsi="Calibri" w:cs="Calibri"/>
      <w:color w:val="000000"/>
      <w:sz w:val="14"/>
      <w:szCs w:val="14"/>
      <w:lang w:val="en-US"/>
    </w:rPr>
  </w:style>
  <w:style w:type="paragraph" w:customStyle="1" w:styleId="TytuwykresuENStrona">
    <w:name w:val="Tytuł wykresu EN (Strona)"/>
    <w:basedOn w:val="Normalny"/>
    <w:uiPriority w:val="99"/>
    <w:rsid w:val="001A5673"/>
    <w:pPr>
      <w:keepNext/>
      <w:widowControl w:val="0"/>
      <w:tabs>
        <w:tab w:val="left" w:pos="1180"/>
      </w:tabs>
      <w:autoSpaceDE w:val="0"/>
      <w:autoSpaceDN w:val="0"/>
      <w:adjustRightInd w:val="0"/>
      <w:spacing w:after="57" w:line="200" w:lineRule="atLeast"/>
      <w:ind w:left="1928"/>
      <w:jc w:val="both"/>
      <w:textAlignment w:val="center"/>
    </w:pPr>
    <w:rPr>
      <w:rFonts w:ascii="Cambria" w:hAnsi="Cambria" w:cs="Cambria"/>
      <w:i/>
      <w:iCs/>
      <w:color w:val="680000"/>
      <w:sz w:val="18"/>
      <w:szCs w:val="18"/>
    </w:rPr>
  </w:style>
  <w:style w:type="paragraph" w:customStyle="1" w:styleId="miejcewykresuStrona">
    <w:name w:val="miejce wykresu (Strona)"/>
    <w:basedOn w:val="Brakstyluakapitowego"/>
    <w:next w:val="TytuwykresuENStrona"/>
    <w:uiPriority w:val="99"/>
    <w:rsid w:val="001A5673"/>
    <w:pPr>
      <w:keepNext/>
      <w:tabs>
        <w:tab w:val="left" w:pos="1180"/>
      </w:tabs>
      <w:spacing w:line="120" w:lineRule="atLeast"/>
      <w:ind w:left="1928"/>
      <w:jc w:val="right"/>
    </w:pPr>
    <w:rPr>
      <w:rFonts w:ascii="Cambria" w:hAnsi="Cambria" w:cs="Cambria"/>
      <w:color w:val="680000"/>
      <w:sz w:val="12"/>
      <w:szCs w:val="12"/>
      <w:lang w:val="pl-PL"/>
    </w:rPr>
  </w:style>
  <w:style w:type="paragraph" w:customStyle="1" w:styleId="GwkatabeliPLStrona">
    <w:name w:val="Główka tabeli PL (Strona)"/>
    <w:basedOn w:val="Brakstyluakapitowego"/>
    <w:next w:val="Normalny"/>
    <w:uiPriority w:val="99"/>
    <w:rsid w:val="001A5673"/>
    <w:pPr>
      <w:spacing w:before="170"/>
      <w:jc w:val="center"/>
    </w:pPr>
    <w:rPr>
      <w:rFonts w:ascii="Calibri" w:hAnsi="Calibri" w:cs="Calibri"/>
      <w:sz w:val="20"/>
      <w:szCs w:val="20"/>
      <w:lang w:val="pl-PL"/>
    </w:rPr>
  </w:style>
  <w:style w:type="paragraph" w:customStyle="1" w:styleId="TeksttabelarycznyStrona">
    <w:name w:val="Tekst tabelaryczny (Strona)"/>
    <w:basedOn w:val="Brakstyluakapitowego"/>
    <w:next w:val="Normalny"/>
    <w:uiPriority w:val="99"/>
    <w:rsid w:val="001A5673"/>
    <w:pPr>
      <w:spacing w:line="180" w:lineRule="atLeast"/>
      <w:ind w:left="113" w:hanging="113"/>
    </w:pPr>
    <w:rPr>
      <w:rFonts w:ascii="Calibri" w:hAnsi="Calibri" w:cs="Calibri"/>
      <w:sz w:val="20"/>
      <w:szCs w:val="20"/>
      <w:lang w:val="pl-PL"/>
    </w:rPr>
  </w:style>
  <w:style w:type="paragraph" w:customStyle="1" w:styleId="nazwagrupytabelaPLStrona">
    <w:name w:val="nazwa grupy tabela PL (Strona)"/>
    <w:basedOn w:val="Brakstyluakapitowego"/>
    <w:next w:val="Normalny"/>
    <w:uiPriority w:val="99"/>
    <w:rsid w:val="001A5673"/>
    <w:pPr>
      <w:spacing w:line="180" w:lineRule="atLeast"/>
      <w:jc w:val="center"/>
    </w:pPr>
    <w:rPr>
      <w:rFonts w:ascii="Calibri" w:hAnsi="Calibri" w:cs="Calibri"/>
      <w:caps/>
      <w:color w:val="680000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673"/>
    <w:pPr>
      <w:spacing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67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673"/>
    <w:rPr>
      <w:rFonts w:cs="Times New Roman"/>
      <w:vertAlign w:val="superscript"/>
    </w:rPr>
  </w:style>
  <w:style w:type="table" w:styleId="Tabelasiatki1jasna">
    <w:name w:val="Grid Table 1 Light"/>
    <w:basedOn w:val="Standardowy"/>
    <w:uiPriority w:val="46"/>
    <w:rsid w:val="00993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wdniuStrona">
    <w:name w:val="stan w dniu (Strona)"/>
    <w:basedOn w:val="Normalny"/>
    <w:uiPriority w:val="99"/>
    <w:rsid w:val="00160371"/>
    <w:pPr>
      <w:tabs>
        <w:tab w:val="right" w:pos="1200"/>
      </w:tabs>
      <w:autoSpaceDE w:val="0"/>
      <w:autoSpaceDN w:val="0"/>
      <w:adjustRightInd w:val="0"/>
      <w:spacing w:before="283" w:after="0" w:line="200" w:lineRule="atLeast"/>
      <w:ind w:left="1191" w:hanging="1191"/>
    </w:pPr>
    <w:rPr>
      <w:rFonts w:ascii="Calibri" w:hAnsi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98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zeczni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stat.gov.pl/obszary-tematyczne/nauka-i-technika-spoleczenstwo-informacyj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7BF1-64D9-4666-B74A-7295C51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Karolak Katarzyna</cp:lastModifiedBy>
  <cp:revision>2</cp:revision>
  <cp:lastPrinted>2017-11-21T13:39:00Z</cp:lastPrinted>
  <dcterms:created xsi:type="dcterms:W3CDTF">2017-12-01T13:33:00Z</dcterms:created>
  <dcterms:modified xsi:type="dcterms:W3CDTF">2017-12-01T13:33:00Z</dcterms:modified>
</cp:coreProperties>
</file>