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DE304" w14:textId="77777777" w:rsidR="00CA0954" w:rsidRDefault="00CA0954" w:rsidP="00CA0954">
      <w:pPr>
        <w:spacing w:after="0" w:line="240" w:lineRule="auto"/>
        <w:jc w:val="both"/>
        <w:rPr>
          <w:rFonts w:cs="Times New Roman"/>
          <w:b/>
          <w:sz w:val="40"/>
          <w:szCs w:val="40"/>
        </w:rPr>
      </w:pPr>
      <w:bookmarkStart w:id="0" w:name="_GoBack"/>
      <w:r>
        <w:rPr>
          <w:rFonts w:cs="Times New Roman"/>
          <w:b/>
          <w:sz w:val="40"/>
          <w:szCs w:val="40"/>
        </w:rPr>
        <w:t>Kultura Fizyczna w 2017 roku</w:t>
      </w:r>
    </w:p>
    <w:bookmarkEnd w:id="0"/>
    <w:p w14:paraId="7FE9700A" w14:textId="37A50467" w:rsidR="00393761" w:rsidRPr="00001C5B" w:rsidRDefault="00393761" w:rsidP="00074DD8">
      <w:pPr>
        <w:pStyle w:val="tytuinformacji"/>
        <w:rPr>
          <w:sz w:val="32"/>
        </w:rPr>
      </w:pPr>
    </w:p>
    <w:p w14:paraId="7FE9700B" w14:textId="58F6E1EE" w:rsidR="005916D7" w:rsidRDefault="00003437" w:rsidP="005F7F99">
      <w:pPr>
        <w:pStyle w:val="LID"/>
        <w:jc w:val="both"/>
        <w:rPr>
          <w:shd w:val="clear" w:color="auto" w:fill="FFFFFF"/>
        </w:rPr>
      </w:pPr>
      <w:r w:rsidRPr="00074DD8"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7FE970AC" wp14:editId="3CC33F92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2072640" cy="1131570"/>
                <wp:effectExtent l="0" t="0" r="381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44" cy="113157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970D4" w14:textId="70372ECC" w:rsidR="00673FB8" w:rsidRPr="00F24921" w:rsidRDefault="00673FB8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CA0954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CA0954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        </w:t>
                            </w:r>
                            <w:r w:rsidR="00CA095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</w:rPr>
                              <w:t>10 665</w:t>
                            </w:r>
                          </w:p>
                          <w:p w14:paraId="7C896B6C" w14:textId="77777777" w:rsidR="00673FB8" w:rsidRDefault="00673FB8" w:rsidP="00F24921">
                            <w:pPr>
                              <w:pStyle w:val="tekstnaniebieskimtle"/>
                              <w:jc w:val="center"/>
                            </w:pPr>
                          </w:p>
                          <w:p w14:paraId="7FE970D5" w14:textId="7533A187" w:rsidR="00673FB8" w:rsidRPr="00074DD8" w:rsidRDefault="005C6C81" w:rsidP="00F24921">
                            <w:pPr>
                              <w:pStyle w:val="tekstnaniebieskimtle"/>
                              <w:jc w:val="center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  <w:t>Łączna wielkość</w:t>
                            </w:r>
                            <w:r w:rsidR="00F55E5D"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 kadry narodowej w 2017 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970A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6.3pt;width:163.2pt;height:89.1pt;z-index:251641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MvKQIAACMEAAAOAAAAZHJzL2Uyb0RvYy54bWysU9tu2zAMfR+wfxD0vvjSZGmNOEWXrMOA&#10;bivQ7QNkWY6FSqImKbG7ry8lp2nQvQ3zgyCa5BF5eLi6HrUiB+G8BFPTYpZTIgyHVppdTX/9vP1w&#10;SYkPzLRMgRE1fRKeXq/fv1sNthIl9KBa4QiCGF8NtqZ9CLbKMs97oZmfgRUGnR04zQKabpe1jg2I&#10;rlVW5vnHbADXWgdceI9/t5OTrhN+1wkefnSdF4GommJtIZ0unU08s/WKVTvHbC/5sQz2D1VoJg0+&#10;eoLassDI3sm/oLTkDjx0YcZBZ9B1kovUA3ZT5G+6eeiZFakXJMfbE03+/8Hy74d7R2Rb07JYUmKY&#10;xiHdgxIkiEcfYBCkjCQN1lcY+2AxOoyfYMRhp4a9vQP+6ImBTc/MTtw4B0MvWItFFjEzO0udcHwE&#10;aYZv0OJbbB8gAY2d05FB5IQgOg7r6TQgMQbC8WeZLy/K+ZwSjr6iuCgWyzTCjFUv6db58EWAJvFS&#10;U4cKSPDscOdDLIdVLyHxNQ9KtrdSqWS4XbNRjhxYVEtebJfL1MGbMGXIUNOrRblIyAZifhKSlgHV&#10;rKSu6WUev0lfkY7Ppk0hgUk13bESZY78REomcsLYjBgYSWugfUKmHEyqxS3DSw/uDyUDKram/vee&#10;OUGJ+mqQ7atiPo8ST8Z8sSzRcOee5tzDDEeomgZKpusmpLWIPBi4wal0MvH1WsmxVlRiovG4NVHq&#10;53aKet3t9TMAAAD//wMAUEsDBBQABgAIAAAAIQC6cLEx3QAAAAcBAAAPAAAAZHJzL2Rvd25yZXYu&#10;eG1sTI/BTsMwEETvSPyDtUjcqNNQRSHEqRAoB0BU0HLhto2XJCJeR7Hbhr9nOcFxZlYzb8v17AZ1&#10;pCn0ng0sFwko4sbbnlsD77v6KgcVIrLFwTMZ+KYA6+r8rMTC+hO/0XEbWyUlHAo00MU4FlqHpiOH&#10;YeFHYsk+/eQwipxabSc8SbkbdJokmXbYsyx0ONJ9R83X9uAMrJabJn8NHzv2L3VaPz+gewxPxlxe&#10;zHe3oCLN8e8YfvEFHSph2vsD26AGA/JIFDfNQEl6nWYrUHsxbpIcdFXq//zVDwAAAP//AwBQSwEC&#10;LQAUAAYACAAAACEAtoM4kv4AAADhAQAAEwAAAAAAAAAAAAAAAAAAAAAAW0NvbnRlbnRfVHlwZXNd&#10;LnhtbFBLAQItABQABgAIAAAAIQA4/SH/1gAAAJQBAAALAAAAAAAAAAAAAAAAAC8BAABfcmVscy8u&#10;cmVsc1BLAQItABQABgAIAAAAIQAboOMvKQIAACMEAAAOAAAAAAAAAAAAAAAAAC4CAABkcnMvZTJv&#10;RG9jLnhtbFBLAQItABQABgAIAAAAIQC6cLEx3QAAAAcBAAAPAAAAAAAAAAAAAAAAAIMEAABkcnMv&#10;ZG93bnJldi54bWxQSwUGAAAAAAQABADzAAAAjQUAAAAA&#10;" fillcolor="#001d77" stroked="f">
                <v:textbox>
                  <w:txbxContent>
                    <w:p w14:paraId="7FE970D4" w14:textId="70372ECC" w:rsidR="00673FB8" w:rsidRPr="00F24921" w:rsidRDefault="00673FB8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CA0954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CA0954">
                        <w:rPr>
                          <w:noProof/>
                          <w:color w:val="001D77"/>
                          <w:lang w:eastAsia="pl-PL"/>
                        </w:rPr>
                        <w:t xml:space="preserve">         </w:t>
                      </w:r>
                      <w:r w:rsidR="00CA095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</w:rPr>
                        <w:t>10 665</w:t>
                      </w:r>
                    </w:p>
                    <w:p w14:paraId="7C896B6C" w14:textId="77777777" w:rsidR="00673FB8" w:rsidRDefault="00673FB8" w:rsidP="00F24921">
                      <w:pPr>
                        <w:pStyle w:val="tekstnaniebieskimtle"/>
                        <w:jc w:val="center"/>
                      </w:pPr>
                    </w:p>
                    <w:p w14:paraId="7FE970D5" w14:textId="7533A187" w:rsidR="00673FB8" w:rsidRPr="00074DD8" w:rsidRDefault="005C6C81" w:rsidP="00F24921">
                      <w:pPr>
                        <w:pStyle w:val="tekstnaniebieskimtle"/>
                        <w:jc w:val="center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20"/>
                        </w:rPr>
                        <w:t>Łączna wielkość</w:t>
                      </w:r>
                      <w:r w:rsidR="00F55E5D">
                        <w:rPr>
                          <w:color w:val="FFFFFF" w:themeColor="background1"/>
                          <w:sz w:val="18"/>
                          <w:szCs w:val="20"/>
                        </w:rPr>
                        <w:t xml:space="preserve"> kadry narodowej w 2017 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0954" w:rsidRPr="00CA0954">
        <w:rPr>
          <w:shd w:val="clear" w:color="auto" w:fill="FFFFFF"/>
        </w:rPr>
        <w:t xml:space="preserve"> </w:t>
      </w:r>
      <w:r w:rsidR="00CA0954">
        <w:rPr>
          <w:shd w:val="clear" w:color="auto" w:fill="FFFFFF"/>
        </w:rPr>
        <w:t xml:space="preserve">W 2017 r. w Polsce zarejestrowanych było łącznie 67 związków sportowych oraz 544 okręgowych związków sportowych. W porównaniu z rokiem 2016 struktura ta uległa jedynie drobnym zmianom. Status polskiego związku sportowego utraciły Liga Obrony Kraju i </w:t>
      </w:r>
      <w:r w:rsidR="00AF23BE">
        <w:rPr>
          <w:shd w:val="clear" w:color="auto" w:fill="FFFFFF"/>
        </w:rPr>
        <w:t xml:space="preserve">Polski </w:t>
      </w:r>
      <w:r w:rsidR="00CA0954">
        <w:rPr>
          <w:shd w:val="clear" w:color="auto" w:fill="FFFFFF"/>
        </w:rPr>
        <w:t>Związek Wędkarski, powstała zaś Polska Federacja Petanque – Polski Związek Sportowy. Zmniejszeniu uległa liczba okręgowych związków sportowych (z 581 w 2016 r. do 544 w 2017 r.).</w:t>
      </w:r>
    </w:p>
    <w:p w14:paraId="2F91D3FF" w14:textId="77777777" w:rsidR="00CA0954" w:rsidRPr="00074DD8" w:rsidRDefault="00CA0954" w:rsidP="00CA0954">
      <w:pPr>
        <w:pStyle w:val="Nagwek1"/>
        <w:jc w:val="both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79232" behindDoc="1" locked="0" layoutInCell="1" allowOverlap="1" wp14:anchorId="00A21160" wp14:editId="64814299">
                <wp:simplePos x="0" y="0"/>
                <wp:positionH relativeFrom="column">
                  <wp:posOffset>5248275</wp:posOffset>
                </wp:positionH>
                <wp:positionV relativeFrom="paragraph">
                  <wp:posOffset>153670</wp:posOffset>
                </wp:positionV>
                <wp:extent cx="1710690" cy="1404620"/>
                <wp:effectExtent l="0" t="0" r="0" b="5080"/>
                <wp:wrapTight wrapText="bothSides">
                  <wp:wrapPolygon edited="0">
                    <wp:start x="722" y="0"/>
                    <wp:lineTo x="722" y="21385"/>
                    <wp:lineTo x="20686" y="21385"/>
                    <wp:lineTo x="20686" y="0"/>
                    <wp:lineTo x="722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9D2C6" w14:textId="3AB62550" w:rsidR="00CA0954" w:rsidRPr="00074DD8" w:rsidRDefault="00CA0954" w:rsidP="00CA0954">
                            <w:pPr>
                              <w:pStyle w:val="tekstzboku"/>
                            </w:pPr>
                            <w:r>
                              <w:rPr>
                                <w:shd w:val="clear" w:color="auto" w:fill="FFFFFF"/>
                              </w:rPr>
                              <w:t xml:space="preserve">W 2017 r. </w:t>
                            </w:r>
                            <w:r w:rsidR="00FD1966">
                              <w:rPr>
                                <w:shd w:val="clear" w:color="auto" w:fill="FFFFFF"/>
                              </w:rPr>
                              <w:t>w polskich związkach sportowych odnotowano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 ponad 24 tys. trenerów; jest to przyrost o 28,5% w stosunku do 2016 r. </w:t>
                            </w:r>
                          </w:p>
                          <w:p w14:paraId="72A7EF3C" w14:textId="77777777" w:rsidR="00CA0954" w:rsidRPr="00D616D2" w:rsidRDefault="00CA0954" w:rsidP="00CA0954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21160" id="_x0000_s1027" type="#_x0000_t202" style="position:absolute;left:0;text-align:left;margin-left:413.25pt;margin-top:12.1pt;width:134.7pt;height:110.6pt;z-index:-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/P/EQIAAP8DAAAOAAAAZHJzL2Uyb0RvYy54bWysU9tuGyEQfa/Uf0C813uR7cQr4yhNmqpS&#10;mkZK+wGYZb0owFDA3k2/vgPrOFb7VnUfEOwwZ+acOayvRqPJQfqgwDJazUpKpBXQKrtj9Mf3uw+X&#10;lITIbcs1WMnoiwz0avP+3XpwjayhB91KTxDEhmZwjPYxuqYoguil4WEGTloMduANj3j0u6L1fEB0&#10;o4u6LJfFAL51HoQMAf/eTkG6yfhdJ0X81nVBRqIZxd5iXn1et2ktNmve7Dx3vRLHNvg/dGG4slj0&#10;BHXLIyd7r/6CMkp4CNDFmQBTQNcpITMHZFOVf7B56rmTmQuKE9xJpvD/YMXD4dET1TJaU2K5wRE9&#10;gpYkyucQYZCkThINLjR488nh3Th+hBFHnekGdw/iORALNz23O3ntPQy95C22WKXM4ix1wgkJZDt8&#10;hRZr8X2EDDR23iT9UBGC6Diql9N45BiJSCUvqnK5wpDAWDUv58s6D7DgzWu68yF+lmBI2jDqcf4Z&#10;nh/uQ0zt8Ob1Sqpm4U5pnT2gLRkYXS3qRU44ixgV0aJaGUYvy/RNpkksP9k2J0eu9LTHAtoeaSem&#10;E+c4bscsctYkSbKF9gV18DA5El8QbnrwvygZ0I2Mhp977iUl+otFLVfVfJ7smw/zxQUSJ/48sj2P&#10;cCsQitFIybS9idnyE+Vr1LxTWY23To4to8uySMcXkWx8fs633t7t5jcAAAD//wMAUEsDBBQABgAI&#10;AAAAIQBAOFxn3gAAAAsBAAAPAAAAZHJzL2Rvd25yZXYueG1sTI9NT8MwDIbvSPyHyEjcWELVTmtX&#10;d0IgriDGh7Rb1nhtReNUTbaWf096gqPtR6+ft9zNthcXGn3nGOF+pUAQ18503CB8vD/fbUD4oNno&#10;3jEh/JCHXXV9VerCuInf6LIPjYgh7AuN0IYwFFL6uiWr/coNxPF2cqPVIY5jI82opxhue5kotZZW&#10;dxw/tHqgx5bq7/3ZIny+nA5fqXptnmw2TG5Wkm0uEW9v5octiEBz+INh0Y/qUEWnozuz8aJH2CTr&#10;LKIISZqAWACVZzmI47LJUpBVKf93qH4BAAD//wMAUEsBAi0AFAAGAAgAAAAhALaDOJL+AAAA4QEA&#10;ABMAAAAAAAAAAAAAAAAAAAAAAFtDb250ZW50X1R5cGVzXS54bWxQSwECLQAUAAYACAAAACEAOP0h&#10;/9YAAACUAQAACwAAAAAAAAAAAAAAAAAvAQAAX3JlbHMvLnJlbHNQSwECLQAUAAYACAAAACEAr7vz&#10;/xECAAD/AwAADgAAAAAAAAAAAAAAAAAuAgAAZHJzL2Uyb0RvYy54bWxQSwECLQAUAAYACAAAACEA&#10;QDhcZ94AAAALAQAADwAAAAAAAAAAAAAAAABrBAAAZHJzL2Rvd25yZXYueG1sUEsFBgAAAAAEAAQA&#10;8wAAAHYFAAAAAA==&#10;" filled="f" stroked="f">
                <v:textbox>
                  <w:txbxContent>
                    <w:p w14:paraId="6DC9D2C6" w14:textId="3AB62550" w:rsidR="00CA0954" w:rsidRPr="00074DD8" w:rsidRDefault="00CA0954" w:rsidP="00CA0954">
                      <w:pPr>
                        <w:pStyle w:val="tekstzboku"/>
                      </w:pPr>
                      <w:r>
                        <w:rPr>
                          <w:shd w:val="clear" w:color="auto" w:fill="FFFFFF"/>
                        </w:rPr>
                        <w:t xml:space="preserve">W 2017 r. </w:t>
                      </w:r>
                      <w:r w:rsidR="00FD1966">
                        <w:rPr>
                          <w:shd w:val="clear" w:color="auto" w:fill="FFFFFF"/>
                        </w:rPr>
                        <w:t>w polskich związkach sportowych odnotowano</w:t>
                      </w:r>
                      <w:r>
                        <w:rPr>
                          <w:shd w:val="clear" w:color="auto" w:fill="FFFFFF"/>
                        </w:rPr>
                        <w:t xml:space="preserve"> ponad 24 tys. trenerów; jest to przyrost o 28,5% w stosunku do 2016 r. </w:t>
                      </w:r>
                    </w:p>
                    <w:p w14:paraId="72A7EF3C" w14:textId="77777777" w:rsidR="00CA0954" w:rsidRPr="00D616D2" w:rsidRDefault="00CA0954" w:rsidP="00CA0954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074DD8">
        <w:rPr>
          <w:shd w:val="clear" w:color="auto" w:fill="FFFFFF"/>
        </w:rPr>
        <w:t xml:space="preserve"> </w:t>
      </w:r>
      <w:r>
        <w:t>Kadra szkoleniowa, personel medyczny i sędziowie w  polskich związkach sportowych</w:t>
      </w:r>
    </w:p>
    <w:p w14:paraId="087EB994" w14:textId="0E32E0CC" w:rsidR="00CA0954" w:rsidRDefault="00CA0954" w:rsidP="00CA0954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Nieznaczne zmniejszenie się liczby związków sportowych nie</w:t>
      </w:r>
      <w:r w:rsidR="005C6C81">
        <w:rPr>
          <w:shd w:val="clear" w:color="auto" w:fill="FFFFFF"/>
        </w:rPr>
        <w:t xml:space="preserve"> spowodowało ograniczenia liczby</w:t>
      </w:r>
      <w:r>
        <w:rPr>
          <w:shd w:val="clear" w:color="auto" w:fill="FFFFFF"/>
        </w:rPr>
        <w:t xml:space="preserve"> kadry szkoleniowej oraz personelu medycznego. Wręcz przec</w:t>
      </w:r>
      <w:r w:rsidR="00FD1966">
        <w:rPr>
          <w:shd w:val="clear" w:color="auto" w:fill="FFFFFF"/>
        </w:rPr>
        <w:t>iwnie – w ciągu roku liczebność kadry szkoleniowej wzrosła</w:t>
      </w:r>
      <w:r>
        <w:rPr>
          <w:shd w:val="clear" w:color="auto" w:fill="FFFFFF"/>
        </w:rPr>
        <w:t xml:space="preserve"> o 27,9% (z 484 osób w 2016 r. do 619 osób w 2017 r.). Jeszcze większy wzrost (53,5%) odnotowano w zatrudnieniu kadry medycznej (od 127 osób w 2016 r. do 195 osób w 2017 r.). W 2017 r.</w:t>
      </w:r>
      <w:r w:rsidR="00AF23BE">
        <w:rPr>
          <w:shd w:val="clear" w:color="auto" w:fill="FFFFFF"/>
        </w:rPr>
        <w:t xml:space="preserve"> w polskich związkach sportowych odnotowano </w:t>
      </w:r>
      <w:r>
        <w:rPr>
          <w:shd w:val="clear" w:color="auto" w:fill="FFFFFF"/>
        </w:rPr>
        <w:t>24 tys. trenerów</w:t>
      </w:r>
      <w:r w:rsidR="00AF23BE">
        <w:rPr>
          <w:shd w:val="clear" w:color="auto" w:fill="FFFFFF"/>
        </w:rPr>
        <w:t xml:space="preserve"> posiadających ważne i aktualne licencje</w:t>
      </w:r>
      <w:r>
        <w:rPr>
          <w:shd w:val="clear" w:color="auto" w:fill="FFFFFF"/>
        </w:rPr>
        <w:t xml:space="preserve">. W porównaniu z rokiem 2016 (około 19 tys. trenerów) jest to przyrost o 28,5%. Znaczący wzrost (prawie o 5 tys. osób) </w:t>
      </w:r>
      <w:r w:rsidR="001E4DDE">
        <w:rPr>
          <w:shd w:val="clear" w:color="auto" w:fill="FFFFFF"/>
        </w:rPr>
        <w:t>zauważalny był</w:t>
      </w:r>
      <w:r>
        <w:rPr>
          <w:shd w:val="clear" w:color="auto" w:fill="FFFFFF"/>
        </w:rPr>
        <w:t xml:space="preserve"> zwłaszcza w Polskim Związku Piłki Nożnej. </w:t>
      </w:r>
      <w:r w:rsidR="005C6C81">
        <w:rPr>
          <w:shd w:val="clear" w:color="auto" w:fill="FFFFFF"/>
        </w:rPr>
        <w:t xml:space="preserve">Zmniejszeniu uległa jednakże liczba instruktorów </w:t>
      </w:r>
      <w:r w:rsidR="00AF23BE">
        <w:rPr>
          <w:shd w:val="clear" w:color="auto" w:fill="FFFFFF"/>
        </w:rPr>
        <w:t>posiadających ważne i aktualne licencje polskich związków sportowych</w:t>
      </w:r>
      <w:r w:rsidR="005C6C81">
        <w:rPr>
          <w:shd w:val="clear" w:color="auto" w:fill="FFFFFF"/>
        </w:rPr>
        <w:t xml:space="preserve"> (9,7 tys. </w:t>
      </w:r>
      <w:r w:rsidR="00C211B4">
        <w:rPr>
          <w:shd w:val="clear" w:color="auto" w:fill="FFFFFF"/>
        </w:rPr>
        <w:t>instruktorów w </w:t>
      </w:r>
      <w:r w:rsidR="00AF23BE">
        <w:rPr>
          <w:shd w:val="clear" w:color="auto" w:fill="FFFFFF"/>
        </w:rPr>
        <w:t>2017 r.; 10,3 tys. w </w:t>
      </w:r>
      <w:r w:rsidR="005C6C81">
        <w:rPr>
          <w:shd w:val="clear" w:color="auto" w:fill="FFFFFF"/>
        </w:rPr>
        <w:t>2016 r.)</w:t>
      </w:r>
      <w:r w:rsidR="0080411A">
        <w:rPr>
          <w:rStyle w:val="Odwoanieprzypisudolnego"/>
          <w:shd w:val="clear" w:color="auto" w:fill="FFFFFF"/>
        </w:rPr>
        <w:footnoteReference w:id="1"/>
      </w:r>
      <w:r w:rsidR="005C6C81">
        <w:rPr>
          <w:shd w:val="clear" w:color="auto" w:fill="FFFFFF"/>
        </w:rPr>
        <w:t xml:space="preserve">. </w:t>
      </w:r>
    </w:p>
    <w:p w14:paraId="7BC3AB7F" w14:textId="77777777" w:rsidR="00CA0954" w:rsidRDefault="00CA0954" w:rsidP="00CA0954">
      <w:pPr>
        <w:spacing w:line="360" w:lineRule="auto"/>
        <w:jc w:val="both"/>
        <w:rPr>
          <w:b/>
          <w:spacing w:val="-2"/>
          <w:sz w:val="18"/>
          <w:shd w:val="clear" w:color="auto" w:fill="FFFFFF"/>
        </w:rPr>
      </w:pPr>
      <w:r w:rsidRPr="00A87D0A">
        <w:rPr>
          <w:b/>
          <w:spacing w:val="-2"/>
          <w:sz w:val="18"/>
          <w:shd w:val="clear" w:color="auto" w:fill="FFFFFF"/>
        </w:rPr>
        <w:t>Wykres 1. Kadra szkoleniowa według województw</w:t>
      </w:r>
      <w:r>
        <w:rPr>
          <w:b/>
          <w:spacing w:val="-2"/>
          <w:sz w:val="18"/>
          <w:shd w:val="clear" w:color="auto" w:fill="FFFFFF"/>
        </w:rPr>
        <w:t xml:space="preserve"> w 2017 r. </w:t>
      </w:r>
    </w:p>
    <w:p w14:paraId="1C971F8D" w14:textId="77777777" w:rsidR="00CA0954" w:rsidRDefault="00CA0954" w:rsidP="00CA0954">
      <w:pPr>
        <w:spacing w:line="360" w:lineRule="auto"/>
        <w:jc w:val="both"/>
        <w:rPr>
          <w:b/>
          <w:spacing w:val="-2"/>
          <w:sz w:val="1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6CA213CD" wp14:editId="13D7CD41">
            <wp:extent cx="5109882" cy="2941803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93A6396" w14:textId="0A88345D" w:rsidR="00CA0954" w:rsidRDefault="00CA0954" w:rsidP="00CA0954">
      <w:pPr>
        <w:tabs>
          <w:tab w:val="left" w:pos="3119"/>
        </w:tabs>
        <w:spacing w:line="360" w:lineRule="auto"/>
        <w:jc w:val="both"/>
        <w:rPr>
          <w:shd w:val="clear" w:color="auto" w:fill="FFFFFF"/>
        </w:rPr>
      </w:pPr>
      <w:r w:rsidRPr="00B0421F">
        <w:rPr>
          <w:szCs w:val="19"/>
        </w:rPr>
        <w:lastRenderedPageBreak/>
        <w:t>W 2017 r. w polskich związkach sportowych zarejestrowanych było 4</w:t>
      </w:r>
      <w:r>
        <w:rPr>
          <w:szCs w:val="19"/>
        </w:rPr>
        <w:t>4,6</w:t>
      </w:r>
      <w:r w:rsidRPr="00B0421F">
        <w:rPr>
          <w:szCs w:val="19"/>
        </w:rPr>
        <w:t xml:space="preserve"> tys. (4</w:t>
      </w:r>
      <w:r>
        <w:rPr>
          <w:szCs w:val="19"/>
        </w:rPr>
        <w:t>5,8</w:t>
      </w:r>
      <w:r w:rsidRPr="00B0421F">
        <w:rPr>
          <w:szCs w:val="19"/>
        </w:rPr>
        <w:t xml:space="preserve"> tys. w 2016 r.) sędziów, w tym 3,</w:t>
      </w:r>
      <w:r>
        <w:rPr>
          <w:szCs w:val="19"/>
        </w:rPr>
        <w:t>7</w:t>
      </w:r>
      <w:r w:rsidRPr="00B0421F">
        <w:rPr>
          <w:szCs w:val="19"/>
        </w:rPr>
        <w:t xml:space="preserve">% z klasą </w:t>
      </w:r>
      <w:r w:rsidR="00C67041">
        <w:rPr>
          <w:szCs w:val="19"/>
        </w:rPr>
        <w:t>międzynarodową. Kobiety w tej grupie</w:t>
      </w:r>
      <w:r w:rsidRPr="00B0421F">
        <w:rPr>
          <w:szCs w:val="19"/>
        </w:rPr>
        <w:t xml:space="preserve"> stanowiły 20,</w:t>
      </w:r>
      <w:r>
        <w:rPr>
          <w:szCs w:val="19"/>
        </w:rPr>
        <w:t>6</w:t>
      </w:r>
      <w:r w:rsidRPr="00B0421F">
        <w:rPr>
          <w:szCs w:val="19"/>
        </w:rPr>
        <w:t>% ogólnej liczby sędziów (2</w:t>
      </w:r>
      <w:r>
        <w:rPr>
          <w:szCs w:val="19"/>
        </w:rPr>
        <w:t>0,9</w:t>
      </w:r>
      <w:r w:rsidRPr="00B0421F">
        <w:rPr>
          <w:szCs w:val="19"/>
        </w:rPr>
        <w:t xml:space="preserve">% sędziów z klasą międzynarodową). </w:t>
      </w:r>
      <w:r w:rsidR="00C211B4">
        <w:rPr>
          <w:szCs w:val="19"/>
        </w:rPr>
        <w:t xml:space="preserve">Największy odsetek sędziów w 2017 r. zarejestrowano w </w:t>
      </w:r>
      <w:r>
        <w:rPr>
          <w:szCs w:val="19"/>
        </w:rPr>
        <w:t>P</w:t>
      </w:r>
      <w:r w:rsidRPr="00B0421F">
        <w:rPr>
          <w:szCs w:val="19"/>
        </w:rPr>
        <w:t>olskim Związku Strzelectwa Sportowego (2</w:t>
      </w:r>
      <w:r>
        <w:rPr>
          <w:szCs w:val="19"/>
        </w:rPr>
        <w:t>2,2</w:t>
      </w:r>
      <w:r w:rsidRPr="00B0421F">
        <w:rPr>
          <w:szCs w:val="19"/>
        </w:rPr>
        <w:t>% ogólnej liczby), Polskim Związku Piłki Nożnej (</w:t>
      </w:r>
      <w:r>
        <w:rPr>
          <w:szCs w:val="19"/>
        </w:rPr>
        <w:t>19,9</w:t>
      </w:r>
      <w:r w:rsidRPr="00B0421F">
        <w:rPr>
          <w:szCs w:val="19"/>
        </w:rPr>
        <w:t>%) oraz Polskim Związku Lekkiej Atletyki (</w:t>
      </w:r>
      <w:r>
        <w:rPr>
          <w:szCs w:val="19"/>
        </w:rPr>
        <w:t>7,7</w:t>
      </w:r>
      <w:r w:rsidRPr="00B0421F">
        <w:rPr>
          <w:szCs w:val="19"/>
        </w:rPr>
        <w:t xml:space="preserve">%). </w:t>
      </w:r>
      <w:r w:rsidR="00476C96">
        <w:rPr>
          <w:szCs w:val="19"/>
        </w:rPr>
        <w:t>Największy udział</w:t>
      </w:r>
      <w:r w:rsidR="00C211B4">
        <w:rPr>
          <w:szCs w:val="19"/>
        </w:rPr>
        <w:t xml:space="preserve"> sędzin w </w:t>
      </w:r>
      <w:r w:rsidRPr="00B0421F">
        <w:rPr>
          <w:szCs w:val="19"/>
        </w:rPr>
        <w:t>2017 r.</w:t>
      </w:r>
      <w:r w:rsidR="00C211B4">
        <w:rPr>
          <w:szCs w:val="19"/>
        </w:rPr>
        <w:t xml:space="preserve"> odnotowano </w:t>
      </w:r>
      <w:r w:rsidRPr="00B0421F">
        <w:rPr>
          <w:szCs w:val="19"/>
        </w:rPr>
        <w:t>w Polskim Związku Pływackim (16,</w:t>
      </w:r>
      <w:r>
        <w:rPr>
          <w:szCs w:val="19"/>
        </w:rPr>
        <w:t>8</w:t>
      </w:r>
      <w:r w:rsidRPr="00B0421F">
        <w:rPr>
          <w:szCs w:val="19"/>
        </w:rPr>
        <w:t>% ogólnej liczby sędzin), Polskim Związku Lekkiej Atletyki (1</w:t>
      </w:r>
      <w:r>
        <w:rPr>
          <w:szCs w:val="19"/>
        </w:rPr>
        <w:t>4,4</w:t>
      </w:r>
      <w:r w:rsidRPr="00B0421F">
        <w:rPr>
          <w:szCs w:val="19"/>
        </w:rPr>
        <w:t>%) oraz Polskim Związku Strzelectwa Sportowego (1</w:t>
      </w:r>
      <w:r>
        <w:rPr>
          <w:szCs w:val="19"/>
        </w:rPr>
        <w:t>1,8</w:t>
      </w:r>
      <w:r w:rsidR="0080411A">
        <w:rPr>
          <w:szCs w:val="19"/>
        </w:rPr>
        <w:t>%)</w:t>
      </w:r>
      <w:r>
        <w:rPr>
          <w:rStyle w:val="Odwoanieprzypisudolnego"/>
          <w:shd w:val="clear" w:color="auto" w:fill="FFFFFF"/>
        </w:rPr>
        <w:footnoteReference w:id="2"/>
      </w:r>
      <w:r w:rsidR="0080411A">
        <w:rPr>
          <w:shd w:val="clear" w:color="auto" w:fill="FFFFFF"/>
        </w:rPr>
        <w:t>.</w:t>
      </w:r>
    </w:p>
    <w:p w14:paraId="600B46D5" w14:textId="77777777" w:rsidR="00CA0954" w:rsidRDefault="00CA0954" w:rsidP="00CA0954">
      <w:pPr>
        <w:tabs>
          <w:tab w:val="left" w:pos="3119"/>
        </w:tabs>
        <w:spacing w:line="360" w:lineRule="auto"/>
        <w:jc w:val="both"/>
        <w:rPr>
          <w:shd w:val="clear" w:color="auto" w:fill="FFFFFF"/>
        </w:rPr>
      </w:pPr>
    </w:p>
    <w:p w14:paraId="2BA95550" w14:textId="77777777" w:rsidR="00CA0954" w:rsidRDefault="00CA0954" w:rsidP="00CA0954">
      <w:pPr>
        <w:spacing w:line="360" w:lineRule="auto"/>
        <w:jc w:val="both"/>
        <w:rPr>
          <w:b/>
          <w:spacing w:val="-2"/>
          <w:sz w:val="18"/>
          <w:shd w:val="clear" w:color="auto" w:fill="FFFFFF"/>
        </w:rPr>
      </w:pPr>
      <w:r w:rsidRPr="00DA2E31">
        <w:rPr>
          <w:b/>
          <w:spacing w:val="-2"/>
          <w:sz w:val="18"/>
          <w:shd w:val="clear" w:color="auto" w:fill="FFFFFF"/>
        </w:rPr>
        <w:t xml:space="preserve">Wykres 2. Sędziowie sportowi według województw w 2017 r. </w:t>
      </w:r>
    </w:p>
    <w:p w14:paraId="7286DAAD" w14:textId="735A860F" w:rsidR="003B65B0" w:rsidRDefault="003B65B0" w:rsidP="00CA0954">
      <w:pPr>
        <w:spacing w:line="360" w:lineRule="auto"/>
        <w:jc w:val="both"/>
        <w:rPr>
          <w:b/>
          <w:spacing w:val="-2"/>
          <w:sz w:val="1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72D5D705" wp14:editId="5F0A3660">
            <wp:extent cx="5277971" cy="2823882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66C5018" w14:textId="77777777" w:rsidR="00CA0954" w:rsidRPr="00DA2E31" w:rsidRDefault="00CA0954" w:rsidP="00CA0954">
      <w:pPr>
        <w:spacing w:line="360" w:lineRule="auto"/>
        <w:jc w:val="both"/>
        <w:rPr>
          <w:b/>
          <w:spacing w:val="-2"/>
          <w:sz w:val="18"/>
          <w:shd w:val="clear" w:color="auto" w:fill="FFFFFF"/>
        </w:rPr>
      </w:pPr>
    </w:p>
    <w:p w14:paraId="144987F5" w14:textId="77777777" w:rsidR="00CA0954" w:rsidRPr="00074DD8" w:rsidRDefault="00CA0954" w:rsidP="00CA0954">
      <w:pPr>
        <w:pStyle w:val="Nagwek1"/>
        <w:jc w:val="both"/>
      </w:pPr>
      <w:r w:rsidRPr="00633014">
        <w:rPr>
          <w:rFonts w:ascii="Fira Sans" w:hAnsi="Fira Sans"/>
          <w:b/>
          <w:noProof/>
          <w:spacing w:val="-2"/>
          <w:szCs w:val="19"/>
        </w:rPr>
        <mc:AlternateContent>
          <mc:Choice Requires="wps">
            <w:drawing>
              <wp:anchor distT="45720" distB="45720" distL="114300" distR="114300" simplePos="0" relativeHeight="251681280" behindDoc="1" locked="0" layoutInCell="1" allowOverlap="1" wp14:anchorId="47360355" wp14:editId="7E2AA699">
                <wp:simplePos x="0" y="0"/>
                <wp:positionH relativeFrom="column">
                  <wp:posOffset>5219700</wp:posOffset>
                </wp:positionH>
                <wp:positionV relativeFrom="paragraph">
                  <wp:posOffset>165100</wp:posOffset>
                </wp:positionV>
                <wp:extent cx="1733550" cy="1090295"/>
                <wp:effectExtent l="0" t="0" r="0" b="0"/>
                <wp:wrapTight wrapText="bothSides">
                  <wp:wrapPolygon edited="0">
                    <wp:start x="712" y="0"/>
                    <wp:lineTo x="712" y="21135"/>
                    <wp:lineTo x="20651" y="21135"/>
                    <wp:lineTo x="20651" y="0"/>
                    <wp:lineTo x="712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8A7FB" w14:textId="0CC6C6E3" w:rsidR="00CA0954" w:rsidRPr="00074DD8" w:rsidRDefault="00CA0954" w:rsidP="00CA0954">
                            <w:pPr>
                              <w:pStyle w:val="tekstzboku"/>
                            </w:pPr>
                            <w:r>
                              <w:rPr>
                                <w:szCs w:val="19"/>
                              </w:rPr>
                              <w:t>W 2017 r. p</w:t>
                            </w:r>
                            <w:r w:rsidR="00CF4F93">
                              <w:rPr>
                                <w:szCs w:val="19"/>
                              </w:rPr>
                              <w:t>olskie związki sportowe powołały</w:t>
                            </w:r>
                            <w:r>
                              <w:rPr>
                                <w:szCs w:val="19"/>
                              </w:rPr>
                              <w:t xml:space="preserve"> 10,7 tys. członków kadry narodowej, spośród których 40,4% stanowiły kobiety, a 50,5% juniorzy i juniorki</w:t>
                            </w:r>
                          </w:p>
                          <w:p w14:paraId="7410F2AA" w14:textId="77777777" w:rsidR="00CA0954" w:rsidRPr="00D616D2" w:rsidRDefault="00CA0954" w:rsidP="00CA0954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60355" id="Pole tekstowe 16" o:spid="_x0000_s1028" type="#_x0000_t202" style="position:absolute;left:0;text-align:left;margin-left:411pt;margin-top:13pt;width:136.5pt;height:85.85pt;z-index:-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vfEwIAAAEEAAAOAAAAZHJzL2Uyb0RvYy54bWysU9Fu2yAUfZ+0f0C8L3bcuG2sOFXXrtOk&#10;bqvU7gMIxjEqcBmQ2NnX74KTzNreqvkBgS/33HvOPaxuBq3IXjgvwdR0PsspEYZDI822pj9eHj5c&#10;U+IDMw1TYERND8LTm/X7d6veVqKADlQjHEEQ46ve1rQLwVZZ5nknNPMzsMJgsAWnWcCj22aNYz2i&#10;a5UVeX6Z9eAa64AL7/Hv/Rik64TftoKH723rRSCqpthbSKtL6yau2XrFqq1jtpP82AZ7QxeaSYNF&#10;z1D3LDCyc/IfKC25Aw9tmHHQGbSt5CJxQDbz/C82zx2zInFBcbw9y+T/Hyz/tn9yRDY4u0tKDNM4&#10;oydQggTx6gP0guB/FKm3vsK7zxZvh+EjDJiQCHv7CPzVEwN3HTNbcesc9J1gDTY5j5nZJHXE8RFk&#10;03+FBouxXYAENLRORwVRE4LoOKzDeUBiCITHklcXF2WJIY6xeb7Mi2WZarDqlG6dD58FaBI3NXXo&#10;gATP9o8+xHZYdboSqxl4kEolFyhD+pouy6JMCZOIlgFNqqSu6XUev9E2keUn06TkwKQa91hAmSPt&#10;yHTkHIbNkGQuTmpuoDmgDg5GT+Ibwk0H7hclPfqxpv7njjlBifpiUMvlfLGIBk6HRXlV4MFNI5tp&#10;hBmOUDUNlIzbu5BMP1K+Rc1bmdSIwxk7ObaMPksiHd9ENPL0nG79ebnr3wAAAP//AwBQSwMEFAAG&#10;AAgAAAAhAB/MDuveAAAACwEAAA8AAABkcnMvZG93bnJldi54bWxMj0trwzAQhO+B/gexhd4SqSYv&#10;O5ZDaei1pekDclOsjW1qrYylxO6/7+bUnHaWHWa/ybeja8UF+9B40vA4UyCQSm8bqjR8frxM1yBC&#10;NGRN6wk1/GKAbXE3yU1m/UDveNnHSnAIhcxoqGPsMilDWaMzYeY7JL6dfO9M5LWvpO3NwOGulYlS&#10;S+lMQ/yhNh0+11j+7M9Ow9fr6fA9V2/Vzi26wY9Kkkul1g/349MGRMQx/pvhis/oUDDT0Z/JBtFq&#10;WCcJd4kakiXPq0GlC1ZHVulqBbLI5W2H4g8AAP//AwBQSwECLQAUAAYACAAAACEAtoM4kv4AAADh&#10;AQAAEwAAAAAAAAAAAAAAAAAAAAAAW0NvbnRlbnRfVHlwZXNdLnhtbFBLAQItABQABgAIAAAAIQA4&#10;/SH/1gAAAJQBAAALAAAAAAAAAAAAAAAAAC8BAABfcmVscy8ucmVsc1BLAQItABQABgAIAAAAIQAW&#10;1ivfEwIAAAEEAAAOAAAAAAAAAAAAAAAAAC4CAABkcnMvZTJvRG9jLnhtbFBLAQItABQABgAIAAAA&#10;IQAfzA7r3gAAAAsBAAAPAAAAAAAAAAAAAAAAAG0EAABkcnMvZG93bnJldi54bWxQSwUGAAAAAAQA&#10;BADzAAAAeAUAAAAA&#10;" filled="f" stroked="f">
                <v:textbox>
                  <w:txbxContent>
                    <w:p w14:paraId="11B8A7FB" w14:textId="0CC6C6E3" w:rsidR="00CA0954" w:rsidRPr="00074DD8" w:rsidRDefault="00CA0954" w:rsidP="00CA0954">
                      <w:pPr>
                        <w:pStyle w:val="tekstzboku"/>
                      </w:pPr>
                      <w:r>
                        <w:rPr>
                          <w:szCs w:val="19"/>
                        </w:rPr>
                        <w:t>W 2017 r. p</w:t>
                      </w:r>
                      <w:r w:rsidR="00CF4F93">
                        <w:rPr>
                          <w:szCs w:val="19"/>
                        </w:rPr>
                        <w:t>olskie związki sportowe powołały</w:t>
                      </w:r>
                      <w:r>
                        <w:rPr>
                          <w:szCs w:val="19"/>
                        </w:rPr>
                        <w:t xml:space="preserve"> 10,7 tys. członków kadry narodowej, spośród których 40,4% stanowiły kobiety, a 50,5% juniorzy i juniorki</w:t>
                      </w:r>
                    </w:p>
                    <w:p w14:paraId="7410F2AA" w14:textId="77777777" w:rsidR="00CA0954" w:rsidRPr="00D616D2" w:rsidRDefault="00CA0954" w:rsidP="00CA0954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t>Reprezentacja polskich związków sportowych</w:t>
      </w:r>
    </w:p>
    <w:p w14:paraId="63F1704F" w14:textId="068DA981" w:rsidR="00CA0954" w:rsidRDefault="00CA0954" w:rsidP="00CA0954">
      <w:pPr>
        <w:spacing w:line="360" w:lineRule="auto"/>
        <w:jc w:val="both"/>
        <w:rPr>
          <w:szCs w:val="19"/>
        </w:rPr>
      </w:pPr>
      <w:r>
        <w:rPr>
          <w:szCs w:val="19"/>
        </w:rPr>
        <w:t>W 2017 r. p</w:t>
      </w:r>
      <w:r w:rsidR="00CF4F93">
        <w:rPr>
          <w:szCs w:val="19"/>
        </w:rPr>
        <w:t>olskie związki sportowe powołały</w:t>
      </w:r>
      <w:r>
        <w:rPr>
          <w:szCs w:val="19"/>
        </w:rPr>
        <w:t xml:space="preserve"> 10,7 tys. członków kadry narodowej, spośród których 40,4% stanowiły kobiety, a 50,5% juniorzy i juniorki. W porównaniu z rokiem 2016 widoczny jest wzrost </w:t>
      </w:r>
      <w:r w:rsidR="008A06E3">
        <w:rPr>
          <w:szCs w:val="19"/>
        </w:rPr>
        <w:t>liczby</w:t>
      </w:r>
      <w:r>
        <w:rPr>
          <w:szCs w:val="19"/>
        </w:rPr>
        <w:t xml:space="preserve"> reprezentantów kadry narodowej o 17,1%. </w:t>
      </w:r>
      <w:r w:rsidR="00C81FED">
        <w:rPr>
          <w:szCs w:val="19"/>
        </w:rPr>
        <w:t>Zn</w:t>
      </w:r>
      <w:r w:rsidR="00AF23BE">
        <w:rPr>
          <w:szCs w:val="19"/>
        </w:rPr>
        <w:t>acznie zwiększyła się liczba reprezentantów w kategorii</w:t>
      </w:r>
      <w:r>
        <w:rPr>
          <w:szCs w:val="19"/>
        </w:rPr>
        <w:t xml:space="preserve"> juniorów (z 3,8 tys. w 2016 r. do 5,4 tys. w 2017 r.). Największą </w:t>
      </w:r>
      <w:r w:rsidR="003B4616">
        <w:rPr>
          <w:szCs w:val="19"/>
        </w:rPr>
        <w:t>liczbą</w:t>
      </w:r>
      <w:r>
        <w:rPr>
          <w:szCs w:val="19"/>
        </w:rPr>
        <w:t xml:space="preserve"> zawod</w:t>
      </w:r>
      <w:r w:rsidR="00C211B4">
        <w:rPr>
          <w:szCs w:val="19"/>
        </w:rPr>
        <w:t xml:space="preserve">ników w 2017 r. cechowały się </w:t>
      </w:r>
      <w:r>
        <w:rPr>
          <w:szCs w:val="19"/>
        </w:rPr>
        <w:t>Polski Związek Piłki Siatkowej (1,2 tys.), Pols</w:t>
      </w:r>
      <w:r w:rsidR="003B4616">
        <w:rPr>
          <w:szCs w:val="19"/>
        </w:rPr>
        <w:t>ki Związek Taekwon -</w:t>
      </w:r>
      <w:r w:rsidR="00DD5548">
        <w:rPr>
          <w:szCs w:val="19"/>
        </w:rPr>
        <w:t xml:space="preserve"> </w:t>
      </w:r>
      <w:r w:rsidR="00054E3C">
        <w:rPr>
          <w:szCs w:val="19"/>
        </w:rPr>
        <w:t>do Olimpijskiego</w:t>
      </w:r>
      <w:r w:rsidR="003B4616">
        <w:rPr>
          <w:szCs w:val="19"/>
        </w:rPr>
        <w:t xml:space="preserve"> (694 </w:t>
      </w:r>
      <w:r>
        <w:rPr>
          <w:szCs w:val="19"/>
        </w:rPr>
        <w:t xml:space="preserve">osoby) i Polski Związek Pływacki (594 osoby). W 2016 r. najliczniejszą reprezentację </w:t>
      </w:r>
      <w:r w:rsidR="003B4616">
        <w:rPr>
          <w:szCs w:val="19"/>
        </w:rPr>
        <w:t xml:space="preserve">powołał  </w:t>
      </w:r>
      <w:r>
        <w:rPr>
          <w:szCs w:val="19"/>
        </w:rPr>
        <w:t xml:space="preserve">Polski Związek Piłki Nożnej (903 osoby). </w:t>
      </w:r>
    </w:p>
    <w:p w14:paraId="654B2E8A" w14:textId="77777777" w:rsidR="00F55E5D" w:rsidRDefault="00F55E5D" w:rsidP="00CA0954">
      <w:pPr>
        <w:spacing w:line="360" w:lineRule="auto"/>
        <w:jc w:val="both"/>
        <w:rPr>
          <w:szCs w:val="19"/>
        </w:rPr>
      </w:pPr>
    </w:p>
    <w:p w14:paraId="10455F18" w14:textId="77777777" w:rsidR="00F55E5D" w:rsidRDefault="00F55E5D" w:rsidP="00CA0954">
      <w:pPr>
        <w:spacing w:line="360" w:lineRule="auto"/>
        <w:jc w:val="both"/>
        <w:rPr>
          <w:szCs w:val="19"/>
        </w:rPr>
      </w:pPr>
    </w:p>
    <w:p w14:paraId="505DD1F7" w14:textId="77777777" w:rsidR="00F55E5D" w:rsidRDefault="00F55E5D" w:rsidP="00CA0954">
      <w:pPr>
        <w:spacing w:line="360" w:lineRule="auto"/>
        <w:jc w:val="both"/>
        <w:rPr>
          <w:szCs w:val="19"/>
        </w:rPr>
      </w:pPr>
    </w:p>
    <w:p w14:paraId="3A4CDE0D" w14:textId="77777777" w:rsidR="00F55E5D" w:rsidRDefault="00F55E5D" w:rsidP="00CA0954">
      <w:pPr>
        <w:spacing w:line="360" w:lineRule="auto"/>
        <w:jc w:val="both"/>
        <w:rPr>
          <w:szCs w:val="19"/>
        </w:rPr>
      </w:pPr>
    </w:p>
    <w:p w14:paraId="31EF7316" w14:textId="77777777" w:rsidR="00F55E5D" w:rsidRDefault="00F55E5D" w:rsidP="00CA0954">
      <w:pPr>
        <w:spacing w:line="360" w:lineRule="auto"/>
        <w:jc w:val="both"/>
        <w:rPr>
          <w:szCs w:val="19"/>
        </w:rPr>
      </w:pPr>
    </w:p>
    <w:p w14:paraId="4A1EEF14" w14:textId="77777777" w:rsidR="00F55E5D" w:rsidRDefault="00F55E5D" w:rsidP="00CA0954">
      <w:pPr>
        <w:spacing w:line="360" w:lineRule="auto"/>
        <w:jc w:val="both"/>
        <w:rPr>
          <w:szCs w:val="19"/>
        </w:rPr>
      </w:pPr>
    </w:p>
    <w:p w14:paraId="1FC6B52C" w14:textId="77777777" w:rsidR="00F55E5D" w:rsidRDefault="00F55E5D" w:rsidP="00CA0954">
      <w:pPr>
        <w:spacing w:line="360" w:lineRule="auto"/>
        <w:jc w:val="both"/>
        <w:rPr>
          <w:szCs w:val="19"/>
        </w:rPr>
      </w:pPr>
    </w:p>
    <w:p w14:paraId="406E6A47" w14:textId="77777777" w:rsidR="00CA0954" w:rsidRDefault="00CA0954" w:rsidP="00CA0954">
      <w:pPr>
        <w:spacing w:line="360" w:lineRule="auto"/>
        <w:jc w:val="both"/>
        <w:rPr>
          <w:b/>
          <w:spacing w:val="-2"/>
          <w:sz w:val="18"/>
          <w:shd w:val="clear" w:color="auto" w:fill="FFFFFF"/>
        </w:rPr>
      </w:pPr>
      <w:r w:rsidRPr="00E62708">
        <w:rPr>
          <w:b/>
          <w:spacing w:val="-2"/>
          <w:sz w:val="18"/>
          <w:shd w:val="clear" w:color="auto" w:fill="FFFFFF"/>
        </w:rPr>
        <w:t xml:space="preserve">Wykres 3. Reprezentanci Polski w 2017 r. </w:t>
      </w:r>
    </w:p>
    <w:p w14:paraId="66F00EFE" w14:textId="77777777" w:rsidR="00CA0954" w:rsidRPr="00E62708" w:rsidRDefault="00CA0954" w:rsidP="00CA0954">
      <w:pPr>
        <w:spacing w:line="360" w:lineRule="auto"/>
        <w:jc w:val="both"/>
        <w:rPr>
          <w:b/>
          <w:spacing w:val="-2"/>
          <w:sz w:val="1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454629CD" wp14:editId="72DB6470">
            <wp:extent cx="5169877" cy="2808416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3EA7965" w14:textId="77777777" w:rsidR="00CA0954" w:rsidRDefault="00CA0954" w:rsidP="00CA0954">
      <w:pPr>
        <w:spacing w:line="360" w:lineRule="auto"/>
        <w:jc w:val="both"/>
        <w:rPr>
          <w:b/>
          <w:spacing w:val="-2"/>
          <w:sz w:val="18"/>
          <w:shd w:val="clear" w:color="auto" w:fill="FFFFFF"/>
        </w:rPr>
      </w:pPr>
    </w:p>
    <w:p w14:paraId="11B3A56E" w14:textId="04ABC0D0" w:rsidR="00CA0954" w:rsidRDefault="00CA0954" w:rsidP="00CA0954">
      <w:pPr>
        <w:spacing w:line="360" w:lineRule="auto"/>
        <w:jc w:val="both"/>
        <w:rPr>
          <w:rFonts w:ascii="Fira Sans SemiBold" w:eastAsia="Times New Roman" w:hAnsi="Fira Sans SemiBold" w:cs="Times New Roman"/>
          <w:bCs/>
          <w:color w:val="001D77"/>
          <w:szCs w:val="24"/>
          <w:lang w:eastAsia="pl-PL"/>
        </w:rPr>
      </w:pPr>
      <w:r w:rsidRPr="006829D4">
        <w:rPr>
          <w:rFonts w:ascii="Fira Sans SemiBold" w:eastAsia="Times New Roman" w:hAnsi="Fira Sans SemiBold" w:cs="Times New Roman"/>
          <w:bCs/>
          <w:color w:val="001D77"/>
          <w:szCs w:val="24"/>
          <w:lang w:eastAsia="pl-PL"/>
        </w:rPr>
        <w:t>Medal</w:t>
      </w:r>
      <w:r w:rsidR="00CB6F25">
        <w:rPr>
          <w:rFonts w:ascii="Fira Sans SemiBold" w:eastAsia="Times New Roman" w:hAnsi="Fira Sans SemiBold" w:cs="Times New Roman"/>
          <w:bCs/>
          <w:color w:val="001D77"/>
          <w:szCs w:val="24"/>
          <w:lang w:eastAsia="pl-PL"/>
        </w:rPr>
        <w:t xml:space="preserve">iści mistrzostw świata i mistrzostw Europy </w:t>
      </w:r>
    </w:p>
    <w:p w14:paraId="33DE3724" w14:textId="21335711" w:rsidR="00CA0954" w:rsidRDefault="00CA0954" w:rsidP="00CA0954">
      <w:pPr>
        <w:spacing w:line="360" w:lineRule="auto"/>
        <w:jc w:val="both"/>
        <w:rPr>
          <w:szCs w:val="19"/>
        </w:rPr>
      </w:pPr>
      <w:r>
        <w:rPr>
          <w:szCs w:val="19"/>
        </w:rPr>
        <w:t>W 2</w:t>
      </w:r>
      <w:r w:rsidR="00883916">
        <w:rPr>
          <w:szCs w:val="19"/>
        </w:rPr>
        <w:t xml:space="preserve">017 r. polska reprezentacja na </w:t>
      </w:r>
      <w:r w:rsidR="00341DA1">
        <w:rPr>
          <w:szCs w:val="19"/>
        </w:rPr>
        <w:t>mistrzostw</w:t>
      </w:r>
      <w:r w:rsidR="00883916">
        <w:rPr>
          <w:szCs w:val="19"/>
        </w:rPr>
        <w:t>ach</w:t>
      </w:r>
      <w:r w:rsidR="00341DA1">
        <w:rPr>
          <w:szCs w:val="19"/>
        </w:rPr>
        <w:t xml:space="preserve"> świata </w:t>
      </w:r>
      <w:r>
        <w:rPr>
          <w:szCs w:val="19"/>
        </w:rPr>
        <w:t>liczyła łącznie 1927 zawodników, 354 razy Polacy zdobywali miejsce medalowe. W 2017 r. zdobyli 113 złotych medali mistrzostw świata, 97 srebrnych i 144</w:t>
      </w:r>
      <w:r w:rsidR="00BB0AC4">
        <w:rPr>
          <w:szCs w:val="19"/>
        </w:rPr>
        <w:t xml:space="preserve"> brązowe. W 2016 r. łączna liczba</w:t>
      </w:r>
      <w:r>
        <w:rPr>
          <w:szCs w:val="19"/>
        </w:rPr>
        <w:t xml:space="preserve"> miejsc medalowych Polaków na mistrzostwach świata wyniosła 452, należy jednak podkreśli</w:t>
      </w:r>
      <w:r w:rsidR="00883916">
        <w:rPr>
          <w:szCs w:val="19"/>
        </w:rPr>
        <w:t>ć, że w zawodach</w:t>
      </w:r>
      <w:r w:rsidR="00CB6F25">
        <w:rPr>
          <w:szCs w:val="19"/>
        </w:rPr>
        <w:t xml:space="preserve"> wzięło udział</w:t>
      </w:r>
      <w:r w:rsidR="00883916">
        <w:rPr>
          <w:szCs w:val="19"/>
        </w:rPr>
        <w:t xml:space="preserve"> więcej</w:t>
      </w:r>
      <w:r w:rsidR="00C211B4">
        <w:rPr>
          <w:szCs w:val="19"/>
        </w:rPr>
        <w:t xml:space="preserve"> </w:t>
      </w:r>
      <w:r w:rsidR="00BB0AC4">
        <w:rPr>
          <w:szCs w:val="19"/>
        </w:rPr>
        <w:t>zawodników (2031 osób</w:t>
      </w:r>
      <w:r>
        <w:rPr>
          <w:szCs w:val="19"/>
        </w:rPr>
        <w:t>). Najwięcej miejsc medalowych w 2017 r. Polacy wywalczyli w konkurencjach: taniec sportowy (76 medali), Ju-jitsu (35 medali) i kick-boxing (29 medali).</w:t>
      </w:r>
    </w:p>
    <w:p w14:paraId="6EF6332C" w14:textId="1C8A45E4" w:rsidR="00CA0954" w:rsidRDefault="00CA0954" w:rsidP="00CA0954">
      <w:pPr>
        <w:spacing w:line="360" w:lineRule="auto"/>
        <w:jc w:val="both"/>
        <w:rPr>
          <w:szCs w:val="19"/>
        </w:rPr>
      </w:pPr>
      <w:r>
        <w:rPr>
          <w:szCs w:val="19"/>
        </w:rPr>
        <w:t>Znacznie więcej za</w:t>
      </w:r>
      <w:r w:rsidR="00A04A47">
        <w:rPr>
          <w:szCs w:val="19"/>
        </w:rPr>
        <w:t xml:space="preserve">wodników reprezentowało Polskę </w:t>
      </w:r>
      <w:r>
        <w:rPr>
          <w:szCs w:val="19"/>
        </w:rPr>
        <w:t>na imprezach sportowych rangi mistrzostw Europy – polska reprezentacja liczyła 2992 osoby. W porównaniu z rokiem 2016 liczba to wzrosła o 9,6%. Polacy w 2017 r. zdobyli łącznie 698 medal</w:t>
      </w:r>
      <w:r w:rsidR="00A04A47">
        <w:rPr>
          <w:szCs w:val="19"/>
        </w:rPr>
        <w:t>i mistrzostw Europy (660 w 2016 </w:t>
      </w:r>
      <w:r>
        <w:rPr>
          <w:szCs w:val="19"/>
        </w:rPr>
        <w:t xml:space="preserve">r.), w tym: 196 złotych, 207 srebrnych i 295 brązowych. Najwięcej medali mistrzostw Europy wywalczono w konkurencjach: kick-boxing (66 medali), karate (63 medale) i sumo (61 medali). </w:t>
      </w:r>
    </w:p>
    <w:p w14:paraId="761609AE" w14:textId="77777777" w:rsidR="00CA0954" w:rsidRDefault="00CA0954" w:rsidP="00CA0954">
      <w:pPr>
        <w:spacing w:line="360" w:lineRule="auto"/>
        <w:jc w:val="both"/>
        <w:rPr>
          <w:szCs w:val="19"/>
        </w:rPr>
      </w:pPr>
      <w:r>
        <w:rPr>
          <w:szCs w:val="19"/>
        </w:rPr>
        <w:t xml:space="preserve">Sportowcy niepełnosprawni zdobyli ogółem 136 medali mistrzostw świata (33 złote, 38 srebrnych, 65 brązowych) oraz 38 medali mistrzostw Europy (11 złotych, 12 srebrnych i 15 brązowych). Najbardziej bogatymi pod względem miejsc medalowych w przypadku sportu osób niepełnosprawnych były: mistrzostwa świata w lekkoatletyce (43 medale), pływaniu (38 medali) i kolarstwie (11 medali), mistrzostwa Europy w tenisie stołowym (12 medali), kręglarstwie (11 medali) i żeglarstwie (4 medale). </w:t>
      </w:r>
    </w:p>
    <w:p w14:paraId="467E4B3A" w14:textId="77777777" w:rsidR="00CA0954" w:rsidRDefault="00CA0954" w:rsidP="00CA0954">
      <w:pPr>
        <w:spacing w:line="360" w:lineRule="auto"/>
        <w:jc w:val="both"/>
        <w:rPr>
          <w:szCs w:val="19"/>
        </w:rPr>
      </w:pPr>
    </w:p>
    <w:p w14:paraId="7618C303" w14:textId="77777777" w:rsidR="00CA0954" w:rsidRDefault="00CA0954" w:rsidP="00CA0954">
      <w:pPr>
        <w:spacing w:line="360" w:lineRule="auto"/>
        <w:jc w:val="both"/>
        <w:rPr>
          <w:rFonts w:ascii="Fira Sans SemiBold" w:eastAsia="Times New Roman" w:hAnsi="Fira Sans SemiBold" w:cs="Times New Roman"/>
          <w:bCs/>
          <w:color w:val="001D77"/>
          <w:szCs w:val="24"/>
          <w:lang w:eastAsia="pl-PL"/>
        </w:rPr>
      </w:pPr>
      <w:r w:rsidRPr="00C20DCB">
        <w:rPr>
          <w:rFonts w:ascii="Fira Sans SemiBold" w:eastAsia="Times New Roman" w:hAnsi="Fira Sans SemiBold" w:cs="Times New Roman"/>
          <w:bCs/>
          <w:color w:val="001D77"/>
          <w:szCs w:val="24"/>
          <w:lang w:eastAsia="pl-PL"/>
        </w:rPr>
        <w:t>Organizacje Kultury Fizycznej</w:t>
      </w:r>
    </w:p>
    <w:p w14:paraId="2EFE4D37" w14:textId="1AA25A3E" w:rsidR="00CA0954" w:rsidRDefault="00CA0954" w:rsidP="00CA0954">
      <w:pPr>
        <w:spacing w:line="360" w:lineRule="auto"/>
        <w:jc w:val="both"/>
        <w:rPr>
          <w:szCs w:val="19"/>
        </w:rPr>
      </w:pPr>
      <w:r>
        <w:rPr>
          <w:szCs w:val="19"/>
        </w:rPr>
        <w:t xml:space="preserve">W 2017 r., tak jak w latach poprzednich, badaniem objęto następujące organizacje kultury fizycznej: Akademicki Związek Sportowy, Ludowe Zespoły Sportowe, Polski Związek Sportu Niepełnosprawnych „Start” oraz Towarzystwo Krzewienia Kultury Fizycznej. Organizacje wykazały </w:t>
      </w:r>
      <w:r>
        <w:rPr>
          <w:szCs w:val="19"/>
        </w:rPr>
        <w:lastRenderedPageBreak/>
        <w:t>łącznie 2,3 tys. jednostek organizacyjnych (2,6 tys. w 2016 r.), 185,9 tys. członków  (201,5 tys. w 2016 r.) oraz 180,7 tys. ćwiczących (193,1 tys. w 2016 r.). Najbardziej liczne pod względem bazy członkowskiej,  jak i osób aktywnie ćwiczących</w:t>
      </w:r>
      <w:r w:rsidR="00CD2C82">
        <w:rPr>
          <w:szCs w:val="19"/>
        </w:rPr>
        <w:t>,</w:t>
      </w:r>
      <w:r>
        <w:rPr>
          <w:szCs w:val="19"/>
        </w:rPr>
        <w:t xml:space="preserve"> jest Towarzystwo Krzewienia Kultury Fizycznej (99,4 tys. członków, 104,1 tys. ćwicząc</w:t>
      </w:r>
      <w:r w:rsidR="00CD2C82">
        <w:rPr>
          <w:szCs w:val="19"/>
        </w:rPr>
        <w:t xml:space="preserve">ych). Szeroką bazę członkowską </w:t>
      </w:r>
      <w:r>
        <w:rPr>
          <w:szCs w:val="19"/>
        </w:rPr>
        <w:t>posiadają też Ludowe Zespoły Sportowe (50,7 tys. członków, 44,5 tys. ćwiczących).  Akademicki Związek Sportowy wykazał  34,0 tys. członków oraz 31,0 tys. ćwiczących. Polski Związek Sportu Niepełnosprawnych „Start” z kolei – 1,8 tys. członków oraz 1,1 t</w:t>
      </w:r>
      <w:r w:rsidR="00CD2C82">
        <w:rPr>
          <w:szCs w:val="19"/>
        </w:rPr>
        <w:t>ys. ćwiczących. Największą liczbę</w:t>
      </w:r>
      <w:r>
        <w:rPr>
          <w:szCs w:val="19"/>
        </w:rPr>
        <w:t xml:space="preserve"> członków  organizacji kultury fizycznej </w:t>
      </w:r>
      <w:r w:rsidR="00AE3F74">
        <w:rPr>
          <w:szCs w:val="19"/>
        </w:rPr>
        <w:t>odnotowano w województwach: zachodniopomorskim (35,8 tys. członków), śląskim</w:t>
      </w:r>
      <w:r>
        <w:rPr>
          <w:szCs w:val="19"/>
        </w:rPr>
        <w:t xml:space="preserve"> (26,2 tys.) oraz mazowieck</w:t>
      </w:r>
      <w:r w:rsidR="001A73F4">
        <w:rPr>
          <w:szCs w:val="19"/>
        </w:rPr>
        <w:t xml:space="preserve">im (17,5 tys.). </w:t>
      </w:r>
      <w:r>
        <w:rPr>
          <w:szCs w:val="19"/>
        </w:rPr>
        <w:t>Najwięcej osób aktywnie ćwiczących zarejestrowano w województwach: wielkopolskim (35,0), śląskim (31</w:t>
      </w:r>
      <w:r w:rsidR="00A245C9">
        <w:rPr>
          <w:szCs w:val="19"/>
        </w:rPr>
        <w:t>,0 tys.) oraz mazowieckim (14,3 </w:t>
      </w:r>
      <w:r>
        <w:rPr>
          <w:szCs w:val="19"/>
        </w:rPr>
        <w:t xml:space="preserve">tys.). </w:t>
      </w:r>
    </w:p>
    <w:p w14:paraId="6CE50C06" w14:textId="77777777" w:rsidR="00CA0954" w:rsidRDefault="00CA0954" w:rsidP="00CA0954">
      <w:pPr>
        <w:rPr>
          <w:b/>
          <w:spacing w:val="-2"/>
          <w:sz w:val="18"/>
          <w:shd w:val="clear" w:color="auto" w:fill="FFFFFF"/>
        </w:rPr>
      </w:pPr>
      <w:r w:rsidRPr="00BA3562">
        <w:rPr>
          <w:b/>
          <w:spacing w:val="-2"/>
          <w:sz w:val="18"/>
          <w:shd w:val="clear" w:color="auto" w:fill="FFFFFF"/>
        </w:rPr>
        <w:t xml:space="preserve">Tablica 1. </w:t>
      </w:r>
      <w:r>
        <w:rPr>
          <w:b/>
          <w:spacing w:val="-2"/>
          <w:sz w:val="18"/>
          <w:shd w:val="clear" w:color="auto" w:fill="FFFFFF"/>
        </w:rPr>
        <w:t>Jednostki organizacyjne, sekcje, członkowie i ćwiczący w organizacjach kultury fizycznej</w:t>
      </w:r>
    </w:p>
    <w:tbl>
      <w:tblPr>
        <w:tblW w:w="82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372"/>
        <w:gridCol w:w="1420"/>
        <w:gridCol w:w="1415"/>
        <w:gridCol w:w="6"/>
        <w:gridCol w:w="1421"/>
        <w:gridCol w:w="1421"/>
      </w:tblGrid>
      <w:tr w:rsidR="00CA0954" w:rsidRPr="003B3B2A" w14:paraId="138AA5D1" w14:textId="77777777" w:rsidTr="00B0421F">
        <w:trPr>
          <w:trHeight w:val="351"/>
        </w:trPr>
        <w:tc>
          <w:tcPr>
            <w:tcW w:w="1180" w:type="dxa"/>
            <w:vMerge w:val="restart"/>
            <w:tcBorders>
              <w:top w:val="nil"/>
              <w:left w:val="nil"/>
              <w:bottom w:val="single" w:sz="12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14:paraId="2A0B223D" w14:textId="77777777" w:rsidR="00CA0954" w:rsidRPr="003B3B2A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B3B2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Organizacje kultury fizycznej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8" w:space="0" w:color="212492"/>
              <w:bottom w:val="single" w:sz="12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14:paraId="082D52E8" w14:textId="77777777" w:rsidR="00CA0954" w:rsidRPr="003B3B2A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B3B2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Jednostki organizacyjne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14:paraId="4DD25277" w14:textId="77777777" w:rsidR="00CA0954" w:rsidRPr="003B3B2A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B3B2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Członkowie</w:t>
            </w:r>
          </w:p>
        </w:tc>
        <w:tc>
          <w:tcPr>
            <w:tcW w:w="2848" w:type="dxa"/>
            <w:gridSpan w:val="3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14:paraId="18B28450" w14:textId="77777777" w:rsidR="00CA0954" w:rsidRPr="003B3B2A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B3B2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Ćwiczący</w:t>
            </w:r>
          </w:p>
        </w:tc>
      </w:tr>
      <w:tr w:rsidR="00CA0954" w:rsidRPr="003B3B2A" w14:paraId="1820BE92" w14:textId="77777777" w:rsidTr="00B0421F">
        <w:trPr>
          <w:trHeight w:val="571"/>
        </w:trPr>
        <w:tc>
          <w:tcPr>
            <w:tcW w:w="1180" w:type="dxa"/>
            <w:vMerge/>
            <w:tcBorders>
              <w:top w:val="nil"/>
              <w:left w:val="nil"/>
              <w:bottom w:val="single" w:sz="12" w:space="0" w:color="212492"/>
              <w:right w:val="single" w:sz="8" w:space="0" w:color="212492"/>
            </w:tcBorders>
            <w:vAlign w:val="center"/>
            <w:hideMark/>
          </w:tcPr>
          <w:p w14:paraId="4907F19B" w14:textId="77777777" w:rsidR="00CA0954" w:rsidRPr="003B3B2A" w:rsidRDefault="00CA0954" w:rsidP="00B0421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8" w:space="0" w:color="212492"/>
              <w:bottom w:val="single" w:sz="12" w:space="0" w:color="212492"/>
              <w:right w:val="single" w:sz="8" w:space="0" w:color="212492"/>
            </w:tcBorders>
            <w:vAlign w:val="center"/>
            <w:hideMark/>
          </w:tcPr>
          <w:p w14:paraId="50CCA75E" w14:textId="77777777" w:rsidR="00CA0954" w:rsidRPr="003B3B2A" w:rsidRDefault="00CA0954" w:rsidP="00B0421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14:paraId="563D95BE" w14:textId="77777777" w:rsidR="00CA0954" w:rsidRPr="003B3B2A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B3B2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12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14:paraId="13A676A3" w14:textId="77777777" w:rsidR="00CA0954" w:rsidRPr="003B3B2A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B3B2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 tym kobiety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14:paraId="7422122B" w14:textId="77777777" w:rsidR="00CA0954" w:rsidRPr="003B3B2A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B3B2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14:paraId="5A1FFC59" w14:textId="77777777" w:rsidR="00CA0954" w:rsidRPr="003B3B2A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B3B2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 tym kobiety</w:t>
            </w:r>
          </w:p>
        </w:tc>
      </w:tr>
      <w:tr w:rsidR="00CA0954" w:rsidRPr="00B0421F" w14:paraId="60ED3872" w14:textId="77777777" w:rsidTr="00B0421F">
        <w:trPr>
          <w:trHeight w:val="519"/>
        </w:trPr>
        <w:tc>
          <w:tcPr>
            <w:tcW w:w="1180" w:type="dxa"/>
            <w:tcBorders>
              <w:top w:val="nil"/>
              <w:left w:val="nil"/>
              <w:bottom w:val="single" w:sz="12" w:space="0" w:color="2E74B5" w:themeColor="accent1" w:themeShade="BF"/>
              <w:right w:val="single" w:sz="8" w:space="0" w:color="212492"/>
            </w:tcBorders>
            <w:shd w:val="clear" w:color="auto" w:fill="auto"/>
            <w:vAlign w:val="center"/>
          </w:tcPr>
          <w:p w14:paraId="3B3BB185" w14:textId="77777777" w:rsidR="00CA0954" w:rsidRPr="00B0421F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B0421F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2E74B5" w:themeColor="accent1" w:themeShade="BF"/>
              <w:right w:val="single" w:sz="8" w:space="0" w:color="212492"/>
            </w:tcBorders>
            <w:shd w:val="clear" w:color="auto" w:fill="auto"/>
            <w:vAlign w:val="center"/>
          </w:tcPr>
          <w:p w14:paraId="7C1603EB" w14:textId="77777777" w:rsidR="00CA0954" w:rsidRPr="00B0421F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0421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2346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2E74B5" w:themeColor="accent1" w:themeShade="BF"/>
              <w:right w:val="single" w:sz="8" w:space="0" w:color="212492"/>
            </w:tcBorders>
            <w:shd w:val="clear" w:color="auto" w:fill="auto"/>
            <w:vAlign w:val="center"/>
          </w:tcPr>
          <w:p w14:paraId="73A14EF2" w14:textId="77777777" w:rsidR="00CA0954" w:rsidRPr="00B0421F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0421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185867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12" w:space="0" w:color="2E74B5" w:themeColor="accent1" w:themeShade="BF"/>
              <w:right w:val="single" w:sz="8" w:space="0" w:color="212492"/>
            </w:tcBorders>
            <w:shd w:val="clear" w:color="auto" w:fill="auto"/>
            <w:vAlign w:val="center"/>
          </w:tcPr>
          <w:p w14:paraId="0E5E8E6E" w14:textId="77777777" w:rsidR="00CA0954" w:rsidRPr="00B0421F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0421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48490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2E74B5" w:themeColor="accent1" w:themeShade="BF"/>
              <w:right w:val="single" w:sz="8" w:space="0" w:color="212492"/>
            </w:tcBorders>
            <w:shd w:val="clear" w:color="auto" w:fill="auto"/>
            <w:vAlign w:val="center"/>
          </w:tcPr>
          <w:p w14:paraId="5C8AD6D2" w14:textId="77777777" w:rsidR="00CA0954" w:rsidRPr="00B0421F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0421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180744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2E74B5" w:themeColor="accent1" w:themeShade="BF"/>
              <w:right w:val="nil"/>
            </w:tcBorders>
            <w:shd w:val="clear" w:color="auto" w:fill="auto"/>
            <w:vAlign w:val="center"/>
          </w:tcPr>
          <w:p w14:paraId="55600D5B" w14:textId="77777777" w:rsidR="00CA0954" w:rsidRPr="00B0421F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0421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65235</w:t>
            </w:r>
          </w:p>
        </w:tc>
      </w:tr>
      <w:tr w:rsidR="00CA0954" w:rsidRPr="00B0421F" w14:paraId="48B52B24" w14:textId="77777777" w:rsidTr="004B5536">
        <w:trPr>
          <w:trHeight w:val="467"/>
        </w:trPr>
        <w:tc>
          <w:tcPr>
            <w:tcW w:w="1180" w:type="dxa"/>
            <w:vMerge w:val="restart"/>
            <w:tcBorders>
              <w:top w:val="single" w:sz="12" w:space="0" w:color="2E74B5" w:themeColor="accent1" w:themeShade="BF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14:paraId="079B45D5" w14:textId="77777777" w:rsidR="00CA0954" w:rsidRPr="00B0421F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B0421F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Akademicki Związek Sportowy</w:t>
            </w:r>
          </w:p>
        </w:tc>
        <w:tc>
          <w:tcPr>
            <w:tcW w:w="1372" w:type="dxa"/>
            <w:vMerge w:val="restart"/>
            <w:tcBorders>
              <w:top w:val="single" w:sz="12" w:space="0" w:color="2E74B5" w:themeColor="accent1" w:themeShade="BF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14:paraId="6AD2BCBD" w14:textId="77777777" w:rsidR="00CA0954" w:rsidRPr="00B0421F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0421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1420" w:type="dxa"/>
            <w:vMerge w:val="restart"/>
            <w:tcBorders>
              <w:top w:val="single" w:sz="12" w:space="0" w:color="2E74B5" w:themeColor="accent1" w:themeShade="BF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14:paraId="319F9FFD" w14:textId="77777777" w:rsidR="00CA0954" w:rsidRPr="00B0421F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0421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33965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12" w:space="0" w:color="2E74B5" w:themeColor="accent1" w:themeShade="BF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14:paraId="53C9742B" w14:textId="77777777" w:rsidR="00CA0954" w:rsidRPr="00B0421F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0421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16111</w:t>
            </w:r>
          </w:p>
        </w:tc>
        <w:tc>
          <w:tcPr>
            <w:tcW w:w="1421" w:type="dxa"/>
            <w:vMerge w:val="restart"/>
            <w:tcBorders>
              <w:top w:val="single" w:sz="12" w:space="0" w:color="2E74B5" w:themeColor="accent1" w:themeShade="BF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14:paraId="727A657E" w14:textId="77777777" w:rsidR="00CA0954" w:rsidRPr="00B0421F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0421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30985</w:t>
            </w:r>
          </w:p>
        </w:tc>
        <w:tc>
          <w:tcPr>
            <w:tcW w:w="1421" w:type="dxa"/>
            <w:vMerge w:val="restart"/>
            <w:tcBorders>
              <w:top w:val="single" w:sz="12" w:space="0" w:color="2E74B5" w:themeColor="accent1" w:themeShade="BF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14:paraId="5C9484BD" w14:textId="77777777" w:rsidR="00CA0954" w:rsidRPr="00B0421F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0421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12713</w:t>
            </w:r>
          </w:p>
        </w:tc>
      </w:tr>
      <w:tr w:rsidR="00CA0954" w:rsidRPr="00B0421F" w14:paraId="18854310" w14:textId="77777777" w:rsidTr="004B5536">
        <w:trPr>
          <w:trHeight w:val="468"/>
        </w:trPr>
        <w:tc>
          <w:tcPr>
            <w:tcW w:w="1180" w:type="dxa"/>
            <w:vMerge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vAlign w:val="center"/>
            <w:hideMark/>
          </w:tcPr>
          <w:p w14:paraId="6944CDCE" w14:textId="77777777" w:rsidR="00CA0954" w:rsidRPr="00B0421F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  <w:hideMark/>
          </w:tcPr>
          <w:p w14:paraId="0F984DDA" w14:textId="77777777" w:rsidR="00CA0954" w:rsidRPr="00B0421F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  <w:hideMark/>
          </w:tcPr>
          <w:p w14:paraId="60EF5AE4" w14:textId="77777777" w:rsidR="00CA0954" w:rsidRPr="00B0421F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  <w:hideMark/>
          </w:tcPr>
          <w:p w14:paraId="597ECD98" w14:textId="77777777" w:rsidR="00CA0954" w:rsidRPr="00B0421F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  <w:hideMark/>
          </w:tcPr>
          <w:p w14:paraId="70A22837" w14:textId="77777777" w:rsidR="00CA0954" w:rsidRPr="00B0421F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vAlign w:val="center"/>
            <w:hideMark/>
          </w:tcPr>
          <w:p w14:paraId="17EDCAAE" w14:textId="77777777" w:rsidR="00CA0954" w:rsidRPr="00B0421F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A0954" w:rsidRPr="00B0421F" w14:paraId="31F898C7" w14:textId="77777777" w:rsidTr="004B5536">
        <w:trPr>
          <w:trHeight w:val="468"/>
        </w:trPr>
        <w:tc>
          <w:tcPr>
            <w:tcW w:w="1180" w:type="dxa"/>
            <w:vMerge w:val="restart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14:paraId="4B6A8C16" w14:textId="77777777" w:rsidR="00CA0954" w:rsidRPr="00B0421F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B0421F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Ludowe Zespoły Sportowe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14:paraId="518D0893" w14:textId="77777777" w:rsidR="00CA0954" w:rsidRPr="00B0421F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0421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1608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14:paraId="2A8ECE6A" w14:textId="77777777" w:rsidR="00CA0954" w:rsidRPr="00B0421F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0421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50711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14:paraId="43917846" w14:textId="77777777" w:rsidR="00CA0954" w:rsidRPr="00B0421F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0421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10022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14:paraId="3EBFDF02" w14:textId="77777777" w:rsidR="00CA0954" w:rsidRPr="00B0421F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0421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44515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14:paraId="61DB37CD" w14:textId="77777777" w:rsidR="00CA0954" w:rsidRPr="00B0421F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0421F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9132</w:t>
            </w:r>
          </w:p>
        </w:tc>
      </w:tr>
      <w:tr w:rsidR="00CA0954" w:rsidRPr="003B3B2A" w14:paraId="7E9A1E67" w14:textId="77777777" w:rsidTr="004B5536">
        <w:trPr>
          <w:trHeight w:val="468"/>
        </w:trPr>
        <w:tc>
          <w:tcPr>
            <w:tcW w:w="1180" w:type="dxa"/>
            <w:vMerge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vAlign w:val="center"/>
            <w:hideMark/>
          </w:tcPr>
          <w:p w14:paraId="2909D3F3" w14:textId="77777777" w:rsidR="00CA0954" w:rsidRPr="003B3B2A" w:rsidRDefault="00CA0954" w:rsidP="00B0421F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  <w:hideMark/>
          </w:tcPr>
          <w:p w14:paraId="7914D9F4" w14:textId="77777777" w:rsidR="00CA0954" w:rsidRPr="003B3B2A" w:rsidRDefault="00CA0954" w:rsidP="00B0421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  <w:hideMark/>
          </w:tcPr>
          <w:p w14:paraId="2FFA6D30" w14:textId="77777777" w:rsidR="00CA0954" w:rsidRPr="003B3B2A" w:rsidRDefault="00CA0954" w:rsidP="00B0421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  <w:hideMark/>
          </w:tcPr>
          <w:p w14:paraId="353B948B" w14:textId="77777777" w:rsidR="00CA0954" w:rsidRPr="003B3B2A" w:rsidRDefault="00CA0954" w:rsidP="00B0421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vAlign w:val="center"/>
            <w:hideMark/>
          </w:tcPr>
          <w:p w14:paraId="49BE649F" w14:textId="77777777" w:rsidR="00CA0954" w:rsidRPr="003B3B2A" w:rsidRDefault="00CA0954" w:rsidP="00B0421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vAlign w:val="center"/>
            <w:hideMark/>
          </w:tcPr>
          <w:p w14:paraId="28271695" w14:textId="77777777" w:rsidR="00CA0954" w:rsidRPr="003B3B2A" w:rsidRDefault="00CA0954" w:rsidP="00B0421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A0954" w:rsidRPr="003B3B2A" w14:paraId="411C07D0" w14:textId="77777777" w:rsidTr="004B5536">
        <w:trPr>
          <w:trHeight w:val="467"/>
        </w:trPr>
        <w:tc>
          <w:tcPr>
            <w:tcW w:w="1180" w:type="dxa"/>
            <w:vMerge w:val="restart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14:paraId="798D522C" w14:textId="77777777" w:rsidR="00CA0954" w:rsidRPr="003B3B2A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3B2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Polski Związek Sportu Niepełnosprawnych "Start"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14:paraId="3D964C75" w14:textId="77777777" w:rsidR="00CA0954" w:rsidRPr="003B3B2A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B3B2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14:paraId="4A0002B0" w14:textId="77777777" w:rsidR="00CA0954" w:rsidRPr="003B3B2A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B3B2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1821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14:paraId="7D740023" w14:textId="77777777" w:rsidR="00CA0954" w:rsidRPr="003B3B2A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B3B2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8" w:space="0" w:color="212492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14:paraId="663635A0" w14:textId="77777777" w:rsidR="00CA0954" w:rsidRPr="003B3B2A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B3B2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1147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14:paraId="48B41F27" w14:textId="77777777" w:rsidR="00CA0954" w:rsidRPr="003B3B2A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B3B2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338</w:t>
            </w:r>
          </w:p>
        </w:tc>
      </w:tr>
      <w:tr w:rsidR="00CA0954" w:rsidRPr="003B3B2A" w14:paraId="3D357045" w14:textId="77777777" w:rsidTr="004B5536">
        <w:trPr>
          <w:trHeight w:val="468"/>
        </w:trPr>
        <w:tc>
          <w:tcPr>
            <w:tcW w:w="1180" w:type="dxa"/>
            <w:vMerge/>
            <w:tcBorders>
              <w:top w:val="nil"/>
              <w:left w:val="nil"/>
              <w:bottom w:val="single" w:sz="12" w:space="0" w:color="2E74B5" w:themeColor="accent1" w:themeShade="BF"/>
              <w:right w:val="single" w:sz="8" w:space="0" w:color="212492"/>
            </w:tcBorders>
            <w:vAlign w:val="center"/>
            <w:hideMark/>
          </w:tcPr>
          <w:p w14:paraId="6B649EEF" w14:textId="77777777" w:rsidR="00CA0954" w:rsidRPr="003B3B2A" w:rsidRDefault="00CA0954" w:rsidP="00B0421F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8" w:space="0" w:color="212492"/>
              <w:bottom w:val="single" w:sz="12" w:space="0" w:color="2E74B5" w:themeColor="accent1" w:themeShade="BF"/>
              <w:right w:val="single" w:sz="8" w:space="0" w:color="212492"/>
            </w:tcBorders>
            <w:vAlign w:val="center"/>
            <w:hideMark/>
          </w:tcPr>
          <w:p w14:paraId="0E323801" w14:textId="77777777" w:rsidR="00CA0954" w:rsidRPr="003B3B2A" w:rsidRDefault="00CA0954" w:rsidP="00B0421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212492"/>
              <w:bottom w:val="single" w:sz="12" w:space="0" w:color="2E74B5" w:themeColor="accent1" w:themeShade="BF"/>
              <w:right w:val="single" w:sz="8" w:space="0" w:color="212492"/>
            </w:tcBorders>
            <w:vAlign w:val="center"/>
            <w:hideMark/>
          </w:tcPr>
          <w:p w14:paraId="379B3789" w14:textId="77777777" w:rsidR="00CA0954" w:rsidRPr="003B3B2A" w:rsidRDefault="00CA0954" w:rsidP="00B0421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8" w:space="0" w:color="212492"/>
              <w:bottom w:val="single" w:sz="12" w:space="0" w:color="2E74B5" w:themeColor="accent1" w:themeShade="BF"/>
              <w:right w:val="single" w:sz="8" w:space="0" w:color="212492"/>
            </w:tcBorders>
            <w:vAlign w:val="center"/>
            <w:hideMark/>
          </w:tcPr>
          <w:p w14:paraId="58AE4CF3" w14:textId="77777777" w:rsidR="00CA0954" w:rsidRPr="003B3B2A" w:rsidRDefault="00CA0954" w:rsidP="00B0421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212492"/>
              <w:bottom w:val="single" w:sz="12" w:space="0" w:color="2E74B5" w:themeColor="accent1" w:themeShade="BF"/>
              <w:right w:val="single" w:sz="8" w:space="0" w:color="212492"/>
            </w:tcBorders>
            <w:vAlign w:val="center"/>
            <w:hideMark/>
          </w:tcPr>
          <w:p w14:paraId="31CAD960" w14:textId="77777777" w:rsidR="00CA0954" w:rsidRPr="003B3B2A" w:rsidRDefault="00CA0954" w:rsidP="00B0421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212492"/>
              <w:bottom w:val="single" w:sz="12" w:space="0" w:color="2E74B5" w:themeColor="accent1" w:themeShade="BF"/>
              <w:right w:val="nil"/>
            </w:tcBorders>
            <w:vAlign w:val="center"/>
            <w:hideMark/>
          </w:tcPr>
          <w:p w14:paraId="4E01FC36" w14:textId="77777777" w:rsidR="00CA0954" w:rsidRPr="003B3B2A" w:rsidRDefault="00CA0954" w:rsidP="00B0421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A0954" w:rsidRPr="003B3B2A" w14:paraId="2C0CFA4D" w14:textId="77777777" w:rsidTr="004B5536">
        <w:trPr>
          <w:trHeight w:val="468"/>
        </w:trPr>
        <w:tc>
          <w:tcPr>
            <w:tcW w:w="1180" w:type="dxa"/>
            <w:vMerge w:val="restart"/>
            <w:tcBorders>
              <w:top w:val="single" w:sz="12" w:space="0" w:color="2E74B5" w:themeColor="accent1" w:themeShade="BF"/>
              <w:left w:val="nil"/>
              <w:right w:val="single" w:sz="12" w:space="0" w:color="2E74B5" w:themeColor="accent1" w:themeShade="BF"/>
            </w:tcBorders>
            <w:shd w:val="clear" w:color="auto" w:fill="auto"/>
            <w:vAlign w:val="center"/>
            <w:hideMark/>
          </w:tcPr>
          <w:p w14:paraId="4620D9F0" w14:textId="77777777" w:rsidR="00CA0954" w:rsidRPr="00B0421F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B0421F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Towarzystwo Krzewienia Kultury Fizycznej</w:t>
            </w:r>
          </w:p>
        </w:tc>
        <w:tc>
          <w:tcPr>
            <w:tcW w:w="1372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vAlign w:val="center"/>
            <w:hideMark/>
          </w:tcPr>
          <w:p w14:paraId="7555A1FA" w14:textId="77777777" w:rsidR="00CA0954" w:rsidRPr="003B3B2A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B3B2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573</w:t>
            </w:r>
          </w:p>
        </w:tc>
        <w:tc>
          <w:tcPr>
            <w:tcW w:w="1420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vAlign w:val="center"/>
            <w:hideMark/>
          </w:tcPr>
          <w:p w14:paraId="7133F332" w14:textId="77777777" w:rsidR="00CA0954" w:rsidRPr="003B3B2A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B3B2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99370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vAlign w:val="center"/>
            <w:hideMark/>
          </w:tcPr>
          <w:p w14:paraId="7105BD45" w14:textId="77777777" w:rsidR="00CA0954" w:rsidRPr="003B3B2A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B3B2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22357</w:t>
            </w:r>
          </w:p>
        </w:tc>
        <w:tc>
          <w:tcPr>
            <w:tcW w:w="1421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vAlign w:val="center"/>
            <w:hideMark/>
          </w:tcPr>
          <w:p w14:paraId="043B06DE" w14:textId="77777777" w:rsidR="00CA0954" w:rsidRPr="003B3B2A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B3B2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104097</w:t>
            </w:r>
          </w:p>
        </w:tc>
        <w:tc>
          <w:tcPr>
            <w:tcW w:w="1421" w:type="dxa"/>
            <w:vMerge w:val="restart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nil"/>
            </w:tcBorders>
            <w:shd w:val="clear" w:color="auto" w:fill="auto"/>
            <w:vAlign w:val="center"/>
            <w:hideMark/>
          </w:tcPr>
          <w:p w14:paraId="67831D6E" w14:textId="77777777" w:rsidR="00CA0954" w:rsidRPr="003B3B2A" w:rsidRDefault="00CA0954" w:rsidP="00B0421F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3B3B2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43052</w:t>
            </w:r>
          </w:p>
        </w:tc>
      </w:tr>
      <w:tr w:rsidR="00CA0954" w:rsidRPr="003B3B2A" w14:paraId="46B89E00" w14:textId="77777777" w:rsidTr="004B5536">
        <w:trPr>
          <w:trHeight w:val="468"/>
        </w:trPr>
        <w:tc>
          <w:tcPr>
            <w:tcW w:w="1180" w:type="dxa"/>
            <w:vMerge/>
            <w:tcBorders>
              <w:top w:val="nil"/>
              <w:left w:val="nil"/>
              <w:right w:val="single" w:sz="12" w:space="0" w:color="2E74B5" w:themeColor="accent1" w:themeShade="BF"/>
            </w:tcBorders>
            <w:vAlign w:val="center"/>
            <w:hideMark/>
          </w:tcPr>
          <w:p w14:paraId="08EB20B0" w14:textId="77777777" w:rsidR="00CA0954" w:rsidRPr="00B0421F" w:rsidRDefault="00CA0954" w:rsidP="00B0421F">
            <w:pPr>
              <w:spacing w:before="0"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14:paraId="3F51A2B4" w14:textId="77777777" w:rsidR="00CA0954" w:rsidRPr="003B3B2A" w:rsidRDefault="00CA0954" w:rsidP="00B0421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14:paraId="39DBB805" w14:textId="77777777" w:rsidR="00CA0954" w:rsidRPr="003B3B2A" w:rsidRDefault="00CA0954" w:rsidP="00B0421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14:paraId="3D2F6F7C" w14:textId="77777777" w:rsidR="00CA0954" w:rsidRPr="003B3B2A" w:rsidRDefault="00CA0954" w:rsidP="00B0421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14:paraId="5FD4AF74" w14:textId="77777777" w:rsidR="00CA0954" w:rsidRPr="003B3B2A" w:rsidRDefault="00CA0954" w:rsidP="00B0421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12" w:space="0" w:color="2E74B5" w:themeColor="accent1" w:themeShade="BF"/>
              <w:right w:val="nil"/>
            </w:tcBorders>
            <w:vAlign w:val="center"/>
            <w:hideMark/>
          </w:tcPr>
          <w:p w14:paraId="7D5BD2F3" w14:textId="77777777" w:rsidR="00CA0954" w:rsidRPr="003B3B2A" w:rsidRDefault="00CA0954" w:rsidP="00B0421F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3924B3B" w14:textId="77777777" w:rsidR="00CA0954" w:rsidRDefault="00CA0954" w:rsidP="00CA0954">
      <w:pPr>
        <w:jc w:val="right"/>
        <w:rPr>
          <w:b/>
          <w:spacing w:val="-2"/>
          <w:sz w:val="18"/>
          <w:shd w:val="clear" w:color="auto" w:fill="FFFFFF"/>
        </w:rPr>
      </w:pPr>
    </w:p>
    <w:p w14:paraId="0E5CD920" w14:textId="77777777" w:rsidR="00CA0954" w:rsidRDefault="00CA0954" w:rsidP="00CA0954">
      <w:pPr>
        <w:rPr>
          <w:sz w:val="18"/>
        </w:rPr>
      </w:pPr>
    </w:p>
    <w:p w14:paraId="28257AAD" w14:textId="77777777" w:rsidR="00CA0954" w:rsidRDefault="00CA0954" w:rsidP="00CA0954">
      <w:pPr>
        <w:rPr>
          <w:sz w:val="18"/>
        </w:rPr>
      </w:pPr>
    </w:p>
    <w:p w14:paraId="40E00ECC" w14:textId="77777777" w:rsidR="00CA0954" w:rsidRDefault="00CA0954" w:rsidP="00CA0954">
      <w:pPr>
        <w:rPr>
          <w:sz w:val="18"/>
        </w:rPr>
      </w:pPr>
    </w:p>
    <w:p w14:paraId="6EA47AAE" w14:textId="77777777" w:rsidR="00CA0954" w:rsidRDefault="00CA0954" w:rsidP="00CA0954">
      <w:pPr>
        <w:rPr>
          <w:sz w:val="18"/>
        </w:rPr>
      </w:pPr>
    </w:p>
    <w:p w14:paraId="3703457F" w14:textId="77777777" w:rsidR="00CA0954" w:rsidRDefault="00CA0954" w:rsidP="00CA0954">
      <w:pPr>
        <w:rPr>
          <w:sz w:val="18"/>
        </w:rPr>
      </w:pPr>
    </w:p>
    <w:p w14:paraId="138DDC5A" w14:textId="77777777" w:rsidR="00CA0954" w:rsidRDefault="00CA0954" w:rsidP="00CA0954">
      <w:pPr>
        <w:rPr>
          <w:sz w:val="18"/>
        </w:rPr>
      </w:pPr>
    </w:p>
    <w:p w14:paraId="444B198C" w14:textId="77777777" w:rsidR="00CA0954" w:rsidRDefault="00CA0954" w:rsidP="00CA0954">
      <w:pPr>
        <w:rPr>
          <w:sz w:val="18"/>
        </w:rPr>
      </w:pPr>
    </w:p>
    <w:p w14:paraId="34C57AC6" w14:textId="77777777" w:rsidR="0022265F" w:rsidRDefault="0022265F" w:rsidP="00CA0954">
      <w:pPr>
        <w:rPr>
          <w:sz w:val="18"/>
        </w:rPr>
      </w:pPr>
    </w:p>
    <w:p w14:paraId="35CDAD40" w14:textId="77777777" w:rsidR="00CA0954" w:rsidRDefault="00CA0954" w:rsidP="00CA0954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1"/>
        <w:gridCol w:w="3826"/>
      </w:tblGrid>
      <w:tr w:rsidR="00CA0954" w:rsidRPr="00700453" w14:paraId="3DA2A53B" w14:textId="77777777" w:rsidTr="00B0421F">
        <w:trPr>
          <w:trHeight w:val="1912"/>
        </w:trPr>
        <w:tc>
          <w:tcPr>
            <w:tcW w:w="4379" w:type="dxa"/>
          </w:tcPr>
          <w:p w14:paraId="1B024711" w14:textId="77777777" w:rsidR="00CA0954" w:rsidRPr="008F3638" w:rsidRDefault="00CA0954" w:rsidP="00B0421F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lastRenderedPageBreak/>
              <w:t>Opracowanie merytoryczne:</w:t>
            </w:r>
          </w:p>
          <w:p w14:paraId="416D119F" w14:textId="77777777" w:rsidR="00CA0954" w:rsidRPr="008F3638" w:rsidRDefault="00CA0954" w:rsidP="00B0421F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>
              <w:rPr>
                <w:rFonts w:cs="Arial"/>
                <w:b/>
                <w:color w:val="000000" w:themeColor="text1"/>
                <w:sz w:val="20"/>
              </w:rPr>
              <w:t xml:space="preserve">Badań Społecznych </w:t>
            </w:r>
          </w:p>
          <w:p w14:paraId="1049CE51" w14:textId="77777777" w:rsidR="00CA0954" w:rsidRDefault="00CA0954" w:rsidP="00B0421F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Wydział Statystyki Turystyki, Sportu, Kultury i Dziedzictwa Narodowego</w:t>
            </w:r>
          </w:p>
          <w:p w14:paraId="7A7CACD3" w14:textId="77777777" w:rsidR="00CA0954" w:rsidRDefault="00CA0954" w:rsidP="00B0421F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Urząd Statystyczny w Rzeszowie</w:t>
            </w:r>
          </w:p>
          <w:p w14:paraId="1BFF0BB9" w14:textId="77777777" w:rsidR="00CA0954" w:rsidRPr="008F3638" w:rsidRDefault="00CA0954" w:rsidP="00B0421F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Ośrodek Statystyki Sportu i Turystyki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449 40 02</w:t>
            </w:r>
          </w:p>
          <w:p w14:paraId="22716F6E" w14:textId="6BD1B721" w:rsidR="00CA0954" w:rsidRPr="008F3638" w:rsidRDefault="00CA0954" w:rsidP="00B0421F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 w:rsidR="00A30FEE">
              <w:rPr>
                <w:rFonts w:ascii="Fira Sans" w:hAnsi="Fira Sans" w:cs="Arial"/>
                <w:b/>
                <w:sz w:val="20"/>
                <w:szCs w:val="20"/>
                <w:lang w:val="en-US"/>
              </w:rPr>
              <w:t>p.</w:t>
            </w:r>
            <w:r>
              <w:rPr>
                <w:rFonts w:ascii="Fira Sans" w:hAnsi="Fira Sans" w:cs="Arial"/>
                <w:b/>
                <w:sz w:val="20"/>
                <w:szCs w:val="20"/>
                <w:lang w:val="en-US"/>
              </w:rPr>
              <w:t>ludorf@stat.gov.pl</w:t>
            </w:r>
          </w:p>
        </w:tc>
        <w:tc>
          <w:tcPr>
            <w:tcW w:w="3942" w:type="dxa"/>
          </w:tcPr>
          <w:p w14:paraId="74CCA3C7" w14:textId="77777777" w:rsidR="00CA0954" w:rsidRPr="008F3638" w:rsidRDefault="00CA0954" w:rsidP="00B0421F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69B3FACF" w14:textId="77777777" w:rsidR="00CA0954" w:rsidRPr="008F3638" w:rsidRDefault="00CA0954" w:rsidP="00B0421F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14:paraId="38A9B83B" w14:textId="77777777" w:rsidR="00CA0954" w:rsidRPr="008F3638" w:rsidRDefault="00CA0954" w:rsidP="00B0421F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3475, 22 608 3009</w:t>
            </w:r>
          </w:p>
          <w:p w14:paraId="620D91E3" w14:textId="77777777" w:rsidR="00CA0954" w:rsidRPr="008F3638" w:rsidRDefault="00CA0954" w:rsidP="00B0421F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4" w:history="1">
              <w:r w:rsidRPr="005B3677">
                <w:rPr>
                  <w:rStyle w:val="Hipercze"/>
                  <w:rFonts w:ascii="Fira Sans" w:hAnsi="Fira Sans" w:cs="Arial"/>
                  <w:b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14:paraId="23A99443" w14:textId="77777777" w:rsidR="00CA0954" w:rsidRPr="00B0421F" w:rsidRDefault="00CA0954" w:rsidP="00CA0954">
      <w:pPr>
        <w:rPr>
          <w:sz w:val="20"/>
          <w:lang w:val="en-US"/>
        </w:rPr>
      </w:pPr>
    </w:p>
    <w:p w14:paraId="3BA9A149" w14:textId="77777777" w:rsidR="00CA0954" w:rsidRPr="00B0421F" w:rsidRDefault="00CA0954" w:rsidP="00CA0954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CA0954" w14:paraId="1BBFDDA0" w14:textId="77777777" w:rsidTr="00B0421F">
        <w:trPr>
          <w:trHeight w:val="610"/>
        </w:trPr>
        <w:tc>
          <w:tcPr>
            <w:tcW w:w="2721" w:type="pct"/>
            <w:vMerge w:val="restart"/>
            <w:vAlign w:val="center"/>
          </w:tcPr>
          <w:p w14:paraId="759D4A47" w14:textId="77777777" w:rsidR="00CA0954" w:rsidRPr="00C91687" w:rsidRDefault="00CA0954" w:rsidP="00B0421F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2E37810D" w14:textId="77777777" w:rsidR="00CA0954" w:rsidRPr="00C91687" w:rsidRDefault="00CA0954" w:rsidP="00B0421F">
            <w:pPr>
              <w:rPr>
                <w:sz w:val="20"/>
              </w:rPr>
            </w:pPr>
            <w:r w:rsidRPr="00C91687">
              <w:rPr>
                <w:b/>
                <w:sz w:val="20"/>
              </w:rPr>
              <w:t xml:space="preserve">tel.: </w:t>
            </w:r>
            <w:r>
              <w:rPr>
                <w:sz w:val="20"/>
              </w:rPr>
              <w:t>22 608 34 91, 22</w:t>
            </w:r>
            <w:r w:rsidRPr="00C91687">
              <w:rPr>
                <w:sz w:val="20"/>
              </w:rPr>
              <w:t xml:space="preserve"> 608 38 04 </w:t>
            </w:r>
          </w:p>
          <w:p w14:paraId="225EA1EC" w14:textId="77777777" w:rsidR="00CA0954" w:rsidRPr="00B0421F" w:rsidRDefault="00CA0954" w:rsidP="00B0421F">
            <w:pPr>
              <w:rPr>
                <w:sz w:val="20"/>
                <w:lang w:val="en-US"/>
              </w:rPr>
            </w:pPr>
            <w:r w:rsidRPr="00B0421F">
              <w:rPr>
                <w:b/>
                <w:sz w:val="20"/>
                <w:lang w:val="en-US"/>
              </w:rPr>
              <w:t>faks:</w:t>
            </w:r>
            <w:r w:rsidRPr="00B0421F">
              <w:rPr>
                <w:sz w:val="20"/>
                <w:lang w:val="en-US"/>
              </w:rPr>
              <w:t xml:space="preserve"> 22 608 38 86 </w:t>
            </w:r>
          </w:p>
          <w:p w14:paraId="2376982D" w14:textId="77777777" w:rsidR="00CA0954" w:rsidRPr="00B0421F" w:rsidRDefault="00CA0954" w:rsidP="00B0421F">
            <w:pPr>
              <w:rPr>
                <w:sz w:val="18"/>
                <w:lang w:val="en-US"/>
              </w:rPr>
            </w:pPr>
            <w:r w:rsidRPr="00B0421F">
              <w:rPr>
                <w:b/>
                <w:sz w:val="20"/>
                <w:lang w:val="en-US"/>
              </w:rPr>
              <w:t>e-mail:</w:t>
            </w:r>
            <w:r w:rsidRPr="00B0421F">
              <w:rPr>
                <w:sz w:val="20"/>
                <w:lang w:val="en-US"/>
              </w:rPr>
              <w:t xml:space="preserve"> </w:t>
            </w:r>
            <w:hyperlink r:id="rId15" w:history="1">
              <w:r w:rsidRPr="00B0421F">
                <w:rPr>
                  <w:rStyle w:val="Hipercze"/>
                  <w:rFonts w:cstheme="minorBidi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17B8CE17" w14:textId="77777777" w:rsidR="00CA0954" w:rsidRPr="00B0421F" w:rsidRDefault="00CA0954" w:rsidP="00B0421F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84352" behindDoc="0" locked="0" layoutInCell="1" allowOverlap="1" wp14:anchorId="47018109" wp14:editId="1FC01056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27C716BB" w14:textId="77777777" w:rsidR="00CA0954" w:rsidRDefault="00CA0954" w:rsidP="00B0421F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CA0954" w14:paraId="18B1589C" w14:textId="77777777" w:rsidTr="00B0421F">
        <w:trPr>
          <w:trHeight w:val="436"/>
        </w:trPr>
        <w:tc>
          <w:tcPr>
            <w:tcW w:w="2721" w:type="pct"/>
            <w:vMerge/>
            <w:vAlign w:val="center"/>
          </w:tcPr>
          <w:p w14:paraId="2AA606DD" w14:textId="77777777" w:rsidR="00CA0954" w:rsidRDefault="00CA0954" w:rsidP="00B0421F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3E62078E" w14:textId="77777777" w:rsidR="00CA0954" w:rsidRDefault="00CA0954" w:rsidP="00B0421F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86400" behindDoc="0" locked="0" layoutInCell="1" allowOverlap="1" wp14:anchorId="263F7375" wp14:editId="6B3D1C87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51C8A010" w14:textId="77777777" w:rsidR="00CA0954" w:rsidRDefault="00CA0954" w:rsidP="00B0421F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CA0954" w14:paraId="27F0825B" w14:textId="77777777" w:rsidTr="00B0421F">
        <w:trPr>
          <w:trHeight w:val="436"/>
        </w:trPr>
        <w:tc>
          <w:tcPr>
            <w:tcW w:w="2721" w:type="pct"/>
            <w:vMerge/>
            <w:vAlign w:val="center"/>
          </w:tcPr>
          <w:p w14:paraId="66A1277F" w14:textId="77777777" w:rsidR="00CA0954" w:rsidRDefault="00CA0954" w:rsidP="00B0421F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4F751046" w14:textId="77777777" w:rsidR="00CA0954" w:rsidRDefault="00CA0954" w:rsidP="00B0421F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685376" behindDoc="0" locked="0" layoutInCell="1" allowOverlap="1" wp14:anchorId="227C5CC2" wp14:editId="17FF3FBE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58FE1ECD" w14:textId="77777777" w:rsidR="00CA0954" w:rsidRDefault="00CA0954" w:rsidP="00B0421F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14:paraId="50C59567" w14:textId="77777777" w:rsidR="00CA0954" w:rsidRPr="00001C5B" w:rsidRDefault="00CA0954" w:rsidP="00CA0954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363D1784" wp14:editId="60BC0555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88029" w14:textId="77777777" w:rsidR="00CA0954" w:rsidRDefault="00CA0954" w:rsidP="00CA0954">
                            <w:pPr>
                              <w:rPr>
                                <w:b/>
                              </w:rPr>
                            </w:pPr>
                          </w:p>
                          <w:p w14:paraId="74F95B37" w14:textId="77777777" w:rsidR="00CA0954" w:rsidRDefault="00CA0954" w:rsidP="00CA0954">
                            <w:pPr>
                              <w:rPr>
                                <w:b/>
                              </w:rPr>
                            </w:pPr>
                            <w:r w:rsidRPr="005520D8">
                              <w:rPr>
                                <w:b/>
                              </w:rPr>
                              <w:t>Powiązane</w:t>
                            </w:r>
                            <w:r>
                              <w:rPr>
                                <w:b/>
                              </w:rPr>
                              <w:t xml:space="preserve"> opracowania</w:t>
                            </w:r>
                          </w:p>
                          <w:p w14:paraId="1D2D4146" w14:textId="77777777" w:rsidR="00CA0954" w:rsidRPr="00673C26" w:rsidRDefault="00CA0954" w:rsidP="00CA0954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  <w:t xml:space="preserve">Kultura fizyczna w Polsce w 2016 r. </w:t>
                            </w:r>
                          </w:p>
                          <w:p w14:paraId="6C2DCA4E" w14:textId="77777777" w:rsidR="00CA0954" w:rsidRDefault="00CA0954" w:rsidP="00CA0954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33B71529" w14:textId="77777777" w:rsidR="00CA0954" w:rsidRPr="00505A92" w:rsidRDefault="00CA0954" w:rsidP="00CA0954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D1784" id="_x0000_s1029" type="#_x0000_t202" style="position:absolute;margin-left:1.5pt;margin-top:33.5pt;width:516.5pt;height:349.8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9+gPwIAAHQEAAAOAAAAZHJzL2Uyb0RvYy54bWysVFFv0zAQfkfiP1h+Z0m7ZqzR0mlsDCEN&#10;mDT4AVfHaazZvmC7Tcav52x3pYMHJMRL5POdv/vuu7tcXE5Gs510XqFt+Oyk5Exaga2ym4Z/+3r7&#10;5pwzH8C2oNHKhj9Jzy9Xr19djEMt59ijbqVjBGJ9PQ4N70MY6qLwopcG/AkO0pKzQ2cgkOk2Retg&#10;JHSji3lZnhUjunZwKKT3dHuTnXyV8LtOivCl67wMTDecuIX0dem7jt9idQH1xsHQK7GnAf/AwoCy&#10;lPQAdQMB2NapP6CMEg49duFEoCmw65SQqQaqZlb+Vs1DD4NMtZA4fjjI5P8frPi8u3dMtQ0/PeXM&#10;gqEe3aOWLMhHH3CUbB41GgdfU+jDQMFheocT9TrV64c7FI+eWbzuwW7klXM49hJa4jiLL4ujpxnH&#10;R5D1+AlbygXbgAlo6pyJApIkjNCpV0+H/sgpMEGXZ1W1rCpyCfItFovTclmlHFA/Px+cDx8kGhYP&#10;DXc0AAkednc+RDpQP4fEbB61am+V1smIQyevtWM7oHFZb3KJemuIa75bVmWZhoZw0ozG8IT6Aklb&#10;NjZ8Wc2rLNJfsmReLxCMCrQXWpmGn1PKnBTqqOx729IDqAMonc9ERtu91FHdrHOY1lPu7HMH19g+&#10;kfYO8xrQ2tKhR/eDs5FWoOH++xac5Ex/tNS/5WyxiDuTjEX1dk6GO/asjz1gBUE1PHCWj9ch7Vmk&#10;avGK+typ1IE4EJnJnjKNdpJwv4Zxd47tFPXrZ7H6CQAA//8DAFBLAwQUAAYACAAAACEAbsAxfN8A&#10;AAAJAQAADwAAAGRycy9kb3ducmV2LnhtbEyPQU/DMAyF70j8h8hIXBBL2UTCSt0JIU1wQx0TXLPG&#10;tGVNUjXZVv493glOtvWenr9XrCbXiyONsQse4W6WgSBfB9v5BmH7vr59ABGT8db0wRPCD0VYlZcX&#10;hcltOPmKjpvUCA7xMTcIbUpDLmWsW3ImzsJAnrWvMDqT+BwbaUdz4nDXy3mWKelM5/lDawZ6bqne&#10;bw4O4WWp79ev861+26tvZZc31cfwWSFeX01PjyASTenPDGd8RoeSmXbh4G0UPcKCmyQEpXme5Wyh&#10;eNshaKU0yLKQ/xuUvwAAAP//AwBQSwECLQAUAAYACAAAACEAtoM4kv4AAADhAQAAEwAAAAAAAAAA&#10;AAAAAAAAAAAAW0NvbnRlbnRfVHlwZXNdLnhtbFBLAQItABQABgAIAAAAIQA4/SH/1gAAAJQBAAAL&#10;AAAAAAAAAAAAAAAAAC8BAABfcmVscy8ucmVsc1BLAQItABQABgAIAAAAIQBY+9+gPwIAAHQEAAAO&#10;AAAAAAAAAAAAAAAAAC4CAABkcnMvZTJvRG9jLnhtbFBLAQItABQABgAIAAAAIQBuwDF83wAAAAkB&#10;AAAPAAAAAAAAAAAAAAAAAJkEAABkcnMvZG93bnJldi54bWxQSwUGAAAAAAQABADzAAAApQUAAAAA&#10;" fillcolor="#f2f2f2 [3052]" strokecolor="white [3212]">
                <v:textbox>
                  <w:txbxContent>
                    <w:p w14:paraId="06188029" w14:textId="77777777" w:rsidR="00CA0954" w:rsidRDefault="00CA0954" w:rsidP="00CA0954">
                      <w:pPr>
                        <w:rPr>
                          <w:b/>
                        </w:rPr>
                      </w:pPr>
                    </w:p>
                    <w:p w14:paraId="74F95B37" w14:textId="77777777" w:rsidR="00CA0954" w:rsidRDefault="00CA0954" w:rsidP="00CA0954">
                      <w:pPr>
                        <w:rPr>
                          <w:b/>
                        </w:rPr>
                      </w:pPr>
                      <w:r w:rsidRPr="005520D8">
                        <w:rPr>
                          <w:b/>
                        </w:rPr>
                        <w:t>Powiązane</w:t>
                      </w:r>
                      <w:r>
                        <w:rPr>
                          <w:b/>
                        </w:rPr>
                        <w:t xml:space="preserve"> opracowania</w:t>
                      </w:r>
                    </w:p>
                    <w:p w14:paraId="1D2D4146" w14:textId="77777777" w:rsidR="00CA0954" w:rsidRPr="00673C26" w:rsidRDefault="00CA0954" w:rsidP="00CA0954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  <w:t xml:space="preserve">Kultura fizyczna w Polsce w 2016 r. </w:t>
                      </w:r>
                    </w:p>
                    <w:p w14:paraId="6C2DCA4E" w14:textId="77777777" w:rsidR="00CA0954" w:rsidRDefault="00CA0954" w:rsidP="00CA0954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33B71529" w14:textId="77777777" w:rsidR="00CA0954" w:rsidRPr="00505A92" w:rsidRDefault="00CA0954" w:rsidP="00CA0954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A907E8" w14:textId="77777777" w:rsidR="00CA0954" w:rsidRPr="00A87D0A" w:rsidRDefault="00CA0954" w:rsidP="00CA0954">
      <w:pPr>
        <w:spacing w:line="360" w:lineRule="auto"/>
        <w:jc w:val="both"/>
        <w:rPr>
          <w:b/>
          <w:spacing w:val="-2"/>
          <w:sz w:val="18"/>
          <w:shd w:val="clear" w:color="auto" w:fill="FFFFFF"/>
        </w:rPr>
      </w:pPr>
    </w:p>
    <w:p w14:paraId="6171C918" w14:textId="77777777" w:rsidR="00CA0954" w:rsidRDefault="00CA0954" w:rsidP="00CA0954">
      <w:pPr>
        <w:spacing w:line="360" w:lineRule="auto"/>
        <w:jc w:val="both"/>
        <w:rPr>
          <w:shd w:val="clear" w:color="auto" w:fill="FFFFFF"/>
        </w:rPr>
      </w:pPr>
    </w:p>
    <w:p w14:paraId="7C268BB0" w14:textId="77777777" w:rsidR="00CA0954" w:rsidRPr="00074DD8" w:rsidRDefault="00CA0954" w:rsidP="005F7F99">
      <w:pPr>
        <w:pStyle w:val="LID"/>
        <w:jc w:val="both"/>
      </w:pPr>
    </w:p>
    <w:p w14:paraId="470F2090" w14:textId="2D4C062B" w:rsidR="00D67D65" w:rsidRDefault="00D67D65" w:rsidP="00D67D65">
      <w:pPr>
        <w:rPr>
          <w:b/>
          <w:noProof/>
          <w:spacing w:val="-2"/>
          <w:szCs w:val="19"/>
        </w:rPr>
      </w:pPr>
    </w:p>
    <w:p w14:paraId="58955E2F" w14:textId="77777777" w:rsidR="00CA0954" w:rsidRDefault="00CA0954" w:rsidP="00D67D65">
      <w:pPr>
        <w:rPr>
          <w:b/>
          <w:noProof/>
          <w:spacing w:val="-2"/>
          <w:szCs w:val="19"/>
        </w:rPr>
      </w:pPr>
    </w:p>
    <w:p w14:paraId="754B249C" w14:textId="77777777" w:rsidR="00CA0954" w:rsidRDefault="00CA0954" w:rsidP="00D67D65">
      <w:pPr>
        <w:rPr>
          <w:b/>
          <w:noProof/>
          <w:spacing w:val="-2"/>
          <w:szCs w:val="19"/>
        </w:rPr>
      </w:pPr>
    </w:p>
    <w:p w14:paraId="37F5971E" w14:textId="54F4AFAF" w:rsidR="00D67D65" w:rsidRDefault="00D67D65" w:rsidP="00D67D65">
      <w:pPr>
        <w:rPr>
          <w:b/>
          <w:noProof/>
          <w:spacing w:val="-2"/>
          <w:szCs w:val="19"/>
        </w:rPr>
      </w:pPr>
    </w:p>
    <w:p w14:paraId="7FE9708C" w14:textId="1F45D2D5" w:rsidR="00694AF0" w:rsidRPr="00001C5B" w:rsidRDefault="00694AF0" w:rsidP="00E76D26">
      <w:pPr>
        <w:rPr>
          <w:sz w:val="18"/>
        </w:rPr>
        <w:sectPr w:rsidR="00694AF0" w:rsidRPr="00001C5B" w:rsidSect="003B18B6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14:paraId="7FE9708D" w14:textId="77777777" w:rsidR="000470AA" w:rsidRDefault="000470AA" w:rsidP="000470AA">
      <w:pPr>
        <w:rPr>
          <w:sz w:val="18"/>
        </w:rPr>
      </w:pPr>
    </w:p>
    <w:p w14:paraId="7FE970A9" w14:textId="3B73792E"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7FE970BA" wp14:editId="4AAAF03E">
                <wp:simplePos x="0" y="0"/>
                <wp:positionH relativeFrom="margin">
                  <wp:posOffset>20320</wp:posOffset>
                </wp:positionH>
                <wp:positionV relativeFrom="paragraph">
                  <wp:posOffset>423545</wp:posOffset>
                </wp:positionV>
                <wp:extent cx="6559550" cy="3281680"/>
                <wp:effectExtent l="0" t="0" r="12700" b="1397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3281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9E650" w14:textId="77777777" w:rsidR="00673FB8" w:rsidRPr="00505A92" w:rsidRDefault="00673FB8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970BA" id="_x0000_s1030" type="#_x0000_t202" style="position:absolute;margin-left:1.6pt;margin-top:33.35pt;width:516.5pt;height:258.4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tTPgIAAHMEAAAOAAAAZHJzL2Uyb0RvYy54bWysVFFv0zAQfkfiP1h+p2m7prRR02l0DCEN&#10;mDT4AVfHaazZvmC7Tcav5+y0pYMHJMRL5POdv7v7vrusrnuj2UE6r9CWfDIacyatwErZXcm/fb17&#10;s+DMB7AVaLSy5M/S8+v161erri3kFBvUlXSMQKwvurbkTQhtkWVeNNKAH2ErLTlrdAYCmW6XVQ46&#10;Qjc6m47H86xDV7UOhfSebm8HJ18n/LqWInypay8D0yWn2kL6uvTdxm+2XkGxc9A2ShzLgH+owoCy&#10;lPQMdQsB2N6pP6CMEg491mEk0GRY10rI1AN1Mxn/1s1jA61MvRA5vj3T5P8frPh8eHBMVSW/4syC&#10;IYkeUEsW5JMP2Ek2jRR1rS8o8rGl2NC/w56kTu369h7Fk2cWNw3YnbxxDrtGQkUlTuLL7OLpgOMj&#10;yLb7hBXlgn3ABNTXzkT+iBFG6CTV81ke2Qcm6HKe58s8J5cg39V0MZkvkoAZFKfnrfPhg0TD4qHk&#10;jvRP8HC49yGWA8UpJGbzqFV1p7RORpw5udGOHYCmZbsbWtR7Q7UOd8t8PD6lTCMawxPqCyRtWVfy&#10;ZT7NB5L+kmWo6wWCUYHWQitT8gWlHJJCEZl9byt6AEUApYczNaXtkerI7sBz6Ld9EnZ2UnCL1TNx&#10;73DYAtpaOjTofnDW0QaU3H/fg5Oc6Y+W9FtOZrO4MsmY5W+nZLhLz/bSA1YQVMkDZ8NxE9KaxVIt&#10;3pDOtUoKxIEYKjmWTJOdKDxuYVydSztF/fpXrH8CAAD//wMAUEsDBBQABgAIAAAAIQAp6Ll64AAA&#10;AAkBAAAPAAAAZHJzL2Rvd25yZXYueG1sTI/BTsMwEETvSP0HaytxQdRpojhtiFMhpApuKKWCqxsv&#10;Sdp4HcVuG/4e9wTH2RnNvC02k+nZBUfXWZKwXETAkGqrO2ok7D+2jytgzivSqreEEn7Qwaac3RUq&#10;1/ZKFV52vmGhhFyuJLTeDznnrm7RKLewA1Lwvu1olA9ybLge1TWUm57HUSS4UR2FhVYN+NJifdqd&#10;jYTXdZZu3+J99n4SR6HXD9Xn8FVJeT+fnp+AeZz8Xxhu+AEdysB0sGfSjvUSkjgEJQiRAbvZUSLC&#10;5SAhXSUp8LLg/z8ofwEAAP//AwBQSwECLQAUAAYACAAAACEAtoM4kv4AAADhAQAAEwAAAAAAAAAA&#10;AAAAAAAAAAAAW0NvbnRlbnRfVHlwZXNdLnhtbFBLAQItABQABgAIAAAAIQA4/SH/1gAAAJQBAAAL&#10;AAAAAAAAAAAAAAAAAC8BAABfcmVscy8ucmVsc1BLAQItABQABgAIAAAAIQCRgGtTPgIAAHMEAAAO&#10;AAAAAAAAAAAAAAAAAC4CAABkcnMvZTJvRG9jLnhtbFBLAQItABQABgAIAAAAIQAp6Ll64AAAAAkB&#10;AAAPAAAAAAAAAAAAAAAAAJgEAABkcnMvZG93bnJldi54bWxQSwUGAAAAAAQABADzAAAApQUAAAAA&#10;" fillcolor="#f2f2f2 [3052]" strokecolor="white [3212]">
                <v:textbox>
                  <w:txbxContent>
                    <w:p w14:paraId="11D9E650" w14:textId="77777777" w:rsidR="00673FB8" w:rsidRPr="00505A92" w:rsidRDefault="00673FB8" w:rsidP="00AB6D25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23"/>
      <w:footerReference w:type="default" r:id="rId24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6B0CC" w14:textId="77777777" w:rsidR="00CF4DCD" w:rsidRDefault="00CF4DCD" w:rsidP="000662E2">
      <w:pPr>
        <w:spacing w:after="0" w:line="240" w:lineRule="auto"/>
      </w:pPr>
      <w:r>
        <w:separator/>
      </w:r>
    </w:p>
  </w:endnote>
  <w:endnote w:type="continuationSeparator" w:id="0">
    <w:p w14:paraId="0F0DD5DF" w14:textId="77777777" w:rsidR="00CF4DCD" w:rsidRDefault="00CF4DCD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14:paraId="7FE970C2" w14:textId="69103815" w:rsidR="00673FB8" w:rsidRDefault="00673FB8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12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14:paraId="7FE970C5" w14:textId="009AE1F1" w:rsidR="00673FB8" w:rsidRDefault="00673FB8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12A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7FE970C8" w14:textId="2FB6CF0E" w:rsidR="00673FB8" w:rsidRDefault="00673FB8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12A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9F0F9" w14:textId="77777777" w:rsidR="00CF4DCD" w:rsidRDefault="00CF4DCD" w:rsidP="000662E2">
      <w:pPr>
        <w:spacing w:after="0" w:line="240" w:lineRule="auto"/>
      </w:pPr>
      <w:r>
        <w:separator/>
      </w:r>
    </w:p>
  </w:footnote>
  <w:footnote w:type="continuationSeparator" w:id="0">
    <w:p w14:paraId="65A2436A" w14:textId="77777777" w:rsidR="00CF4DCD" w:rsidRDefault="00CF4DCD" w:rsidP="000662E2">
      <w:pPr>
        <w:spacing w:after="0" w:line="240" w:lineRule="auto"/>
      </w:pPr>
      <w:r>
        <w:continuationSeparator/>
      </w:r>
    </w:p>
  </w:footnote>
  <w:footnote w:id="1">
    <w:p w14:paraId="45F01114" w14:textId="7E4CA5F5" w:rsidR="0080411A" w:rsidRDefault="008041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411A">
        <w:rPr>
          <w:i/>
          <w:sz w:val="16"/>
          <w:szCs w:val="16"/>
        </w:rPr>
        <w:t>Trenerzy i instruktorzy mogą być wykazani wielokrotnie, jeżeli posiadają licencje w kilku sportach nadzorowanych przez jeden związek sportowy.</w:t>
      </w:r>
      <w:r>
        <w:t xml:space="preserve"> </w:t>
      </w:r>
    </w:p>
  </w:footnote>
  <w:footnote w:id="2">
    <w:p w14:paraId="3A137CCD" w14:textId="77777777" w:rsidR="00CA0954" w:rsidRDefault="00CA0954" w:rsidP="00CA09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0421F">
        <w:rPr>
          <w:i/>
          <w:spacing w:val="-2"/>
          <w:sz w:val="16"/>
          <w:szCs w:val="16"/>
          <w:shd w:val="clear" w:color="auto" w:fill="FFFFFF"/>
        </w:rPr>
        <w:t>Sędziowie sportowi mogą być wykazani wielokrotnie, jeżeli posiadają licencje w kilku sportach nadzorowanych przez jeden związek sportowy.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970C0" w14:textId="77777777" w:rsidR="00673FB8" w:rsidRDefault="00673FB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FE970C9" wp14:editId="7FE970CA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687CE8DF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7FE970C1" w14:textId="77777777" w:rsidR="00673FB8" w:rsidRDefault="00673F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970C3" w14:textId="69E21D87" w:rsidR="00673FB8" w:rsidRDefault="00CA0954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E970CD" wp14:editId="63555F51">
              <wp:simplePos x="0" y="0"/>
              <wp:positionH relativeFrom="page">
                <wp:align>right</wp:align>
              </wp:positionH>
              <wp:positionV relativeFrom="paragraph">
                <wp:posOffset>499110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910CED" id="Prostokąt 10" o:spid="_x0000_s1026" style="position:absolute;margin-left:96.2pt;margin-top:39.3pt;width:147.4pt;height:1803.55pt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ByutgjhAAAACAEAAA8AAABkcnMvZG93bnJl&#10;di54bWxMj0FPg0AQhe8m/ofNmHizi1UpIkNjVBITL9pKtLctOwIpO4vslqK/3vWkx8mbvPd92XIy&#10;nRhpcK1lhPNZBIK4srrlGuF1XZwlIJxXrFVnmRC+yMEyPz7KVKrtgV9oXPlahBJ2qUJovO9TKV3V&#10;kFFuZnvikH3YwSgfzqGWelCHUG46OY+iWBrVclhoVE93DVW71d4g2M24ftJFsSvL7/u35+Thvfzc&#10;PCKenky3NyA8Tf7vGX7xAzrkgWlr96yd6BCCiEdYJDGIkM6vL4PIFuEiTq4WIPNM/hfIfwAAAP//&#10;AwBQSwECLQAUAAYACAAAACEAtoM4kv4AAADhAQAAEwAAAAAAAAAAAAAAAAAAAAAAW0NvbnRlbnRf&#10;VHlwZXNdLnhtbFBLAQItABQABgAIAAAAIQA4/SH/1gAAAJQBAAALAAAAAAAAAAAAAAAAAC8BAABf&#10;cmVscy8ucmVsc1BLAQItABQABgAIAAAAIQB3Is6EnQIAAIoFAAAOAAAAAAAAAAAAAAAAAC4CAABk&#10;cnMvZTJvRG9jLnhtbFBLAQItABQABgAIAAAAIQAcrrYI4QAAAAgBAAAPAAAAAAAAAAAAAAAAAPcE&#10;AABkcnMvZG93bnJldi54bWxQSwUGAAAAAAQABADzAAAABQYAAAAA&#10;" fillcolor="#f2f2f2" stroked="f" strokeweight="1pt">
              <w10:wrap type="tight" anchorx="page"/>
            </v:rect>
          </w:pict>
        </mc:Fallback>
      </mc:AlternateContent>
    </w:r>
    <w:r w:rsidR="00673FB8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E970CB" wp14:editId="1BCB3398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E970EA" w14:textId="77777777" w:rsidR="00673FB8" w:rsidRPr="003C6C8D" w:rsidRDefault="00673FB8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E970CB" id="Schemat blokowy: opóźnienie 6" o:spid="_x0000_s1031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7FE970EA" w14:textId="77777777" w:rsidR="00673FB8" w:rsidRPr="003C6C8D" w:rsidRDefault="00673FB8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673FB8" w:rsidRPr="003E754F">
      <w:rPr>
        <w:noProof/>
        <w:lang w:eastAsia="pl-PL"/>
      </w:rPr>
      <w:drawing>
        <wp:inline distT="0" distB="0" distL="0" distR="0" wp14:anchorId="1F9B45BE" wp14:editId="7AE81645">
          <wp:extent cx="2212459" cy="720000"/>
          <wp:effectExtent l="0" t="0" r="0" b="4445"/>
          <wp:docPr id="49" name="Obraz 49" descr="C:\Users\tupaczewskaa\Desktop\Logo jubileuszowe wersja dla GUS odmiana podstawowa wariant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upaczewskaa\Desktop\Logo jubileuszowe wersja dla GUS odmiana podstawowa wariant kolor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45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E970C4" w14:textId="77777777" w:rsidR="00673FB8" w:rsidRDefault="00673FB8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FE970D1" wp14:editId="7FE970D2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970EB" w14:textId="4CE59992" w:rsidR="00673FB8" w:rsidRPr="00C97596" w:rsidRDefault="00F55E5D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29.06</w:t>
                          </w:r>
                          <w:r w:rsidR="00673FB8">
                            <w:rPr>
                              <w:rFonts w:ascii="Fira Sans SemiBold" w:hAnsi="Fira Sans SemiBold"/>
                              <w:color w:val="001D77"/>
                            </w:rPr>
                            <w:t>.2018</w:t>
                          </w:r>
                          <w:r w:rsidR="00673FB8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E970D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7FE970EB" w14:textId="4CE59992" w:rsidR="00673FB8" w:rsidRPr="00C97596" w:rsidRDefault="00F55E5D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29.06</w:t>
                    </w:r>
                    <w:r w:rsidR="00673FB8">
                      <w:rPr>
                        <w:rFonts w:ascii="Fira Sans SemiBold" w:hAnsi="Fira Sans SemiBold"/>
                        <w:color w:val="001D77"/>
                      </w:rPr>
                      <w:t>.2018</w:t>
                    </w:r>
                    <w:r w:rsidR="00673FB8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970C6" w14:textId="77777777" w:rsidR="00673FB8" w:rsidRDefault="00673FB8">
    <w:pPr>
      <w:pStyle w:val="Nagwek"/>
    </w:pPr>
  </w:p>
  <w:p w14:paraId="7FE970C7" w14:textId="77777777" w:rsidR="00673FB8" w:rsidRDefault="00673F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9pt;height:125.3pt;visibility:visible;mso-wrap-style:square" o:bullet="t">
        <v:imagedata r:id="rId1" o:title=""/>
      </v:shape>
    </w:pict>
  </w:numPicBullet>
  <w:numPicBullet w:numPicBulletId="1">
    <w:pict>
      <v:shape id="_x0000_i1029" type="#_x0000_t75" style="width:123.35pt;height:125.3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709F"/>
    <w:rsid w:val="000108B8"/>
    <w:rsid w:val="000152F5"/>
    <w:rsid w:val="0001588D"/>
    <w:rsid w:val="00020D61"/>
    <w:rsid w:val="0004582E"/>
    <w:rsid w:val="000470AA"/>
    <w:rsid w:val="00054E3C"/>
    <w:rsid w:val="0005734D"/>
    <w:rsid w:val="00057CA1"/>
    <w:rsid w:val="000662E2"/>
    <w:rsid w:val="00066883"/>
    <w:rsid w:val="00066985"/>
    <w:rsid w:val="00074DD8"/>
    <w:rsid w:val="000806F7"/>
    <w:rsid w:val="00086EB6"/>
    <w:rsid w:val="00097840"/>
    <w:rsid w:val="000A0E10"/>
    <w:rsid w:val="000B0727"/>
    <w:rsid w:val="000C135D"/>
    <w:rsid w:val="000D1D43"/>
    <w:rsid w:val="000D225C"/>
    <w:rsid w:val="000D2A5C"/>
    <w:rsid w:val="000E0918"/>
    <w:rsid w:val="000F1616"/>
    <w:rsid w:val="001011C3"/>
    <w:rsid w:val="0011021F"/>
    <w:rsid w:val="00110D87"/>
    <w:rsid w:val="00114AD0"/>
    <w:rsid w:val="00114DB9"/>
    <w:rsid w:val="00116087"/>
    <w:rsid w:val="00130296"/>
    <w:rsid w:val="00134354"/>
    <w:rsid w:val="001423B6"/>
    <w:rsid w:val="001448A7"/>
    <w:rsid w:val="00146621"/>
    <w:rsid w:val="00162325"/>
    <w:rsid w:val="001951DA"/>
    <w:rsid w:val="001A73F4"/>
    <w:rsid w:val="001C3269"/>
    <w:rsid w:val="001D1DB4"/>
    <w:rsid w:val="001E4DDE"/>
    <w:rsid w:val="001F69A3"/>
    <w:rsid w:val="00202846"/>
    <w:rsid w:val="002065B1"/>
    <w:rsid w:val="00215267"/>
    <w:rsid w:val="002162C8"/>
    <w:rsid w:val="002169CE"/>
    <w:rsid w:val="002178EB"/>
    <w:rsid w:val="0022265F"/>
    <w:rsid w:val="00255D68"/>
    <w:rsid w:val="002574F9"/>
    <w:rsid w:val="002612C1"/>
    <w:rsid w:val="00262B61"/>
    <w:rsid w:val="00276811"/>
    <w:rsid w:val="00282699"/>
    <w:rsid w:val="002926DF"/>
    <w:rsid w:val="00296697"/>
    <w:rsid w:val="002B0472"/>
    <w:rsid w:val="002B6B12"/>
    <w:rsid w:val="002C5F2B"/>
    <w:rsid w:val="002E51A7"/>
    <w:rsid w:val="002E6140"/>
    <w:rsid w:val="002E6985"/>
    <w:rsid w:val="002E71B6"/>
    <w:rsid w:val="002F77C8"/>
    <w:rsid w:val="00301C15"/>
    <w:rsid w:val="00304F22"/>
    <w:rsid w:val="00306C7C"/>
    <w:rsid w:val="00322EDD"/>
    <w:rsid w:val="0032544F"/>
    <w:rsid w:val="00332320"/>
    <w:rsid w:val="00341DA1"/>
    <w:rsid w:val="00347D72"/>
    <w:rsid w:val="00357611"/>
    <w:rsid w:val="003654BD"/>
    <w:rsid w:val="0036636D"/>
    <w:rsid w:val="00367237"/>
    <w:rsid w:val="0037077F"/>
    <w:rsid w:val="00371B2E"/>
    <w:rsid w:val="00372411"/>
    <w:rsid w:val="00373882"/>
    <w:rsid w:val="003843DB"/>
    <w:rsid w:val="00390BDB"/>
    <w:rsid w:val="00393761"/>
    <w:rsid w:val="0039548C"/>
    <w:rsid w:val="00397D18"/>
    <w:rsid w:val="003A12DB"/>
    <w:rsid w:val="003A1B36"/>
    <w:rsid w:val="003B1454"/>
    <w:rsid w:val="003B18B6"/>
    <w:rsid w:val="003B4616"/>
    <w:rsid w:val="003B65B0"/>
    <w:rsid w:val="003C59E0"/>
    <w:rsid w:val="003C6C8D"/>
    <w:rsid w:val="003D4F95"/>
    <w:rsid w:val="003D5F42"/>
    <w:rsid w:val="003D60A9"/>
    <w:rsid w:val="003E754F"/>
    <w:rsid w:val="003F4C97"/>
    <w:rsid w:val="003F7FE6"/>
    <w:rsid w:val="00400193"/>
    <w:rsid w:val="004173B0"/>
    <w:rsid w:val="004212E7"/>
    <w:rsid w:val="00423C74"/>
    <w:rsid w:val="0042446D"/>
    <w:rsid w:val="00427BF8"/>
    <w:rsid w:val="00431377"/>
    <w:rsid w:val="00431C02"/>
    <w:rsid w:val="00437395"/>
    <w:rsid w:val="00445047"/>
    <w:rsid w:val="00463E39"/>
    <w:rsid w:val="004657FC"/>
    <w:rsid w:val="004733F6"/>
    <w:rsid w:val="00474E69"/>
    <w:rsid w:val="00476C96"/>
    <w:rsid w:val="0049621B"/>
    <w:rsid w:val="004B5536"/>
    <w:rsid w:val="004C1895"/>
    <w:rsid w:val="004C6D40"/>
    <w:rsid w:val="004F0C3C"/>
    <w:rsid w:val="004F63FC"/>
    <w:rsid w:val="004F64A5"/>
    <w:rsid w:val="00505A92"/>
    <w:rsid w:val="005179A2"/>
    <w:rsid w:val="005203F1"/>
    <w:rsid w:val="00521BC3"/>
    <w:rsid w:val="00533632"/>
    <w:rsid w:val="00541E6E"/>
    <w:rsid w:val="0054251F"/>
    <w:rsid w:val="005520D8"/>
    <w:rsid w:val="00555286"/>
    <w:rsid w:val="00556300"/>
    <w:rsid w:val="00556CF1"/>
    <w:rsid w:val="00562FE0"/>
    <w:rsid w:val="005700FF"/>
    <w:rsid w:val="005762A7"/>
    <w:rsid w:val="005916D7"/>
    <w:rsid w:val="005A698C"/>
    <w:rsid w:val="005C44C5"/>
    <w:rsid w:val="005C6C81"/>
    <w:rsid w:val="005D1031"/>
    <w:rsid w:val="005D4D62"/>
    <w:rsid w:val="005D757F"/>
    <w:rsid w:val="005E0799"/>
    <w:rsid w:val="005E0849"/>
    <w:rsid w:val="005F3C2B"/>
    <w:rsid w:val="005F5A80"/>
    <w:rsid w:val="005F7F99"/>
    <w:rsid w:val="006044FF"/>
    <w:rsid w:val="006065C3"/>
    <w:rsid w:val="00607CC5"/>
    <w:rsid w:val="00633014"/>
    <w:rsid w:val="0063437B"/>
    <w:rsid w:val="00634DF0"/>
    <w:rsid w:val="00646460"/>
    <w:rsid w:val="00660D33"/>
    <w:rsid w:val="006673CA"/>
    <w:rsid w:val="00673C26"/>
    <w:rsid w:val="00673FB8"/>
    <w:rsid w:val="006761EA"/>
    <w:rsid w:val="006812AF"/>
    <w:rsid w:val="00681B84"/>
    <w:rsid w:val="00682068"/>
    <w:rsid w:val="0068327D"/>
    <w:rsid w:val="00694AF0"/>
    <w:rsid w:val="006A1EB9"/>
    <w:rsid w:val="006A4686"/>
    <w:rsid w:val="006B0E9E"/>
    <w:rsid w:val="006B5AE4"/>
    <w:rsid w:val="006B7C6C"/>
    <w:rsid w:val="006D1507"/>
    <w:rsid w:val="006D4054"/>
    <w:rsid w:val="006E02EC"/>
    <w:rsid w:val="00703AF4"/>
    <w:rsid w:val="00710E55"/>
    <w:rsid w:val="007211B1"/>
    <w:rsid w:val="00743171"/>
    <w:rsid w:val="00746187"/>
    <w:rsid w:val="0075198C"/>
    <w:rsid w:val="0076254F"/>
    <w:rsid w:val="00771078"/>
    <w:rsid w:val="007801F5"/>
    <w:rsid w:val="00783CA4"/>
    <w:rsid w:val="007842FB"/>
    <w:rsid w:val="00786124"/>
    <w:rsid w:val="0079514B"/>
    <w:rsid w:val="007A2DC1"/>
    <w:rsid w:val="007D3319"/>
    <w:rsid w:val="007D335D"/>
    <w:rsid w:val="007E3314"/>
    <w:rsid w:val="007E4B03"/>
    <w:rsid w:val="007E5429"/>
    <w:rsid w:val="007F324B"/>
    <w:rsid w:val="007F419B"/>
    <w:rsid w:val="0080411A"/>
    <w:rsid w:val="0080553C"/>
    <w:rsid w:val="00805B46"/>
    <w:rsid w:val="00825DC2"/>
    <w:rsid w:val="00832EB5"/>
    <w:rsid w:val="00834AD3"/>
    <w:rsid w:val="00843795"/>
    <w:rsid w:val="00847F0F"/>
    <w:rsid w:val="00852448"/>
    <w:rsid w:val="00855BA0"/>
    <w:rsid w:val="00863011"/>
    <w:rsid w:val="00872D51"/>
    <w:rsid w:val="0088258A"/>
    <w:rsid w:val="00883916"/>
    <w:rsid w:val="00886332"/>
    <w:rsid w:val="008A0253"/>
    <w:rsid w:val="008A06E3"/>
    <w:rsid w:val="008A26D9"/>
    <w:rsid w:val="008C0C29"/>
    <w:rsid w:val="008C28EC"/>
    <w:rsid w:val="008D0E3E"/>
    <w:rsid w:val="008D147D"/>
    <w:rsid w:val="008D2F3B"/>
    <w:rsid w:val="008E66E6"/>
    <w:rsid w:val="008F3638"/>
    <w:rsid w:val="008F38F5"/>
    <w:rsid w:val="008F4441"/>
    <w:rsid w:val="008F6F31"/>
    <w:rsid w:val="008F74DF"/>
    <w:rsid w:val="00903490"/>
    <w:rsid w:val="009057E5"/>
    <w:rsid w:val="009077CB"/>
    <w:rsid w:val="009127BA"/>
    <w:rsid w:val="009227A6"/>
    <w:rsid w:val="0093369A"/>
    <w:rsid w:val="00933EC1"/>
    <w:rsid w:val="0094190A"/>
    <w:rsid w:val="009530DB"/>
    <w:rsid w:val="00953676"/>
    <w:rsid w:val="009705EE"/>
    <w:rsid w:val="00977927"/>
    <w:rsid w:val="0098135C"/>
    <w:rsid w:val="0098156A"/>
    <w:rsid w:val="00991BAC"/>
    <w:rsid w:val="009A6EA0"/>
    <w:rsid w:val="009B2EC7"/>
    <w:rsid w:val="009B441F"/>
    <w:rsid w:val="009C08DF"/>
    <w:rsid w:val="009C1335"/>
    <w:rsid w:val="009C1AB2"/>
    <w:rsid w:val="009C7251"/>
    <w:rsid w:val="009D02C3"/>
    <w:rsid w:val="009D31E3"/>
    <w:rsid w:val="009E2E91"/>
    <w:rsid w:val="00A04A47"/>
    <w:rsid w:val="00A139F5"/>
    <w:rsid w:val="00A145DF"/>
    <w:rsid w:val="00A23A97"/>
    <w:rsid w:val="00A245C9"/>
    <w:rsid w:val="00A30FEE"/>
    <w:rsid w:val="00A32DF6"/>
    <w:rsid w:val="00A365F4"/>
    <w:rsid w:val="00A374E1"/>
    <w:rsid w:val="00A47D80"/>
    <w:rsid w:val="00A53132"/>
    <w:rsid w:val="00A563F2"/>
    <w:rsid w:val="00A566E8"/>
    <w:rsid w:val="00A568BD"/>
    <w:rsid w:val="00A66128"/>
    <w:rsid w:val="00A74089"/>
    <w:rsid w:val="00A810F9"/>
    <w:rsid w:val="00A822F0"/>
    <w:rsid w:val="00A86ECC"/>
    <w:rsid w:val="00A86FCC"/>
    <w:rsid w:val="00AA710D"/>
    <w:rsid w:val="00AB6D25"/>
    <w:rsid w:val="00AD44C7"/>
    <w:rsid w:val="00AD654F"/>
    <w:rsid w:val="00AD6E9F"/>
    <w:rsid w:val="00AE2D4B"/>
    <w:rsid w:val="00AE3F74"/>
    <w:rsid w:val="00AE4F99"/>
    <w:rsid w:val="00AF23BE"/>
    <w:rsid w:val="00AF6BA8"/>
    <w:rsid w:val="00B11B69"/>
    <w:rsid w:val="00B14952"/>
    <w:rsid w:val="00B31783"/>
    <w:rsid w:val="00B31E5A"/>
    <w:rsid w:val="00B37317"/>
    <w:rsid w:val="00B37842"/>
    <w:rsid w:val="00B45E39"/>
    <w:rsid w:val="00B47892"/>
    <w:rsid w:val="00B63952"/>
    <w:rsid w:val="00B653AB"/>
    <w:rsid w:val="00B65F9E"/>
    <w:rsid w:val="00B66B19"/>
    <w:rsid w:val="00B718A3"/>
    <w:rsid w:val="00B914E9"/>
    <w:rsid w:val="00B9221E"/>
    <w:rsid w:val="00B956EE"/>
    <w:rsid w:val="00BA2BA1"/>
    <w:rsid w:val="00BA3562"/>
    <w:rsid w:val="00BB0AC4"/>
    <w:rsid w:val="00BB4F09"/>
    <w:rsid w:val="00BB71AA"/>
    <w:rsid w:val="00BD4E33"/>
    <w:rsid w:val="00C030DE"/>
    <w:rsid w:val="00C211B4"/>
    <w:rsid w:val="00C22105"/>
    <w:rsid w:val="00C22FD5"/>
    <w:rsid w:val="00C244B6"/>
    <w:rsid w:val="00C26E0E"/>
    <w:rsid w:val="00C32AFF"/>
    <w:rsid w:val="00C3702F"/>
    <w:rsid w:val="00C4500A"/>
    <w:rsid w:val="00C64A37"/>
    <w:rsid w:val="00C67041"/>
    <w:rsid w:val="00C7158E"/>
    <w:rsid w:val="00C7250B"/>
    <w:rsid w:val="00C7346B"/>
    <w:rsid w:val="00C77C0E"/>
    <w:rsid w:val="00C80E67"/>
    <w:rsid w:val="00C81FED"/>
    <w:rsid w:val="00C86279"/>
    <w:rsid w:val="00C91687"/>
    <w:rsid w:val="00C924A8"/>
    <w:rsid w:val="00C94015"/>
    <w:rsid w:val="00C945FE"/>
    <w:rsid w:val="00C96FAA"/>
    <w:rsid w:val="00C97A04"/>
    <w:rsid w:val="00CA0954"/>
    <w:rsid w:val="00CA107B"/>
    <w:rsid w:val="00CA31F9"/>
    <w:rsid w:val="00CA484D"/>
    <w:rsid w:val="00CA4FB6"/>
    <w:rsid w:val="00CB6F25"/>
    <w:rsid w:val="00CC739E"/>
    <w:rsid w:val="00CD2C82"/>
    <w:rsid w:val="00CD58B7"/>
    <w:rsid w:val="00CD73FE"/>
    <w:rsid w:val="00CF4099"/>
    <w:rsid w:val="00CF4DCD"/>
    <w:rsid w:val="00CF4F93"/>
    <w:rsid w:val="00D00796"/>
    <w:rsid w:val="00D1389A"/>
    <w:rsid w:val="00D261A2"/>
    <w:rsid w:val="00D4516B"/>
    <w:rsid w:val="00D45F49"/>
    <w:rsid w:val="00D616D2"/>
    <w:rsid w:val="00D63B5F"/>
    <w:rsid w:val="00D65F7F"/>
    <w:rsid w:val="00D67D65"/>
    <w:rsid w:val="00D70EF7"/>
    <w:rsid w:val="00D7113E"/>
    <w:rsid w:val="00D8397C"/>
    <w:rsid w:val="00D94EED"/>
    <w:rsid w:val="00D96026"/>
    <w:rsid w:val="00DA7C1C"/>
    <w:rsid w:val="00DB147A"/>
    <w:rsid w:val="00DB1B7A"/>
    <w:rsid w:val="00DC6708"/>
    <w:rsid w:val="00DD5548"/>
    <w:rsid w:val="00DE762C"/>
    <w:rsid w:val="00E01436"/>
    <w:rsid w:val="00E045BD"/>
    <w:rsid w:val="00E173CD"/>
    <w:rsid w:val="00E17B77"/>
    <w:rsid w:val="00E23337"/>
    <w:rsid w:val="00E259EA"/>
    <w:rsid w:val="00E32061"/>
    <w:rsid w:val="00E41229"/>
    <w:rsid w:val="00E42FF9"/>
    <w:rsid w:val="00E4714C"/>
    <w:rsid w:val="00E51AEB"/>
    <w:rsid w:val="00E522A7"/>
    <w:rsid w:val="00E54452"/>
    <w:rsid w:val="00E664C5"/>
    <w:rsid w:val="00E671A2"/>
    <w:rsid w:val="00E7012A"/>
    <w:rsid w:val="00E72C72"/>
    <w:rsid w:val="00E76D26"/>
    <w:rsid w:val="00EB1390"/>
    <w:rsid w:val="00EB2C71"/>
    <w:rsid w:val="00EB4340"/>
    <w:rsid w:val="00EB556D"/>
    <w:rsid w:val="00EB5A7D"/>
    <w:rsid w:val="00ED55C0"/>
    <w:rsid w:val="00ED682B"/>
    <w:rsid w:val="00ED7641"/>
    <w:rsid w:val="00EE3787"/>
    <w:rsid w:val="00EE41D5"/>
    <w:rsid w:val="00F037A4"/>
    <w:rsid w:val="00F24921"/>
    <w:rsid w:val="00F27C8F"/>
    <w:rsid w:val="00F32749"/>
    <w:rsid w:val="00F37172"/>
    <w:rsid w:val="00F4477E"/>
    <w:rsid w:val="00F55E5D"/>
    <w:rsid w:val="00F67D8F"/>
    <w:rsid w:val="00F8018B"/>
    <w:rsid w:val="00F802BE"/>
    <w:rsid w:val="00F80B2E"/>
    <w:rsid w:val="00F80E93"/>
    <w:rsid w:val="00F84D58"/>
    <w:rsid w:val="00F86024"/>
    <w:rsid w:val="00F8611A"/>
    <w:rsid w:val="00FA5128"/>
    <w:rsid w:val="00FB42D4"/>
    <w:rsid w:val="00FB5906"/>
    <w:rsid w:val="00FB762F"/>
    <w:rsid w:val="00FC2AED"/>
    <w:rsid w:val="00FD1966"/>
    <w:rsid w:val="00FD3789"/>
    <w:rsid w:val="00FD5EA7"/>
    <w:rsid w:val="00FE0F32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97009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NormalnyWeb">
    <w:name w:val="Normal (Web)"/>
    <w:basedOn w:val="Normalny"/>
    <w:uiPriority w:val="99"/>
    <w:semiHidden/>
    <w:unhideWhenUsed/>
    <w:rsid w:val="00D67D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73F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obslugaprasowa@stat.gov.pl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zecznik@stat.gov.pl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udorfP\Desktop\tabele%20notatk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udorfP\Desktop\Kopia%20tabele%20notatk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udorfP\Desktop\tabele%20notatk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Arkusz1!$H$22</c:f>
              <c:strCache>
                <c:ptCount val="1"/>
                <c:pt idx="0">
                  <c:v>Trenerzy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Arkusz1!$G$23:$G$38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Arkusz1!$H$23:$H$38</c:f>
              <c:numCache>
                <c:formatCode>General</c:formatCode>
                <c:ptCount val="16"/>
                <c:pt idx="0">
                  <c:v>1794</c:v>
                </c:pt>
                <c:pt idx="1">
                  <c:v>1375</c:v>
                </c:pt>
                <c:pt idx="2">
                  <c:v>1065</c:v>
                </c:pt>
                <c:pt idx="3">
                  <c:v>793</c:v>
                </c:pt>
                <c:pt idx="4">
                  <c:v>1500</c:v>
                </c:pt>
                <c:pt idx="5">
                  <c:v>2324</c:v>
                </c:pt>
                <c:pt idx="6">
                  <c:v>3685</c:v>
                </c:pt>
                <c:pt idx="7">
                  <c:v>918</c:v>
                </c:pt>
                <c:pt idx="8">
                  <c:v>1006</c:v>
                </c:pt>
                <c:pt idx="9">
                  <c:v>654</c:v>
                </c:pt>
                <c:pt idx="10">
                  <c:v>1586</c:v>
                </c:pt>
                <c:pt idx="11">
                  <c:v>2691</c:v>
                </c:pt>
                <c:pt idx="12">
                  <c:v>657</c:v>
                </c:pt>
                <c:pt idx="13">
                  <c:v>895</c:v>
                </c:pt>
                <c:pt idx="14">
                  <c:v>2009</c:v>
                </c:pt>
                <c:pt idx="15">
                  <c:v>1075</c:v>
                </c:pt>
              </c:numCache>
            </c:numRef>
          </c:val>
        </c:ser>
        <c:ser>
          <c:idx val="1"/>
          <c:order val="1"/>
          <c:tx>
            <c:strRef>
              <c:f>Arkusz1!$I$22</c:f>
              <c:strCache>
                <c:ptCount val="1"/>
                <c:pt idx="0">
                  <c:v>Instruktorzy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Arkusz1!$G$23:$G$38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Arkusz1!$I$23:$I$38</c:f>
              <c:numCache>
                <c:formatCode>General</c:formatCode>
                <c:ptCount val="16"/>
                <c:pt idx="0">
                  <c:v>712</c:v>
                </c:pt>
                <c:pt idx="1">
                  <c:v>612</c:v>
                </c:pt>
                <c:pt idx="2">
                  <c:v>569</c:v>
                </c:pt>
                <c:pt idx="3">
                  <c:v>395</c:v>
                </c:pt>
                <c:pt idx="4">
                  <c:v>578</c:v>
                </c:pt>
                <c:pt idx="5">
                  <c:v>784</c:v>
                </c:pt>
                <c:pt idx="6">
                  <c:v>1292</c:v>
                </c:pt>
                <c:pt idx="7">
                  <c:v>284</c:v>
                </c:pt>
                <c:pt idx="8">
                  <c:v>490</c:v>
                </c:pt>
                <c:pt idx="9">
                  <c:v>337</c:v>
                </c:pt>
                <c:pt idx="10">
                  <c:v>626</c:v>
                </c:pt>
                <c:pt idx="11">
                  <c:v>1091</c:v>
                </c:pt>
                <c:pt idx="12">
                  <c:v>346</c:v>
                </c:pt>
                <c:pt idx="13">
                  <c:v>348</c:v>
                </c:pt>
                <c:pt idx="14">
                  <c:v>869</c:v>
                </c:pt>
                <c:pt idx="15">
                  <c:v>404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863934480"/>
        <c:axId val="-863921968"/>
      </c:barChart>
      <c:catAx>
        <c:axId val="-863934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863921968"/>
        <c:crosses val="autoZero"/>
        <c:auto val="1"/>
        <c:lblAlgn val="ctr"/>
        <c:lblOffset val="100"/>
        <c:noMultiLvlLbl val="0"/>
      </c:catAx>
      <c:valAx>
        <c:axId val="-863921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863934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Arkusz1!$H$57</c:f>
              <c:strCache>
                <c:ptCount val="1"/>
                <c:pt idx="0">
                  <c:v>Sędziowie z klasą  miedzynarodową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Arkusz1!$G$58:$G$73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Arkusz1!$H$58:$H$73</c:f>
              <c:numCache>
                <c:formatCode>General</c:formatCode>
                <c:ptCount val="16"/>
                <c:pt idx="0">
                  <c:v>194</c:v>
                </c:pt>
                <c:pt idx="1">
                  <c:v>55</c:v>
                </c:pt>
                <c:pt idx="2">
                  <c:v>51</c:v>
                </c:pt>
                <c:pt idx="3">
                  <c:v>45</c:v>
                </c:pt>
                <c:pt idx="4">
                  <c:v>68</c:v>
                </c:pt>
                <c:pt idx="5">
                  <c:v>189</c:v>
                </c:pt>
                <c:pt idx="6">
                  <c:v>271</c:v>
                </c:pt>
                <c:pt idx="7">
                  <c:v>39</c:v>
                </c:pt>
                <c:pt idx="8">
                  <c:v>120</c:v>
                </c:pt>
                <c:pt idx="9">
                  <c:v>31</c:v>
                </c:pt>
                <c:pt idx="10">
                  <c:v>89</c:v>
                </c:pt>
                <c:pt idx="11">
                  <c:v>216</c:v>
                </c:pt>
                <c:pt idx="12">
                  <c:v>36</c:v>
                </c:pt>
                <c:pt idx="13">
                  <c:v>49</c:v>
                </c:pt>
                <c:pt idx="14">
                  <c:v>145</c:v>
                </c:pt>
                <c:pt idx="15">
                  <c:v>43</c:v>
                </c:pt>
              </c:numCache>
            </c:numRef>
          </c:val>
        </c:ser>
        <c:ser>
          <c:idx val="1"/>
          <c:order val="1"/>
          <c:tx>
            <c:strRef>
              <c:f>Arkusz1!$I$57</c:f>
              <c:strCache>
                <c:ptCount val="1"/>
                <c:pt idx="0">
                  <c:v>Sędziowie z klasą krajową lub okręgową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Arkusz1!$G$58:$G$73</c:f>
              <c:strCache>
                <c:ptCount val="16"/>
                <c:pt idx="0">
                  <c:v>Dolnośląskie</c:v>
                </c:pt>
                <c:pt idx="1">
                  <c:v>Kujawsko-pomorskie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Warmińsko-mazurskie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Arkusz1!$I$58:$I$73</c:f>
              <c:numCache>
                <c:formatCode>General</c:formatCode>
                <c:ptCount val="16"/>
                <c:pt idx="0">
                  <c:v>3741</c:v>
                </c:pt>
                <c:pt idx="1">
                  <c:v>2052</c:v>
                </c:pt>
                <c:pt idx="2">
                  <c:v>2182</c:v>
                </c:pt>
                <c:pt idx="3">
                  <c:v>1376</c:v>
                </c:pt>
                <c:pt idx="4">
                  <c:v>2353</c:v>
                </c:pt>
                <c:pt idx="5">
                  <c:v>4498</c:v>
                </c:pt>
                <c:pt idx="6">
                  <c:v>5451</c:v>
                </c:pt>
                <c:pt idx="7">
                  <c:v>1190</c:v>
                </c:pt>
                <c:pt idx="8">
                  <c:v>2897</c:v>
                </c:pt>
                <c:pt idx="9">
                  <c:v>1519</c:v>
                </c:pt>
                <c:pt idx="10">
                  <c:v>2432</c:v>
                </c:pt>
                <c:pt idx="11">
                  <c:v>4974</c:v>
                </c:pt>
                <c:pt idx="12">
                  <c:v>1211</c:v>
                </c:pt>
                <c:pt idx="13">
                  <c:v>1616</c:v>
                </c:pt>
                <c:pt idx="14">
                  <c:v>3582</c:v>
                </c:pt>
                <c:pt idx="15">
                  <c:v>1867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863924144"/>
        <c:axId val="-863926320"/>
      </c:barChart>
      <c:catAx>
        <c:axId val="-863924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863926320"/>
        <c:crosses val="autoZero"/>
        <c:auto val="1"/>
        <c:lblAlgn val="ctr"/>
        <c:lblOffset val="100"/>
        <c:noMultiLvlLbl val="0"/>
      </c:catAx>
      <c:valAx>
        <c:axId val="-863926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863924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Arkusz1!$H$92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Arkusz1!$G$93:$G$95</c:f>
              <c:strCache>
                <c:ptCount val="3"/>
                <c:pt idx="0">
                  <c:v>Juniorzy</c:v>
                </c:pt>
                <c:pt idx="1">
                  <c:v>Młodzieżowcy</c:v>
                </c:pt>
                <c:pt idx="2">
                  <c:v>Seniorzy</c:v>
                </c:pt>
              </c:strCache>
            </c:strRef>
          </c:cat>
          <c:val>
            <c:numRef>
              <c:f>Arkusz1!$H$93:$H$95</c:f>
              <c:numCache>
                <c:formatCode>General</c:formatCode>
                <c:ptCount val="3"/>
                <c:pt idx="0">
                  <c:v>2994</c:v>
                </c:pt>
                <c:pt idx="1">
                  <c:v>1024</c:v>
                </c:pt>
                <c:pt idx="2">
                  <c:v>2338</c:v>
                </c:pt>
              </c:numCache>
            </c:numRef>
          </c:val>
        </c:ser>
        <c:ser>
          <c:idx val="1"/>
          <c:order val="1"/>
          <c:tx>
            <c:strRef>
              <c:f>Arkusz1!$I$92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Arkusz1!$G$93:$G$95</c:f>
              <c:strCache>
                <c:ptCount val="3"/>
                <c:pt idx="0">
                  <c:v>Juniorzy</c:v>
                </c:pt>
                <c:pt idx="1">
                  <c:v>Młodzieżowcy</c:v>
                </c:pt>
                <c:pt idx="2">
                  <c:v>Seniorzy</c:v>
                </c:pt>
              </c:strCache>
            </c:strRef>
          </c:cat>
          <c:val>
            <c:numRef>
              <c:f>Arkusz1!$I$93:$I$95</c:f>
              <c:numCache>
                <c:formatCode>General</c:formatCode>
                <c:ptCount val="3"/>
                <c:pt idx="0">
                  <c:v>2390</c:v>
                </c:pt>
                <c:pt idx="1">
                  <c:v>633</c:v>
                </c:pt>
                <c:pt idx="2">
                  <c:v>1286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863923056"/>
        <c:axId val="-863930128"/>
      </c:barChart>
      <c:catAx>
        <c:axId val="-863923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863930128"/>
        <c:crosses val="autoZero"/>
        <c:auto val="1"/>
        <c:lblAlgn val="ctr"/>
        <c:lblOffset val="100"/>
        <c:noMultiLvlLbl val="0"/>
      </c:catAx>
      <c:valAx>
        <c:axId val="-863930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863923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30d47203-49ec-4c8c-a442-62231931aabb"/>
  </ds:schemaRefs>
</ds:datastoreItem>
</file>

<file path=customXml/itemProps3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5AE479-4C51-47E8-9F2E-C9BA9F42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Zawistowska Beata</dc:creator>
  <cp:keywords/>
  <dc:description/>
  <cp:lastModifiedBy>Żołynia Marcin</cp:lastModifiedBy>
  <cp:revision>2</cp:revision>
  <cp:lastPrinted>2018-06-29T05:47:00Z</cp:lastPrinted>
  <dcterms:created xsi:type="dcterms:W3CDTF">2018-06-29T07:25:00Z</dcterms:created>
  <dcterms:modified xsi:type="dcterms:W3CDTF">2018-06-29T07:25:00Z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