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16C4" w14:textId="20C025EC" w:rsidR="0098135C" w:rsidRPr="00622A84" w:rsidRDefault="00622A84" w:rsidP="00074DD8">
      <w:pPr>
        <w:pStyle w:val="tytuinformacji"/>
        <w:rPr>
          <w:shd w:val="clear" w:color="auto" w:fill="FFFFFF"/>
        </w:rPr>
      </w:pPr>
      <w:bookmarkStart w:id="0" w:name="_GoBack"/>
      <w:r w:rsidRPr="00622A84">
        <w:rPr>
          <w:shd w:val="clear" w:color="auto" w:fill="FFFFFF"/>
        </w:rPr>
        <w:t xml:space="preserve">Turystyka w Unii Europejskiej </w:t>
      </w:r>
      <w:r w:rsidR="00C67397">
        <w:rPr>
          <w:shd w:val="clear" w:color="auto" w:fill="FFFFFF"/>
        </w:rPr>
        <w:t xml:space="preserve">– dane za </w:t>
      </w:r>
      <w:r w:rsidRPr="00622A84">
        <w:rPr>
          <w:shd w:val="clear" w:color="auto" w:fill="FFFFFF"/>
        </w:rPr>
        <w:t>2018 r.</w:t>
      </w:r>
    </w:p>
    <w:bookmarkEnd w:id="0"/>
    <w:p w14:paraId="668E16C5" w14:textId="77777777" w:rsidR="00393761" w:rsidRPr="00001C5B" w:rsidRDefault="00393761" w:rsidP="00074DD8">
      <w:pPr>
        <w:pStyle w:val="tytuinformacji"/>
        <w:rPr>
          <w:sz w:val="32"/>
        </w:rPr>
      </w:pPr>
    </w:p>
    <w:p w14:paraId="668E16C6" w14:textId="67CAF9A8" w:rsidR="005916D7" w:rsidRPr="00074DD8" w:rsidRDefault="00003437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8E1764" wp14:editId="1FCD343D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25552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178E" w14:textId="255B1146" w:rsidR="00933EC1" w:rsidRPr="00B66B19" w:rsidRDefault="00A2712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668E17A3">
                                <v:shape id="Obraz 33" o:spid="_x0000_i1025" type="#_x0000_t75" style="width:26.25pt;height:26.2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665EB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665EB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5868E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668E178F" w14:textId="3D653C8E" w:rsidR="00933EC1" w:rsidRPr="00A54B0F" w:rsidRDefault="00A54B0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A54B0F">
                              <w:t>Wzrost liczby korzystając</w:t>
                            </w:r>
                            <w:r>
                              <w:t>ych z tury</w:t>
                            </w:r>
                            <w:r w:rsidRPr="00A54B0F">
                              <w:t>stycznych obiektów noclegowych</w:t>
                            </w:r>
                            <w:r w:rsidR="00D71845">
                              <w:t xml:space="preserve"> w  porównaniu z 2017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17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77.6pt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" fillcolor="#001d77" stroked="f">
                <v:textbox>
                  <w:txbxContent>
                    <w:p w14:paraId="668E178E" w14:textId="255B1146" w:rsidR="00933EC1" w:rsidRPr="00B66B19" w:rsidRDefault="001E186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668E17A3">
                          <v:shape id="Obraz 33" o:spid="_x0000_i1025" type="#_x0000_t75" style="width:26.2pt;height:26.2pt;visibility:visible;mso-wrap-style:squar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665EB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665EB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5868E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668E178F" w14:textId="3D653C8E" w:rsidR="00933EC1" w:rsidRPr="00A54B0F" w:rsidRDefault="00A54B0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A54B0F">
                        <w:t>Wzrost liczby korzystając</w:t>
                      </w:r>
                      <w:r>
                        <w:t>ych z tury</w:t>
                      </w:r>
                      <w:r w:rsidRPr="00A54B0F">
                        <w:t>stycznych obiektów noclegowych</w:t>
                      </w:r>
                      <w:r w:rsidR="00D71845">
                        <w:t xml:space="preserve"> w  porównaniu z 2017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845">
        <w:t>L</w:t>
      </w:r>
      <w:r w:rsidR="00CC42E6">
        <w:t>iczba turystów korzystają</w:t>
      </w:r>
      <w:r w:rsidR="00982A97">
        <w:t>cych z </w:t>
      </w:r>
      <w:r w:rsidR="00665EB0" w:rsidRPr="00665EB0">
        <w:t>turystycznych obiektów noclegowych w krajach UE systematycznie wzrasta od ponad 10 lat</w:t>
      </w:r>
      <w:r w:rsidR="00982A97">
        <w:br/>
      </w:r>
      <w:r w:rsidR="00665EB0" w:rsidRPr="00665EB0">
        <w:t>i w 2018 r. osiągnęła wartość 1 083,3 mln</w:t>
      </w:r>
    </w:p>
    <w:p w14:paraId="668E16C7" w14:textId="77777777"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70D884A2" w14:textId="77777777" w:rsidR="00D71845" w:rsidRDefault="00D71845" w:rsidP="006C6056">
      <w:pPr>
        <w:pStyle w:val="Nagwek1"/>
        <w:rPr>
          <w:shd w:val="clear" w:color="auto" w:fill="FFFFFF"/>
        </w:rPr>
      </w:pPr>
    </w:p>
    <w:p w14:paraId="6FD0D73E" w14:textId="77777777" w:rsidR="00D71845" w:rsidRDefault="00D71845" w:rsidP="006C6056">
      <w:pPr>
        <w:pStyle w:val="Nagwek1"/>
        <w:rPr>
          <w:shd w:val="clear" w:color="auto" w:fill="FFFFFF"/>
        </w:rPr>
      </w:pPr>
    </w:p>
    <w:p w14:paraId="668E16C8" w14:textId="64E58B9A" w:rsidR="00C22105" w:rsidRPr="00A44097" w:rsidRDefault="009227A6" w:rsidP="006C6056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68E1766" wp14:editId="35837B8C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1790" w14:textId="38F16B46" w:rsidR="00074DD8" w:rsidRPr="00074DD8" w:rsidRDefault="00665EB0" w:rsidP="000403A7">
                            <w:pPr>
                              <w:pStyle w:val="tekstzboku"/>
                            </w:pPr>
                            <w:r w:rsidRPr="00665EB0">
                              <w:t>W krajach Unii Europejskiej w</w:t>
                            </w:r>
                            <w:r w:rsidR="000403A7">
                              <w:t> </w:t>
                            </w:r>
                            <w:r w:rsidRPr="00665EB0">
                              <w:t xml:space="preserve">2018 r. </w:t>
                            </w:r>
                            <w:r w:rsidR="00CC42E6">
                              <w:t>funkcjonowało</w:t>
                            </w:r>
                            <w:r w:rsidRPr="00665EB0">
                              <w:t xml:space="preserve"> 684,7 tys. </w:t>
                            </w:r>
                            <w:r w:rsidR="00F55C22">
                              <w:t xml:space="preserve">turystycznych </w:t>
                            </w:r>
                            <w:r w:rsidRPr="00665EB0">
                              <w:t>obiektów noclegow</w:t>
                            </w:r>
                            <w:r w:rsidR="00F55C22">
                              <w:t>y</w:t>
                            </w:r>
                            <w:r w:rsidRPr="00665EB0">
                              <w:t>ch</w:t>
                            </w:r>
                          </w:p>
                          <w:p w14:paraId="668E1791" w14:textId="77777777" w:rsidR="00D616D2" w:rsidRPr="00D616D2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17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8+XOU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668E1790" w14:textId="38F16B46" w:rsidR="00074DD8" w:rsidRPr="00074DD8" w:rsidRDefault="00665EB0" w:rsidP="000403A7">
                      <w:pPr>
                        <w:pStyle w:val="tekstzboku"/>
                      </w:pPr>
                      <w:r w:rsidRPr="00665EB0">
                        <w:t>W krajach Unii Europejskiej w</w:t>
                      </w:r>
                      <w:r w:rsidR="000403A7">
                        <w:t> </w:t>
                      </w:r>
                      <w:r w:rsidRPr="00665EB0">
                        <w:t xml:space="preserve">2018 r. </w:t>
                      </w:r>
                      <w:r w:rsidR="00CC42E6">
                        <w:t>funkcjonowało</w:t>
                      </w:r>
                      <w:r w:rsidRPr="00665EB0">
                        <w:t xml:space="preserve"> 684,7 tys. </w:t>
                      </w:r>
                      <w:r w:rsidR="00F55C22">
                        <w:t xml:space="preserve">turystycznych </w:t>
                      </w:r>
                      <w:r w:rsidRPr="00665EB0">
                        <w:t>obiektów noclegow</w:t>
                      </w:r>
                      <w:r w:rsidR="00F55C22">
                        <w:t>y</w:t>
                      </w:r>
                      <w:r w:rsidRPr="00665EB0">
                        <w:t>ch</w:t>
                      </w:r>
                    </w:p>
                    <w:p w14:paraId="668E1791" w14:textId="77777777" w:rsidR="00D616D2" w:rsidRPr="00D616D2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074DD8">
        <w:rPr>
          <w:shd w:val="clear" w:color="auto" w:fill="FFFFFF"/>
        </w:rPr>
        <w:t xml:space="preserve"> </w:t>
      </w:r>
      <w:r w:rsidR="00665EB0" w:rsidRPr="00A44097">
        <w:t>Baza noclegowa turystyki i jej wykorzystanie</w:t>
      </w:r>
      <w:r w:rsidR="00665EB0" w:rsidRPr="00A44097">
        <w:rPr>
          <w:rStyle w:val="Odwoanieprzypisudolnego"/>
        </w:rPr>
        <w:footnoteReference w:id="1"/>
      </w:r>
    </w:p>
    <w:p w14:paraId="2A230D78" w14:textId="39DE668D" w:rsidR="00665EB0" w:rsidRPr="00665EB0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>W 2018 roku w krajach U</w:t>
      </w:r>
      <w:r w:rsidR="00CC42E6">
        <w:rPr>
          <w:shd w:val="clear" w:color="auto" w:fill="FFFFFF"/>
        </w:rPr>
        <w:t xml:space="preserve">nii </w:t>
      </w:r>
      <w:r w:rsidRPr="00665EB0">
        <w:rPr>
          <w:shd w:val="clear" w:color="auto" w:fill="FFFFFF"/>
        </w:rPr>
        <w:t>E</w:t>
      </w:r>
      <w:r w:rsidR="00CC42E6">
        <w:rPr>
          <w:shd w:val="clear" w:color="auto" w:fill="FFFFFF"/>
        </w:rPr>
        <w:t>uropejskiej</w:t>
      </w:r>
      <w:r w:rsidRPr="00665EB0">
        <w:rPr>
          <w:shd w:val="clear" w:color="auto" w:fill="FFFFFF"/>
        </w:rPr>
        <w:t xml:space="preserve"> prowadziło działalność 684,7 ty</w:t>
      </w:r>
      <w:r w:rsidR="00276E3F">
        <w:rPr>
          <w:shd w:val="clear" w:color="auto" w:fill="FFFFFF"/>
        </w:rPr>
        <w:t>s. turystycznych obiektów nocle</w:t>
      </w:r>
      <w:r w:rsidRPr="00665EB0">
        <w:rPr>
          <w:shd w:val="clear" w:color="auto" w:fill="FFFFFF"/>
        </w:rPr>
        <w:t>gowych, wśród których 29,6% stanowiły hotele i podobne obiekty zakwaterowania, 66,5% obiekty noclegowe turystyczne i miejsca krótkotrwałego zakwaterowania</w:t>
      </w:r>
      <w:r w:rsidR="00CC42E6">
        <w:rPr>
          <w:shd w:val="clear" w:color="auto" w:fill="FFFFFF"/>
        </w:rPr>
        <w:t xml:space="preserve"> </w:t>
      </w:r>
      <w:r w:rsidR="00CC42E6">
        <w:rPr>
          <w:shd w:val="clear" w:color="auto" w:fill="FFFFFF"/>
        </w:rPr>
        <w:br/>
        <w:t>(np. schroniska młodzieżowe, ośrodki wypoczynkowe</w:t>
      </w:r>
      <w:r w:rsidR="00D71845">
        <w:rPr>
          <w:shd w:val="clear" w:color="auto" w:fill="FFFFFF"/>
        </w:rPr>
        <w:t>)</w:t>
      </w:r>
      <w:r w:rsidRPr="00665EB0">
        <w:rPr>
          <w:shd w:val="clear" w:color="auto" w:fill="FFFFFF"/>
        </w:rPr>
        <w:t xml:space="preserve">, a 4,1% pola kempingowe i pola namiotowe. </w:t>
      </w:r>
    </w:p>
    <w:p w14:paraId="1DC886A5" w14:textId="7184DEEB" w:rsidR="00665EB0" w:rsidRPr="00665EB0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 xml:space="preserve">W porównaniu </w:t>
      </w:r>
      <w:r w:rsidR="00D71845">
        <w:rPr>
          <w:shd w:val="clear" w:color="auto" w:fill="FFFFFF"/>
        </w:rPr>
        <w:t>z</w:t>
      </w:r>
      <w:r w:rsidRPr="00665EB0">
        <w:rPr>
          <w:shd w:val="clear" w:color="auto" w:fill="FFFFFF"/>
        </w:rPr>
        <w:t xml:space="preserve"> rok</w:t>
      </w:r>
      <w:r w:rsidR="00D71845">
        <w:rPr>
          <w:shd w:val="clear" w:color="auto" w:fill="FFFFFF"/>
        </w:rPr>
        <w:t>iem</w:t>
      </w:r>
      <w:r w:rsidRPr="00665EB0">
        <w:rPr>
          <w:shd w:val="clear" w:color="auto" w:fill="FFFFFF"/>
        </w:rPr>
        <w:t xml:space="preserve"> poprzedni</w:t>
      </w:r>
      <w:r w:rsidR="00D71845">
        <w:rPr>
          <w:shd w:val="clear" w:color="auto" w:fill="FFFFFF"/>
        </w:rPr>
        <w:t>m</w:t>
      </w:r>
      <w:r w:rsidRPr="00665EB0">
        <w:rPr>
          <w:shd w:val="clear" w:color="auto" w:fill="FFFFFF"/>
        </w:rPr>
        <w:t xml:space="preserve"> liczba turystycz</w:t>
      </w:r>
      <w:r w:rsidR="00276E3F">
        <w:rPr>
          <w:shd w:val="clear" w:color="auto" w:fill="FFFFFF"/>
        </w:rPr>
        <w:t>nych obiektów noclegowych zwięk</w:t>
      </w:r>
      <w:r w:rsidRPr="00665EB0">
        <w:rPr>
          <w:shd w:val="clear" w:color="auto" w:fill="FFFFFF"/>
        </w:rPr>
        <w:t>szyła się o 4,3%, w tym najwięcej bo o 6,7% w obiektach n</w:t>
      </w:r>
      <w:r w:rsidR="00276E3F">
        <w:rPr>
          <w:shd w:val="clear" w:color="auto" w:fill="FFFFFF"/>
        </w:rPr>
        <w:t>oclegowych turystycznych i miej</w:t>
      </w:r>
      <w:r w:rsidRPr="00665EB0">
        <w:rPr>
          <w:shd w:val="clear" w:color="auto" w:fill="FFFFFF"/>
        </w:rPr>
        <w:t xml:space="preserve">scach krótkotrwałego zakwaterowania. </w:t>
      </w:r>
    </w:p>
    <w:p w14:paraId="30E21772" w14:textId="7E444A31" w:rsidR="00665EB0" w:rsidRPr="00665EB0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 xml:space="preserve">Najwięcej turystycznych obiektów noclegowych w 2018 r. znajdowało się we Włoszech – </w:t>
      </w:r>
      <w:r w:rsidR="000403A7">
        <w:rPr>
          <w:shd w:val="clear" w:color="auto" w:fill="FFFFFF"/>
        </w:rPr>
        <w:br/>
      </w:r>
      <w:r w:rsidRPr="00665EB0">
        <w:rPr>
          <w:shd w:val="clear" w:color="auto" w:fill="FFFFFF"/>
        </w:rPr>
        <w:t xml:space="preserve">216,1 tys. (31,6% ogółu obiektów UE), następnie w Chorwacji – 108,2 tys. (15,8%), </w:t>
      </w:r>
      <w:r w:rsidR="00DE230D">
        <w:rPr>
          <w:shd w:val="clear" w:color="auto" w:fill="FFFFFF"/>
        </w:rPr>
        <w:t xml:space="preserve">Wielkiej Brytanii </w:t>
      </w:r>
      <w:r w:rsidR="00DE230D" w:rsidRPr="00665EB0">
        <w:rPr>
          <w:shd w:val="clear" w:color="auto" w:fill="FFFFFF"/>
        </w:rPr>
        <w:t>–</w:t>
      </w:r>
      <w:r w:rsidR="00DE230D">
        <w:rPr>
          <w:shd w:val="clear" w:color="auto" w:fill="FFFFFF"/>
        </w:rPr>
        <w:t xml:space="preserve"> 84,6 tys. (12,4%), </w:t>
      </w:r>
      <w:r w:rsidRPr="00665EB0">
        <w:rPr>
          <w:shd w:val="clear" w:color="auto" w:fill="FFFFFF"/>
        </w:rPr>
        <w:t xml:space="preserve">Hiszpanii – 51,4 tys. (7,5%) i Niemczech – 50,0 tys. (7,3%). W Polsce funkcjonowało 11,1 tys. obiektów i stanowiły one 1,6% ogółu turystycznych obiektów noclegowych w Unii Europejskiej. </w:t>
      </w:r>
    </w:p>
    <w:p w14:paraId="668E16C9" w14:textId="3ADAAB9E" w:rsidR="0089448A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 xml:space="preserve">Struktura bazy noclegowej w poszczególnych krajach Unii Europejskiej </w:t>
      </w:r>
      <w:r w:rsidR="00CC42E6">
        <w:rPr>
          <w:shd w:val="clear" w:color="auto" w:fill="FFFFFF"/>
        </w:rPr>
        <w:t>była</w:t>
      </w:r>
      <w:r w:rsidRPr="00665EB0">
        <w:rPr>
          <w:shd w:val="clear" w:color="auto" w:fill="FFFFFF"/>
        </w:rPr>
        <w:t xml:space="preserve"> zróżnicowana. </w:t>
      </w:r>
      <w:r w:rsidR="0086520B">
        <w:rPr>
          <w:shd w:val="clear" w:color="auto" w:fill="FFFFFF"/>
        </w:rPr>
        <w:br/>
      </w:r>
      <w:r w:rsidRPr="00665EB0">
        <w:rPr>
          <w:shd w:val="clear" w:color="auto" w:fill="FFFFFF"/>
        </w:rPr>
        <w:t>Na Cyprze i Malcie w 2018 r. niemal wszystkie turystyczne obiekty noclegowe należały do grupy hotele i podobne obiekty (odpowiednio 99,8% i 91,9%), podczas gdy w Chorwacji obiekty takie stanowiły tylko ok. 1% ogółu obiektów.</w:t>
      </w:r>
    </w:p>
    <w:p w14:paraId="4EBB93AD" w14:textId="0F4329F4" w:rsidR="00D71845" w:rsidRDefault="00D71845" w:rsidP="00665EB0">
      <w:pPr>
        <w:rPr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6A128A9" wp14:editId="227BB93A">
                <wp:simplePos x="0" y="0"/>
                <wp:positionH relativeFrom="rightMargin">
                  <wp:posOffset>96981</wp:posOffset>
                </wp:positionH>
                <wp:positionV relativeFrom="paragraph">
                  <wp:posOffset>6985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9EAB" w14:textId="7209601A" w:rsidR="00665EB0" w:rsidRPr="00074DD8" w:rsidRDefault="00665EB0" w:rsidP="00665EB0">
                            <w:pPr>
                              <w:pStyle w:val="tekstzboku"/>
                            </w:pPr>
                            <w:r>
                              <w:t>Obiekty noclegowe zlokalizowane w pięciu krajach oferowały ok. 70%</w:t>
                            </w:r>
                            <w:r w:rsidRPr="006549D3">
                              <w:t xml:space="preserve"> miejsc noclegowych </w:t>
                            </w:r>
                            <w:r>
                              <w:t>UE</w:t>
                            </w:r>
                          </w:p>
                          <w:p w14:paraId="25E8CD28" w14:textId="77777777" w:rsidR="00665EB0" w:rsidRPr="00D616D2" w:rsidRDefault="00665EB0" w:rsidP="00665EB0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28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margin-left:7.65pt;margin-top:.55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t+EQ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" filled="f" stroked="f">
                <v:textbox>
                  <w:txbxContent>
                    <w:p w14:paraId="44199EAB" w14:textId="7209601A" w:rsidR="00665EB0" w:rsidRPr="00074DD8" w:rsidRDefault="00665EB0" w:rsidP="00665EB0">
                      <w:pPr>
                        <w:pStyle w:val="tekstzboku"/>
                      </w:pPr>
                      <w:r>
                        <w:t>Obiekty noclegowe zlokalizowane w pięciu krajach oferowały ok. 70%</w:t>
                      </w:r>
                      <w:r w:rsidRPr="006549D3">
                        <w:t xml:space="preserve"> miejsc noclegowych </w:t>
                      </w:r>
                      <w:r>
                        <w:t>UE</w:t>
                      </w:r>
                    </w:p>
                    <w:p w14:paraId="25E8CD28" w14:textId="77777777" w:rsidR="00665EB0" w:rsidRPr="00D616D2" w:rsidRDefault="00665EB0" w:rsidP="00665EB0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5EB0" w:rsidRPr="00665EB0">
        <w:rPr>
          <w:shd w:val="clear" w:color="auto" w:fill="FFFFFF"/>
        </w:rPr>
        <w:t>W 2018 r. turystyczne obiekty noclegowe</w:t>
      </w:r>
      <w:r>
        <w:rPr>
          <w:shd w:val="clear" w:color="auto" w:fill="FFFFFF"/>
        </w:rPr>
        <w:t xml:space="preserve"> zlokalizowane</w:t>
      </w:r>
      <w:r w:rsidR="00665EB0" w:rsidRPr="00665EB0">
        <w:rPr>
          <w:shd w:val="clear" w:color="auto" w:fill="FFFFFF"/>
        </w:rPr>
        <w:t xml:space="preserve"> na obszarze Unii Europejskiej oferowały 32,2 mln miejsc noclegowych. </w:t>
      </w:r>
      <w:r w:rsidR="00CC42E6">
        <w:rPr>
          <w:shd w:val="clear" w:color="auto" w:fill="FFFFFF"/>
        </w:rPr>
        <w:t>Największą liczbą</w:t>
      </w:r>
      <w:r w:rsidR="00665EB0" w:rsidRPr="00665EB0">
        <w:rPr>
          <w:shd w:val="clear" w:color="auto" w:fill="FFFFFF"/>
        </w:rPr>
        <w:t xml:space="preserve"> miejsc noclegowych </w:t>
      </w:r>
      <w:r w:rsidR="00CC42E6">
        <w:rPr>
          <w:shd w:val="clear" w:color="auto" w:fill="FFFFFF"/>
        </w:rPr>
        <w:t>dysponowały</w:t>
      </w:r>
      <w:r w:rsidR="00665EB0" w:rsidRPr="00665EB0">
        <w:rPr>
          <w:shd w:val="clear" w:color="auto" w:fill="FFFFFF"/>
        </w:rPr>
        <w:t xml:space="preserve"> obiekty znajdujące się we Francji oraz Włoszech – po ponad 5 mln, co stanowiło pra</w:t>
      </w:r>
      <w:r w:rsidR="00276E3F">
        <w:rPr>
          <w:shd w:val="clear" w:color="auto" w:fill="FFFFFF"/>
        </w:rPr>
        <w:t>wie 1/3 wszystkich miejsc nocle</w:t>
      </w:r>
      <w:r w:rsidR="00665EB0" w:rsidRPr="00665EB0">
        <w:rPr>
          <w:shd w:val="clear" w:color="auto" w:fill="FFFFFF"/>
        </w:rPr>
        <w:t xml:space="preserve">gowych w UE. W Polsce turystyczne obiekty noclegowe w 2018 r. dysponowały 798,7 tys. miejsc. </w:t>
      </w:r>
      <w:r w:rsidR="00665EB0" w:rsidRPr="00A44097">
        <w:rPr>
          <w:spacing w:val="-2"/>
          <w:shd w:val="clear" w:color="auto" w:fill="FFFFFF"/>
        </w:rPr>
        <w:t>W porównaniu do 2017 r. liczba miejsc noclegowyc</w:t>
      </w:r>
      <w:r w:rsidR="00276E3F" w:rsidRPr="00A44097">
        <w:rPr>
          <w:spacing w:val="-2"/>
          <w:shd w:val="clear" w:color="auto" w:fill="FFFFFF"/>
        </w:rPr>
        <w:t>h w krajach UE wzrosła nieznacz</w:t>
      </w:r>
      <w:r w:rsidR="000403A7" w:rsidRPr="00A44097">
        <w:rPr>
          <w:spacing w:val="-2"/>
          <w:shd w:val="clear" w:color="auto" w:fill="FFFFFF"/>
        </w:rPr>
        <w:t>nie (o </w:t>
      </w:r>
      <w:r w:rsidR="00665EB0" w:rsidRPr="00A44097">
        <w:rPr>
          <w:spacing w:val="-2"/>
          <w:shd w:val="clear" w:color="auto" w:fill="FFFFFF"/>
        </w:rPr>
        <w:t>1,6%).</w:t>
      </w:r>
      <w:r w:rsidR="00665EB0" w:rsidRPr="00665EB0">
        <w:rPr>
          <w:shd w:val="clear" w:color="auto" w:fill="FFFFFF"/>
        </w:rPr>
        <w:t xml:space="preserve"> Wskaźnik gęstości bazy noclegowej mierzony liczbą miejsc </w:t>
      </w:r>
      <w:r w:rsidR="000403A7">
        <w:rPr>
          <w:shd w:val="clear" w:color="auto" w:fill="FFFFFF"/>
        </w:rPr>
        <w:t>noclegowych przypadających na 1 km</w:t>
      </w:r>
      <w:r w:rsidR="000403A7" w:rsidRPr="00CC42E6">
        <w:rPr>
          <w:shd w:val="clear" w:color="auto" w:fill="FFFFFF"/>
          <w:vertAlign w:val="superscript"/>
        </w:rPr>
        <w:t>2</w:t>
      </w:r>
      <w:r w:rsidR="000403A7">
        <w:rPr>
          <w:shd w:val="clear" w:color="auto" w:fill="FFFFFF"/>
        </w:rPr>
        <w:t xml:space="preserve"> powierzchni UE wyniósł </w:t>
      </w:r>
      <w:r w:rsidR="00665EB0" w:rsidRPr="00665EB0">
        <w:rPr>
          <w:shd w:val="clear" w:color="auto" w:fill="FFFFFF"/>
        </w:rPr>
        <w:t>7,4</w:t>
      </w:r>
      <w:r w:rsidR="00CC42E6">
        <w:rPr>
          <w:shd w:val="clear" w:color="auto" w:fill="FFFFFF"/>
        </w:rPr>
        <w:t>.</w:t>
      </w:r>
      <w:r w:rsidR="00665EB0" w:rsidRPr="00665EB0">
        <w:rPr>
          <w:shd w:val="clear" w:color="auto" w:fill="FFFFFF"/>
        </w:rPr>
        <w:t xml:space="preserve"> </w:t>
      </w:r>
      <w:r w:rsidR="00CC42E6">
        <w:rPr>
          <w:shd w:val="clear" w:color="auto" w:fill="FFFFFF"/>
        </w:rPr>
        <w:t>N</w:t>
      </w:r>
      <w:r w:rsidR="00665EB0" w:rsidRPr="00665EB0">
        <w:rPr>
          <w:shd w:val="clear" w:color="auto" w:fill="FFFFFF"/>
        </w:rPr>
        <w:t>ajwyższą wartość pr</w:t>
      </w:r>
      <w:r w:rsidR="000403A7">
        <w:rPr>
          <w:shd w:val="clear" w:color="auto" w:fill="FFFFFF"/>
        </w:rPr>
        <w:t xml:space="preserve">zyjął </w:t>
      </w:r>
      <w:r w:rsidR="00CC42E6">
        <w:rPr>
          <w:shd w:val="clear" w:color="auto" w:fill="FFFFFF"/>
        </w:rPr>
        <w:t>na</w:t>
      </w:r>
      <w:r w:rsidR="000403A7">
        <w:rPr>
          <w:shd w:val="clear" w:color="auto" w:fill="FFFFFF"/>
        </w:rPr>
        <w:t xml:space="preserve"> Malcie </w:t>
      </w:r>
      <w:r w:rsidR="000403A7" w:rsidRPr="00665EB0">
        <w:rPr>
          <w:shd w:val="clear" w:color="auto" w:fill="FFFFFF"/>
        </w:rPr>
        <w:t>–</w:t>
      </w:r>
      <w:r w:rsidR="000403A7">
        <w:rPr>
          <w:shd w:val="clear" w:color="auto" w:fill="FFFFFF"/>
        </w:rPr>
        <w:t xml:space="preserve"> </w:t>
      </w:r>
      <w:r w:rsidR="00276E3F">
        <w:rPr>
          <w:shd w:val="clear" w:color="auto" w:fill="FFFFFF"/>
        </w:rPr>
        <w:t>143,6. W Pol</w:t>
      </w:r>
      <w:r w:rsidR="00665EB0" w:rsidRPr="00665EB0">
        <w:rPr>
          <w:shd w:val="clear" w:color="auto" w:fill="FFFFFF"/>
        </w:rPr>
        <w:t xml:space="preserve">sce wskaźnik ten wyniósł 2,6. </w:t>
      </w:r>
    </w:p>
    <w:p w14:paraId="0F3A22D9" w14:textId="44579408" w:rsidR="00CE2B24" w:rsidRPr="00CE2B24" w:rsidRDefault="00665EB0" w:rsidP="009873D6">
      <w:pPr>
        <w:rPr>
          <w:shd w:val="clear" w:color="auto" w:fill="FFFFFF"/>
        </w:rPr>
      </w:pPr>
      <w:r w:rsidRPr="00665EB0">
        <w:rPr>
          <w:shd w:val="clear" w:color="auto" w:fill="FFFFFF"/>
        </w:rPr>
        <w:t>Najwięcej miejsc noclegowych oferowały obiekty hotelowe (14,1 mln, tj. prawie 43,7% wszystkich miejsc noclegowych w</w:t>
      </w:r>
      <w:r w:rsidR="00276E3F">
        <w:rPr>
          <w:shd w:val="clear" w:color="auto" w:fill="FFFFFF"/>
        </w:rPr>
        <w:t xml:space="preserve"> UE), w tym 2/3 z nich znajdowa</w:t>
      </w:r>
      <w:r w:rsidRPr="00665EB0">
        <w:rPr>
          <w:shd w:val="clear" w:color="auto" w:fill="FFFFFF"/>
        </w:rPr>
        <w:t>ło się w pięciu krajach: Niemcy, Hiszpania, Francja, Włochy</w:t>
      </w:r>
      <w:r w:rsidR="00D71845">
        <w:rPr>
          <w:shd w:val="clear" w:color="auto" w:fill="FFFFFF"/>
        </w:rPr>
        <w:t xml:space="preserve"> i</w:t>
      </w:r>
      <w:r w:rsidRPr="00665EB0">
        <w:rPr>
          <w:shd w:val="clear" w:color="auto" w:fill="FFFFFF"/>
        </w:rPr>
        <w:t xml:space="preserve"> Wielka Brytania, w których liczba miejsc noclegowych wynosiła od 1,3 mln do 2,3 mln. W Polsce hot</w:t>
      </w:r>
      <w:r w:rsidR="000403A7">
        <w:rPr>
          <w:shd w:val="clear" w:color="auto" w:fill="FFFFFF"/>
        </w:rPr>
        <w:t>ele i podobne obiekty w </w:t>
      </w:r>
      <w:r w:rsidRPr="00665EB0">
        <w:rPr>
          <w:shd w:val="clear" w:color="auto" w:fill="FFFFFF"/>
        </w:rPr>
        <w:t xml:space="preserve">2018 r. dysponowały 354 tys. miejsc noclegowych. W porównaniu </w:t>
      </w:r>
      <w:r w:rsidR="00D71845">
        <w:rPr>
          <w:shd w:val="clear" w:color="auto" w:fill="FFFFFF"/>
        </w:rPr>
        <w:t>z</w:t>
      </w:r>
      <w:r w:rsidRPr="00665EB0">
        <w:rPr>
          <w:shd w:val="clear" w:color="auto" w:fill="FFFFFF"/>
        </w:rPr>
        <w:t xml:space="preserve"> 2017 r. liczba miejsc nocle</w:t>
      </w:r>
      <w:r w:rsidR="00A80A19">
        <w:rPr>
          <w:shd w:val="clear" w:color="auto" w:fill="FFFFFF"/>
        </w:rPr>
        <w:t xml:space="preserve">gowych w tego typu obiektach w </w:t>
      </w:r>
      <w:r w:rsidRPr="00665EB0">
        <w:rPr>
          <w:shd w:val="clear" w:color="auto" w:fill="FFFFFF"/>
        </w:rPr>
        <w:t>UE wzrosła w niew</w:t>
      </w:r>
      <w:r w:rsidR="00276E3F">
        <w:rPr>
          <w:shd w:val="clear" w:color="auto" w:fill="FFFFFF"/>
        </w:rPr>
        <w:t>ielkim stopniu (o 1,2%). Najbar</w:t>
      </w:r>
      <w:r w:rsidRPr="00665EB0">
        <w:rPr>
          <w:shd w:val="clear" w:color="auto" w:fill="FFFFFF"/>
        </w:rPr>
        <w:t>dziej wzrosła na Litwie (o 6,8%), w</w:t>
      </w:r>
      <w:r w:rsidR="00D71845">
        <w:rPr>
          <w:shd w:val="clear" w:color="auto" w:fill="FFFFFF"/>
        </w:rPr>
        <w:t> </w:t>
      </w:r>
      <w:r w:rsidRPr="00665EB0">
        <w:rPr>
          <w:shd w:val="clear" w:color="auto" w:fill="FFFFFF"/>
        </w:rPr>
        <w:t>Holandii (5,9%), w Belgii (5,4%), na Słowacji (5,0%), w Danii (4,6%), w Grecji (3,5%) i w Czechach (3,2%). W Polsce</w:t>
      </w:r>
      <w:r w:rsidR="00276E3F">
        <w:rPr>
          <w:shd w:val="clear" w:color="auto" w:fill="FFFFFF"/>
        </w:rPr>
        <w:t xml:space="preserve"> liczba miejsc noclegowych w ho</w:t>
      </w:r>
      <w:r w:rsidR="000403A7">
        <w:rPr>
          <w:shd w:val="clear" w:color="auto" w:fill="FFFFFF"/>
        </w:rPr>
        <w:t>telach i </w:t>
      </w:r>
      <w:r w:rsidRPr="00665EB0">
        <w:rPr>
          <w:shd w:val="clear" w:color="auto" w:fill="FFFFFF"/>
        </w:rPr>
        <w:t>podobnych obiektach  wzrosła o 5,3%. Spadek liczby miejsc noclegowych w bazie hotelowej odnotowano w Bułgarii (o 5%), w Portugalii (1,2%), we Francji (1,1%), na Litwie (0,5%)</w:t>
      </w:r>
      <w:r w:rsidR="00D71845">
        <w:rPr>
          <w:shd w:val="clear" w:color="auto" w:fill="FFFFFF"/>
        </w:rPr>
        <w:t xml:space="preserve"> </w:t>
      </w:r>
      <w:r w:rsidRPr="00665EB0">
        <w:rPr>
          <w:shd w:val="clear" w:color="auto" w:fill="FFFFFF"/>
        </w:rPr>
        <w:t xml:space="preserve">i w Estonii (0,1%). </w:t>
      </w:r>
    </w:p>
    <w:p w14:paraId="3E00479A" w14:textId="046FD737" w:rsidR="009873D6" w:rsidRPr="009873D6" w:rsidRDefault="009873D6" w:rsidP="009873D6">
      <w:pPr>
        <w:rPr>
          <w:b/>
          <w:spacing w:val="-2"/>
          <w:sz w:val="18"/>
          <w:shd w:val="clear" w:color="auto" w:fill="FFFFFF"/>
        </w:rPr>
      </w:pPr>
      <w:r w:rsidRPr="00600EFC">
        <w:rPr>
          <w:b/>
          <w:spacing w:val="-2"/>
          <w:sz w:val="18"/>
          <w:shd w:val="clear" w:color="auto" w:fill="FFFFFF"/>
        </w:rPr>
        <w:lastRenderedPageBreak/>
        <w:t xml:space="preserve">Tablica 1. </w:t>
      </w:r>
      <w:r w:rsidRPr="009873D6">
        <w:rPr>
          <w:b/>
          <w:spacing w:val="-2"/>
          <w:sz w:val="18"/>
          <w:shd w:val="clear" w:color="auto" w:fill="FFFFFF"/>
        </w:rPr>
        <w:t>Turystyczne obiekty noclegowe i ich wykorzystanie w 2018 r.</w:t>
      </w:r>
    </w:p>
    <w:tbl>
      <w:tblPr>
        <w:tblStyle w:val="Tabela-Siatka"/>
        <w:tblW w:w="4746" w:type="pct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91"/>
        <w:gridCol w:w="1077"/>
        <w:gridCol w:w="1077"/>
        <w:gridCol w:w="1078"/>
        <w:gridCol w:w="1078"/>
        <w:gridCol w:w="1078"/>
        <w:gridCol w:w="1078"/>
      </w:tblGrid>
      <w:tr w:rsidR="009873D6" w:rsidRPr="00DF3E7C" w14:paraId="61BFF934" w14:textId="77777777" w:rsidTr="009A196B">
        <w:trPr>
          <w:trHeight w:val="397"/>
        </w:trPr>
        <w:tc>
          <w:tcPr>
            <w:tcW w:w="778" w:type="pct"/>
            <w:vMerge w:val="restart"/>
            <w:tcBorders>
              <w:top w:val="nil"/>
              <w:bottom w:val="single" w:sz="4" w:space="0" w:color="212492"/>
              <w:right w:val="single" w:sz="4" w:space="0" w:color="212492"/>
            </w:tcBorders>
            <w:vAlign w:val="center"/>
          </w:tcPr>
          <w:p w14:paraId="26201EAE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PAŃSTWO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945B647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Obiekty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26E9D0E" w14:textId="77777777" w:rsidR="009873D6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Miejsca</w:t>
            </w:r>
          </w:p>
          <w:p w14:paraId="288C0511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noclegowe</w:t>
            </w:r>
          </w:p>
        </w:tc>
        <w:tc>
          <w:tcPr>
            <w:tcW w:w="1408" w:type="pct"/>
            <w:gridSpan w:val="2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EAB34FE" w14:textId="77777777" w:rsidR="009873D6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Turyści korzystający</w:t>
            </w:r>
          </w:p>
          <w:p w14:paraId="291CC99E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z noclegów</w:t>
            </w:r>
          </w:p>
        </w:tc>
        <w:tc>
          <w:tcPr>
            <w:tcW w:w="1408" w:type="pct"/>
            <w:gridSpan w:val="2"/>
            <w:tcBorders>
              <w:top w:val="nil"/>
              <w:left w:val="single" w:sz="4" w:space="0" w:color="212492"/>
              <w:bottom w:val="single" w:sz="4" w:space="0" w:color="212492"/>
            </w:tcBorders>
            <w:vAlign w:val="center"/>
          </w:tcPr>
          <w:p w14:paraId="506F87F7" w14:textId="77777777" w:rsidR="009873D6" w:rsidRPr="00DF3E7C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Udzielone noclegi</w:t>
            </w:r>
          </w:p>
        </w:tc>
      </w:tr>
      <w:tr w:rsidR="009873D6" w:rsidRPr="00DF3E7C" w14:paraId="11537416" w14:textId="77777777" w:rsidTr="009A196B">
        <w:trPr>
          <w:trHeight w:val="397"/>
        </w:trPr>
        <w:tc>
          <w:tcPr>
            <w:tcW w:w="778" w:type="pct"/>
            <w:vMerge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CC81E01" w14:textId="77777777" w:rsidR="009873D6" w:rsidRDefault="009873D6" w:rsidP="00A44097">
            <w:pPr>
              <w:spacing w:before="0" w:after="0" w:line="220" w:lineRule="exact"/>
              <w:ind w:right="-91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433C53C" w14:textId="77777777" w:rsidR="009873D6" w:rsidRPr="00DF3E7C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1226378" w14:textId="77777777" w:rsidR="009873D6" w:rsidRPr="00DF3E7C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F4EAFCF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ogółem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8BB8166" w14:textId="77777777" w:rsidR="009873D6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w tym</w:t>
            </w:r>
          </w:p>
          <w:p w14:paraId="0C6000CC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zagraniczni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A0B444F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ogółem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7D487F5C" w14:textId="77777777" w:rsidR="009873D6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w tym</w:t>
            </w:r>
          </w:p>
          <w:p w14:paraId="614AE581" w14:textId="77777777" w:rsidR="009873D6" w:rsidRPr="00607700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turystom zagranicznym</w:t>
            </w:r>
          </w:p>
        </w:tc>
      </w:tr>
      <w:tr w:rsidR="009873D6" w:rsidRPr="00DF3E7C" w14:paraId="2203F145" w14:textId="77777777" w:rsidTr="009A196B">
        <w:trPr>
          <w:trHeight w:val="283"/>
        </w:trPr>
        <w:tc>
          <w:tcPr>
            <w:tcW w:w="778" w:type="pct"/>
            <w:vMerge/>
            <w:tcBorders>
              <w:top w:val="single" w:sz="4" w:space="0" w:color="212492"/>
              <w:bottom w:val="single" w:sz="12" w:space="0" w:color="212492"/>
              <w:right w:val="single" w:sz="4" w:space="0" w:color="212492"/>
            </w:tcBorders>
            <w:vAlign w:val="center"/>
          </w:tcPr>
          <w:p w14:paraId="49992AE3" w14:textId="77777777" w:rsidR="009873D6" w:rsidRDefault="009873D6" w:rsidP="00A44097">
            <w:pPr>
              <w:spacing w:before="0" w:after="0" w:line="220" w:lineRule="exact"/>
              <w:ind w:right="-91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2" w:type="pct"/>
            <w:gridSpan w:val="6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140F1777" w14:textId="77777777" w:rsidR="009873D6" w:rsidRPr="00DF3E7C" w:rsidRDefault="009873D6" w:rsidP="00A44097">
            <w:pPr>
              <w:spacing w:before="0" w:after="0" w:line="220" w:lineRule="exact"/>
              <w:contextualSpacing/>
              <w:jc w:val="center"/>
              <w:rPr>
                <w:sz w:val="16"/>
                <w:szCs w:val="16"/>
              </w:rPr>
            </w:pPr>
            <w:r w:rsidRPr="00607700">
              <w:rPr>
                <w:sz w:val="16"/>
                <w:szCs w:val="16"/>
              </w:rPr>
              <w:t>w tys.</w:t>
            </w:r>
          </w:p>
        </w:tc>
      </w:tr>
      <w:tr w:rsidR="009873D6" w:rsidRPr="00DF3E7C" w14:paraId="577F948E" w14:textId="77777777" w:rsidTr="009A196B">
        <w:trPr>
          <w:trHeight w:val="397"/>
        </w:trPr>
        <w:tc>
          <w:tcPr>
            <w:tcW w:w="778" w:type="pct"/>
            <w:tcBorders>
              <w:top w:val="single" w:sz="12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C4BB105" w14:textId="77777777" w:rsidR="009873D6" w:rsidRDefault="009873D6" w:rsidP="00A44097">
            <w:pPr>
              <w:spacing w:before="0" w:after="0" w:line="220" w:lineRule="exact"/>
              <w:ind w:right="-91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703" w:type="pct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ED2D53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684,7</w:t>
            </w:r>
          </w:p>
        </w:tc>
        <w:tc>
          <w:tcPr>
            <w:tcW w:w="703" w:type="pct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949CAD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32 237,4</w:t>
            </w:r>
          </w:p>
        </w:tc>
        <w:tc>
          <w:tcPr>
            <w:tcW w:w="704" w:type="pct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EF74E4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1 083 262,4</w:t>
            </w:r>
          </w:p>
        </w:tc>
        <w:tc>
          <w:tcPr>
            <w:tcW w:w="704" w:type="pct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081FDA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435 209,0</w:t>
            </w:r>
          </w:p>
        </w:tc>
        <w:tc>
          <w:tcPr>
            <w:tcW w:w="704" w:type="pct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5EC30F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3 262 077,8</w:t>
            </w:r>
          </w:p>
        </w:tc>
        <w:tc>
          <w:tcPr>
            <w:tcW w:w="704" w:type="pct"/>
            <w:tcBorders>
              <w:top w:val="single" w:sz="12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411ED93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1 605 503,1</w:t>
            </w:r>
          </w:p>
        </w:tc>
      </w:tr>
      <w:tr w:rsidR="009873D6" w:rsidRPr="00DF3E7C" w14:paraId="0CDB5687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472DE4E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Austria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5C7448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21,5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89DDCD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1 045,6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B2E1B7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40 093,5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2E08BA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27 006,2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B5992C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125 229,2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2661B14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89 293,8</w:t>
            </w:r>
          </w:p>
        </w:tc>
      </w:tr>
      <w:tr w:rsidR="009873D6" w:rsidRPr="00DF3E7C" w14:paraId="5C6ECCDA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5932912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Belgia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99B81F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9,2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DD4AB5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389,8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2BD98D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17 559,9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E9E774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9 118,9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053D27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41 320,3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1ABCEA2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20 564,7</w:t>
            </w:r>
          </w:p>
        </w:tc>
      </w:tr>
      <w:tr w:rsidR="009873D6" w:rsidRPr="00DF3E7C" w14:paraId="0B616B62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1B5B15F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Bułgaria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2624BB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3,5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000CE1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335,6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9EFB4F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7 799,7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BFECC7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3 910,2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8F79FF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26 845,0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2EBFB3C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17 748,9</w:t>
            </w:r>
          </w:p>
        </w:tc>
      </w:tr>
      <w:tr w:rsidR="009873D6" w:rsidRPr="00DF3E7C" w14:paraId="16256DAC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3615303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Chorwacja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7BA6DB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108,2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60FADD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1 115,7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28DF3D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18 648,9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ACF6E6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16 635,0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2CBE26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89 567,7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22B85F1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83 139,9</w:t>
            </w:r>
          </w:p>
        </w:tc>
      </w:tr>
      <w:tr w:rsidR="009873D6" w:rsidRPr="00DF3E7C" w14:paraId="362A332B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4ED1150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Cypr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5BDFBE3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0,8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474F46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87,2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5D1E5F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3 177,2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06F416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2 665,7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72D6AE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17 164,2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446A1EB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16 247,3</w:t>
            </w:r>
          </w:p>
        </w:tc>
      </w:tr>
      <w:tr w:rsidR="009873D6" w:rsidRPr="00DF3E7C" w14:paraId="6AD3C6C6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BF9D1CA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Czechy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9F1EBB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9,4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0EC308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741,2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00DB61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21 247,2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90F08B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10 611,4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0CE1A1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55 513,9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5DCBB46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26 760,0</w:t>
            </w:r>
          </w:p>
        </w:tc>
      </w:tr>
      <w:tr w:rsidR="009873D6" w:rsidRPr="00DF3E7C" w14:paraId="03DDC120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97D9C74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2E7F82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1,2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8283DE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426,1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ADC585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7 966,7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235874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3 031,5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A94675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33 280,4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1A4C802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12 594,6</w:t>
            </w:r>
          </w:p>
        </w:tc>
      </w:tr>
      <w:tr w:rsidR="009873D6" w:rsidRPr="00DF3E7C" w14:paraId="2C8BAC71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D469162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Estonia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744559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1,5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395290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61,2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C52AAF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3 591,5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A76520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2 140,5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83681A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6 630,3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4E18E81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4 174,6</w:t>
            </w:r>
          </w:p>
        </w:tc>
      </w:tr>
      <w:tr w:rsidR="009873D6" w:rsidRPr="00DF3E7C" w14:paraId="487BBB30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56343D8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Finlandia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C2E724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1,4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CE42D6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260,1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8AF513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11 967,1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8CB81A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3 224,2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23A836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22 235,1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19CF805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6 842,6</w:t>
            </w:r>
          </w:p>
        </w:tc>
      </w:tr>
      <w:tr w:rsidR="009873D6" w:rsidRPr="00DF3E7C" w14:paraId="74EA03C4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DC8FDA6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Francja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2B7A1A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29,7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9C116B3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5 112,0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F90B01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171 475,9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CC10F4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52 505,9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5738F8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442 760,1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4D55F02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140 721,4</w:t>
            </w:r>
          </w:p>
        </w:tc>
      </w:tr>
      <w:tr w:rsidR="009873D6" w:rsidRPr="00DF3E7C" w14:paraId="30D82B79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09F77FA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Grecja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0CAA2B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38,2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8D1FC3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1 340,5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AC65FE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28 718,1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7597C5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20 913,6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F04705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123 087,2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1855DBA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102 571,2</w:t>
            </w:r>
          </w:p>
        </w:tc>
      </w:tr>
      <w:tr w:rsidR="009873D6" w:rsidRPr="00DF3E7C" w14:paraId="13A1116D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0089553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Hiszpania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4557F3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51,4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EFE811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3 599,9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4ABA2A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130 803,7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78BC33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65 771,1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7CC4FF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466 940,7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0424D23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301 022,6</w:t>
            </w:r>
          </w:p>
        </w:tc>
      </w:tr>
      <w:tr w:rsidR="009873D6" w:rsidRPr="00DF3E7C" w14:paraId="4A4DECE8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52631BB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Holandia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54E9013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9,1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1FA0B2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1 397,9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089F63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43 912,6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7B74DF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18 780,3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E368FC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116 081,6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0E360AE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47 001,5</w:t>
            </w:r>
          </w:p>
        </w:tc>
      </w:tr>
      <w:tr w:rsidR="009873D6" w:rsidRPr="00DF3E7C" w14:paraId="6493C852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A864CB6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Irlandia</w:t>
            </w:r>
            <w:r w:rsidRPr="006153CF">
              <w:rPr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D39A01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3,1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6BF27C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199,8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E66221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10 555,1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F3583B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3 172,4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30A333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31 105,7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795C4A1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16 190,4</w:t>
            </w:r>
          </w:p>
        </w:tc>
      </w:tr>
      <w:tr w:rsidR="009873D6" w:rsidRPr="00DF3E7C" w14:paraId="440A4F5F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478DBD1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Litwa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B95953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3,6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48AA3A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89,8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5B5A99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3 620,4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538EBB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1 744,7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3B792B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8 091,6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44852C8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3 736,9</w:t>
            </w:r>
          </w:p>
        </w:tc>
      </w:tr>
      <w:tr w:rsidR="009873D6" w:rsidRPr="00DF3E7C" w14:paraId="5F19448E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A93D3EA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</w:t>
            </w:r>
            <w:r w:rsidRPr="0086575E">
              <w:rPr>
                <w:i/>
                <w:sz w:val="16"/>
                <w:szCs w:val="16"/>
                <w:vertAlign w:val="superscript"/>
              </w:rPr>
              <w:t>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435A12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0,4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873691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63,6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E94A71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1 139,0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7DB45F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1 017,7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21722E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2 920,2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3CA3484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2 574,6</w:t>
            </w:r>
          </w:p>
        </w:tc>
      </w:tr>
      <w:tr w:rsidR="009873D6" w:rsidRPr="00DF3E7C" w14:paraId="15498881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767D739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Łotwa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5B8852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1,1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2D985D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53,9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DF0139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2 808,8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E2C988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1 925,4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FE4DCA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5 368,7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69F2739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3 743,0</w:t>
            </w:r>
          </w:p>
        </w:tc>
      </w:tr>
      <w:tr w:rsidR="009873D6" w:rsidRPr="00DF3E7C" w14:paraId="745F4C0E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1068120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Malta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1946E4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0,2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658A3B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45,2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18C92B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1 982,6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8E5796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1 798,0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66E649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10 114,2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2415D37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9 685,2</w:t>
            </w:r>
          </w:p>
        </w:tc>
      </w:tr>
      <w:tr w:rsidR="009873D6" w:rsidRPr="00DF3E7C" w14:paraId="3CD69736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6F5B9A3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Niemcy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BDF622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50,0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3C4638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3 473,6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02A2BB3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179 242,2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CDB31B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38 747,7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00F227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419 556,3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4FA9B6C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86 961,9</w:t>
            </w:r>
          </w:p>
        </w:tc>
      </w:tr>
      <w:tr w:rsidR="009873D6" w:rsidRPr="00DF3E7C" w14:paraId="0F497EC0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F73CA10" w14:textId="77777777" w:rsidR="009873D6" w:rsidRDefault="009873D6" w:rsidP="00A44097">
            <w:pPr>
              <w:spacing w:before="0" w:after="0" w:line="220" w:lineRule="exact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Polska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81B7A5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11,1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130393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798,7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2109B6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33 895,9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226616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7 082,2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573D7D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88 860,5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582B46D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17 742,7</w:t>
            </w:r>
          </w:p>
        </w:tc>
      </w:tr>
      <w:tr w:rsidR="009873D6" w:rsidRPr="00DF3E7C" w14:paraId="2F18E2A3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1903AA9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Portugalia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5270DA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6,0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642C81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648,5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B02AB5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25 866,4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074F18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15 035,8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163249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74 407,6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537E4B3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49 852,3</w:t>
            </w:r>
          </w:p>
        </w:tc>
      </w:tr>
      <w:tr w:rsidR="009873D6" w:rsidRPr="00DF3E7C" w14:paraId="2ABEC1D9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8BB621A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Rumunia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7AF65F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7,7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EE6E15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348,6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A5F73C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12 816,0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AE9D42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2 786,5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77D298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28 461,2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77AFB4FA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5 306,5</w:t>
            </w:r>
          </w:p>
        </w:tc>
      </w:tr>
      <w:tr w:rsidR="009873D6" w:rsidRPr="00DF3E7C" w14:paraId="19E429DE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31F7261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Słowacja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873D73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3,1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F1358A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190,8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43BEC9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5 487,2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9EEFC25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2 214,0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04BFB3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15 188,1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3DF277A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5 558,9</w:t>
            </w:r>
          </w:p>
        </w:tc>
      </w:tr>
      <w:tr w:rsidR="009873D6" w:rsidRPr="00DF3E7C" w14:paraId="6A3DD72F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126DCF9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Słowenia</w:t>
            </w:r>
            <w:r w:rsidRPr="006153CF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2AF8268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3,7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CEBF73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117,1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377ECD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4 892,0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AC5071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3 543,0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33ADA5D1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12 460,1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27BF201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8 478,0</w:t>
            </w:r>
          </w:p>
        </w:tc>
      </w:tr>
      <w:tr w:rsidR="009873D6" w:rsidRPr="00DF3E7C" w14:paraId="334F85B4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17509F4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Szwecja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20BB45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4,2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612AAF2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819,1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535065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30 736,9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E411E5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7 217,2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3357DD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60 856,9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76298E93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15 685,7</w:t>
            </w:r>
          </w:p>
        </w:tc>
      </w:tr>
      <w:tr w:rsidR="009873D6" w:rsidRPr="00DF3E7C" w14:paraId="14385167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0CC91E3D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Węgry 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A99C77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4,6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88576F3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419,2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330F888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13 116,1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8BB5259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5 945,1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552EB1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32 830,1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391275A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15 340,4</w:t>
            </w:r>
          </w:p>
        </w:tc>
      </w:tr>
      <w:tr w:rsidR="009873D6" w:rsidRPr="00DF3E7C" w14:paraId="04185860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4F9785B4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Wielka </w:t>
            </w:r>
          </w:p>
          <w:p w14:paraId="02F12775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Brytania</w:t>
            </w:r>
            <w:r w:rsidRPr="0086575E">
              <w:rPr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883578B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84,6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61C2577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3 943,5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77A3988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122 041,1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5A2024E6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43 469,6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</w:tcPr>
          <w:p w14:paraId="1E347714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476 356,1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single" w:sz="4" w:space="0" w:color="212492"/>
            </w:tcBorders>
            <w:vAlign w:val="center"/>
          </w:tcPr>
          <w:p w14:paraId="5DC906D7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279 453,1</w:t>
            </w:r>
          </w:p>
        </w:tc>
      </w:tr>
      <w:tr w:rsidR="009873D6" w:rsidRPr="00DF3E7C" w14:paraId="06ADCDB7" w14:textId="77777777" w:rsidTr="009A196B">
        <w:trPr>
          <w:trHeight w:val="397"/>
        </w:trPr>
        <w:tc>
          <w:tcPr>
            <w:tcW w:w="778" w:type="pct"/>
            <w:tcBorders>
              <w:top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35030E6D" w14:textId="77777777" w:rsidR="009873D6" w:rsidRDefault="009873D6" w:rsidP="00A44097">
            <w:pPr>
              <w:spacing w:before="0" w:after="0" w:line="22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Włochy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514D443D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216,1</w:t>
            </w:r>
          </w:p>
        </w:tc>
        <w:tc>
          <w:tcPr>
            <w:tcW w:w="703" w:type="pct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1C3FAD6E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5 113,2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51ED238F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128 100,9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117A138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63 195,2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</w:tcPr>
          <w:p w14:paraId="134C993C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428 844,9</w:t>
            </w:r>
          </w:p>
        </w:tc>
        <w:tc>
          <w:tcPr>
            <w:tcW w:w="704" w:type="pct"/>
            <w:tcBorders>
              <w:top w:val="single" w:sz="4" w:space="0" w:color="212492"/>
              <w:left w:val="single" w:sz="4" w:space="0" w:color="212492"/>
              <w:bottom w:val="nil"/>
            </w:tcBorders>
            <w:vAlign w:val="center"/>
          </w:tcPr>
          <w:p w14:paraId="7C9F4F30" w14:textId="77777777" w:rsidR="009873D6" w:rsidRPr="00DF3E7C" w:rsidRDefault="009873D6" w:rsidP="00A44097">
            <w:pPr>
              <w:spacing w:before="0" w:after="0" w:line="220" w:lineRule="exact"/>
              <w:contextualSpacing/>
              <w:jc w:val="right"/>
              <w:rPr>
                <w:sz w:val="16"/>
                <w:szCs w:val="16"/>
              </w:rPr>
            </w:pPr>
            <w:r w:rsidRPr="00DF3E7C">
              <w:rPr>
                <w:sz w:val="16"/>
                <w:szCs w:val="16"/>
              </w:rPr>
              <w:t>216 510,5</w:t>
            </w:r>
          </w:p>
        </w:tc>
      </w:tr>
    </w:tbl>
    <w:p w14:paraId="47D7575D" w14:textId="3F448B0E" w:rsidR="00CC42E6" w:rsidRPr="00131BCF" w:rsidRDefault="00C040C6" w:rsidP="00CC42E6">
      <w:pPr>
        <w:rPr>
          <w:sz w:val="16"/>
          <w:szCs w:val="16"/>
          <w:shd w:val="clear" w:color="auto" w:fill="FFFFFF"/>
        </w:rPr>
      </w:pPr>
      <w:r w:rsidRPr="00131BCF">
        <w:rPr>
          <w:sz w:val="16"/>
          <w:szCs w:val="16"/>
          <w:shd w:val="clear" w:color="auto" w:fill="FFFFFF"/>
        </w:rPr>
        <w:t xml:space="preserve">  </w:t>
      </w:r>
      <w:r w:rsidR="00CC42E6" w:rsidRPr="00131BCF">
        <w:rPr>
          <w:sz w:val="16"/>
          <w:szCs w:val="16"/>
          <w:shd w:val="clear" w:color="auto" w:fill="FFFFFF"/>
          <w:vertAlign w:val="superscript"/>
        </w:rPr>
        <w:t>a</w:t>
      </w:r>
      <w:r w:rsidR="00CC42E6" w:rsidRPr="00131BCF">
        <w:rPr>
          <w:sz w:val="16"/>
          <w:szCs w:val="16"/>
          <w:shd w:val="clear" w:color="auto" w:fill="FFFFFF"/>
        </w:rPr>
        <w:t xml:space="preserve"> Dane za 2016 r.  </w:t>
      </w:r>
      <w:r w:rsidR="00CC42E6" w:rsidRPr="00131BCF">
        <w:rPr>
          <w:sz w:val="16"/>
          <w:szCs w:val="16"/>
          <w:shd w:val="clear" w:color="auto" w:fill="FFFFFF"/>
          <w:vertAlign w:val="superscript"/>
        </w:rPr>
        <w:t>b</w:t>
      </w:r>
      <w:r w:rsidR="00CC42E6" w:rsidRPr="00131BCF">
        <w:rPr>
          <w:sz w:val="16"/>
          <w:szCs w:val="16"/>
          <w:shd w:val="clear" w:color="auto" w:fill="FFFFFF"/>
        </w:rPr>
        <w:t xml:space="preserve"> Dane za 2017 r.</w:t>
      </w:r>
    </w:p>
    <w:p w14:paraId="2B3F6DFE" w14:textId="77777777" w:rsidR="00CC42E6" w:rsidRDefault="00CC42E6" w:rsidP="00CC42E6">
      <w:pPr>
        <w:rPr>
          <w:shd w:val="clear" w:color="auto" w:fill="FFFFFF"/>
        </w:rPr>
      </w:pPr>
    </w:p>
    <w:p w14:paraId="5B22BBF6" w14:textId="533E27B5" w:rsidR="00CC42E6" w:rsidRDefault="00CC42E6" w:rsidP="00CC42E6">
      <w:pPr>
        <w:rPr>
          <w:shd w:val="clear" w:color="auto" w:fill="FFFFFF"/>
        </w:rPr>
      </w:pPr>
      <w:r w:rsidRPr="00665EB0">
        <w:rPr>
          <w:shd w:val="clear" w:color="auto" w:fill="FFFFFF"/>
        </w:rPr>
        <w:lastRenderedPageBreak/>
        <w:t>Przeciętnie jeden turystyczny obiekt noclegowy w UE w 2018 r. dysponował 47 miejscami noclegowymi, przy czym obiekty posiadające największą</w:t>
      </w:r>
      <w:r>
        <w:rPr>
          <w:shd w:val="clear" w:color="auto" w:fill="FFFFFF"/>
        </w:rPr>
        <w:t xml:space="preserve"> liczbę miejsc noclegowych znaj</w:t>
      </w:r>
      <w:r w:rsidRPr="00665EB0">
        <w:rPr>
          <w:shd w:val="clear" w:color="auto" w:fill="FFFFFF"/>
        </w:rPr>
        <w:t xml:space="preserve">dowały </w:t>
      </w:r>
      <w:r w:rsidR="00D71845">
        <w:rPr>
          <w:shd w:val="clear" w:color="auto" w:fill="FFFFFF"/>
        </w:rPr>
        <w:t xml:space="preserve">się </w:t>
      </w:r>
      <w:r w:rsidRPr="00665EB0">
        <w:rPr>
          <w:shd w:val="clear" w:color="auto" w:fill="FFFFFF"/>
        </w:rPr>
        <w:t>w</w:t>
      </w:r>
      <w:r>
        <w:rPr>
          <w:shd w:val="clear" w:color="auto" w:fill="FFFFFF"/>
        </w:rPr>
        <w:t> </w:t>
      </w:r>
      <w:r w:rsidR="002E317F">
        <w:rPr>
          <w:shd w:val="clear" w:color="auto" w:fill="FFFFFF"/>
        </w:rPr>
        <w:t>Danii (365), na Malcie (214) oraz</w:t>
      </w:r>
      <w:r w:rsidRPr="00665EB0">
        <w:rPr>
          <w:shd w:val="clear" w:color="auto" w:fill="FFFFFF"/>
        </w:rPr>
        <w:t xml:space="preserve"> Szwecji i Finlandii (po około 190). Niższą od średniej dla UE przeciętną liczbą miejsc noclegowych dysponowały obiekty w dziewięciu krajach, w tym najmniejszą w Chorwacji (10 miejsc).  W Polsce jeden obiekt noclegowy w 2018 r.</w:t>
      </w:r>
      <w:r>
        <w:rPr>
          <w:shd w:val="clear" w:color="auto" w:fill="FFFFFF"/>
        </w:rPr>
        <w:t xml:space="preserve"> posia</w:t>
      </w:r>
      <w:r w:rsidRPr="00665EB0">
        <w:rPr>
          <w:shd w:val="clear" w:color="auto" w:fill="FFFFFF"/>
        </w:rPr>
        <w:t>dał przeciętnie 72 miejsca noclegowe.</w:t>
      </w:r>
    </w:p>
    <w:p w14:paraId="7060670C" w14:textId="36F78212" w:rsidR="00665EB0" w:rsidRPr="00665EB0" w:rsidRDefault="00D71845" w:rsidP="00665EB0">
      <w:pPr>
        <w:rPr>
          <w:shd w:val="clear" w:color="auto" w:fill="FFFFFF"/>
        </w:rPr>
      </w:pPr>
      <w:r>
        <w:rPr>
          <w:shd w:val="clear" w:color="auto" w:fill="FFFFFF"/>
        </w:rPr>
        <w:t>Przeciętnie j</w:t>
      </w:r>
      <w:r w:rsidR="00665EB0" w:rsidRPr="00665EB0">
        <w:rPr>
          <w:shd w:val="clear" w:color="auto" w:fill="FFFFFF"/>
        </w:rPr>
        <w:t xml:space="preserve">eden hotel lub podobny obiekt w UE posiadał </w:t>
      </w:r>
      <w:r w:rsidR="000403A7">
        <w:rPr>
          <w:shd w:val="clear" w:color="auto" w:fill="FFFFFF"/>
        </w:rPr>
        <w:t>70 miejsc noclegowych (w Pol</w:t>
      </w:r>
      <w:r w:rsidR="00A80A19">
        <w:rPr>
          <w:shd w:val="clear" w:color="auto" w:fill="FFFFFF"/>
        </w:rPr>
        <w:t>sce </w:t>
      </w:r>
      <w:r w:rsidR="00665EB0" w:rsidRPr="00665EB0">
        <w:rPr>
          <w:shd w:val="clear" w:color="auto" w:fill="FFFFFF"/>
        </w:rPr>
        <w:t xml:space="preserve">85). Najmniejsze obiekty tego typu </w:t>
      </w:r>
      <w:r w:rsidR="00CC42E6">
        <w:rPr>
          <w:shd w:val="clear" w:color="auto" w:fill="FFFFFF"/>
        </w:rPr>
        <w:t xml:space="preserve">– </w:t>
      </w:r>
      <w:r w:rsidR="00665EB0" w:rsidRPr="00665EB0">
        <w:rPr>
          <w:shd w:val="clear" w:color="auto" w:fill="FFFFFF"/>
        </w:rPr>
        <w:t xml:space="preserve">z liczbą miejsc </w:t>
      </w:r>
      <w:r w:rsidR="00600EFC">
        <w:rPr>
          <w:shd w:val="clear" w:color="auto" w:fill="FFFFFF"/>
        </w:rPr>
        <w:t xml:space="preserve">poniżej 60 </w:t>
      </w:r>
      <w:r w:rsidR="00CC42E6">
        <w:rPr>
          <w:shd w:val="clear" w:color="auto" w:fill="FFFFFF"/>
        </w:rPr>
        <w:t xml:space="preserve">– </w:t>
      </w:r>
      <w:r w:rsidR="00600EFC">
        <w:rPr>
          <w:shd w:val="clear" w:color="auto" w:fill="FFFFFF"/>
        </w:rPr>
        <w:t>zlokalizowane były w </w:t>
      </w:r>
      <w:r w:rsidR="00665EB0" w:rsidRPr="00665EB0">
        <w:rPr>
          <w:shd w:val="clear" w:color="auto" w:fill="FFFFFF"/>
        </w:rPr>
        <w:t>Niemczech, Czechach, Austrii i Wielkie</w:t>
      </w:r>
      <w:r w:rsidR="00A80A19">
        <w:rPr>
          <w:shd w:val="clear" w:color="auto" w:fill="FFFFFF"/>
        </w:rPr>
        <w:t>j Brytanii.</w:t>
      </w:r>
      <w:r w:rsidR="00665EB0" w:rsidRPr="00665EB0">
        <w:rPr>
          <w:shd w:val="clear" w:color="auto" w:fill="FFFFFF"/>
        </w:rPr>
        <w:t xml:space="preserve"> Z drugiej strony na Malcie, w Finlandii, </w:t>
      </w:r>
      <w:r w:rsidR="00600EFC">
        <w:rPr>
          <w:shd w:val="clear" w:color="auto" w:fill="FFFFFF"/>
        </w:rPr>
        <w:br/>
      </w:r>
      <w:r w:rsidR="00665EB0" w:rsidRPr="00665EB0">
        <w:rPr>
          <w:shd w:val="clear" w:color="auto" w:fill="FFFFFF"/>
        </w:rPr>
        <w:t>Danii, Chorwacji, Portugalii, Bułgarii, Szwecji i na Cyprze j</w:t>
      </w:r>
      <w:r w:rsidR="00276E3F">
        <w:rPr>
          <w:shd w:val="clear" w:color="auto" w:fill="FFFFFF"/>
        </w:rPr>
        <w:t>eden obiekt liczył średnio powy</w:t>
      </w:r>
      <w:r w:rsidR="00665EB0" w:rsidRPr="00665EB0">
        <w:rPr>
          <w:shd w:val="clear" w:color="auto" w:fill="FFFFFF"/>
        </w:rPr>
        <w:t xml:space="preserve">żej </w:t>
      </w:r>
      <w:r w:rsidR="000403A7">
        <w:rPr>
          <w:shd w:val="clear" w:color="auto" w:fill="FFFFFF"/>
        </w:rPr>
        <w:br/>
      </w:r>
      <w:r w:rsidR="00665EB0" w:rsidRPr="00665EB0">
        <w:rPr>
          <w:shd w:val="clear" w:color="auto" w:fill="FFFFFF"/>
        </w:rPr>
        <w:t xml:space="preserve">100 miejsc noclegowych (na Malcie nawet 224 miejsca). </w:t>
      </w:r>
    </w:p>
    <w:p w14:paraId="3D5E31DE" w14:textId="770CE7F8" w:rsidR="00665EB0" w:rsidRDefault="00665EB0" w:rsidP="00610A9F">
      <w:pPr>
        <w:rPr>
          <w:shd w:val="clear" w:color="auto" w:fill="FFFFFF"/>
        </w:rPr>
      </w:pPr>
      <w:r w:rsidRPr="00665EB0">
        <w:rPr>
          <w:shd w:val="clear" w:color="auto" w:fill="FFFFFF"/>
        </w:rPr>
        <w:t>Z turystycznych obiektów noclegowych w krajach Unii Europ</w:t>
      </w:r>
      <w:r w:rsidR="000403A7">
        <w:rPr>
          <w:shd w:val="clear" w:color="auto" w:fill="FFFFFF"/>
        </w:rPr>
        <w:t>ejskiej skorzystało w 2018 r. 1 </w:t>
      </w:r>
      <w:r w:rsidRPr="00665EB0">
        <w:rPr>
          <w:shd w:val="clear" w:color="auto" w:fill="FFFFFF"/>
        </w:rPr>
        <w:t>083,3 mln turystów, tj. o 3,3% więcej niż przed rokiem. Najwięcej osób przeb</w:t>
      </w:r>
      <w:r w:rsidR="00A80A19">
        <w:rPr>
          <w:shd w:val="clear" w:color="auto" w:fill="FFFFFF"/>
        </w:rPr>
        <w:t xml:space="preserve">ywało w obiek-tach noclegowych </w:t>
      </w:r>
      <w:r w:rsidRPr="00665EB0">
        <w:rPr>
          <w:shd w:val="clear" w:color="auto" w:fill="FFFFFF"/>
        </w:rPr>
        <w:t>zlokalizowanych w Niemczech i Francji</w:t>
      </w:r>
      <w:r w:rsidR="00276E3F">
        <w:rPr>
          <w:shd w:val="clear" w:color="auto" w:fill="FFFFFF"/>
        </w:rPr>
        <w:t xml:space="preserve"> (po ponad 170 mln) oraz w Hisz</w:t>
      </w:r>
      <w:r w:rsidRPr="00665EB0">
        <w:rPr>
          <w:shd w:val="clear" w:color="auto" w:fill="FFFFFF"/>
        </w:rPr>
        <w:t>panii, Włoszech i Wielkiej Brytanii (po ponad 120 mln). Wśród osób przebywających w tury-stycznych obiektach noclegowych w 2018 r. turyści zagrani</w:t>
      </w:r>
      <w:r w:rsidR="000403A7">
        <w:rPr>
          <w:shd w:val="clear" w:color="auto" w:fill="FFFFFF"/>
        </w:rPr>
        <w:t>czni stanowili 40%, przy czym w </w:t>
      </w:r>
      <w:r w:rsidRPr="00665EB0">
        <w:rPr>
          <w:shd w:val="clear" w:color="auto" w:fill="FFFFFF"/>
        </w:rPr>
        <w:t>przypadku Malty, Luksemburga i Chorwacji odsetek tur</w:t>
      </w:r>
      <w:r w:rsidR="000403A7">
        <w:rPr>
          <w:shd w:val="clear" w:color="auto" w:fill="FFFFFF"/>
        </w:rPr>
        <w:t>ystów zagranicznych wyniósł ok. </w:t>
      </w:r>
      <w:r w:rsidRPr="00665EB0">
        <w:rPr>
          <w:shd w:val="clear" w:color="auto" w:fill="FFFFFF"/>
        </w:rPr>
        <w:t>90%. W Polsce turyści zagraniczni stanowili 21%. W przeli</w:t>
      </w:r>
      <w:r w:rsidR="00276E3F">
        <w:rPr>
          <w:shd w:val="clear" w:color="auto" w:fill="FFFFFF"/>
        </w:rPr>
        <w:t>czeniu na 1000 ludności najwięk</w:t>
      </w:r>
      <w:r w:rsidRPr="00665EB0">
        <w:rPr>
          <w:shd w:val="clear" w:color="auto" w:fill="FFFFFF"/>
        </w:rPr>
        <w:t xml:space="preserve">sza liczba turystów odwiedziła Chorwację i Austrię (4,5 tys.), </w:t>
      </w:r>
      <w:r w:rsidR="000403A7">
        <w:rPr>
          <w:shd w:val="clear" w:color="auto" w:fill="FFFFFF"/>
        </w:rPr>
        <w:t>przy średniej dla UE 2,1 tys. W </w:t>
      </w:r>
      <w:r w:rsidRPr="00665EB0">
        <w:rPr>
          <w:shd w:val="clear" w:color="auto" w:fill="FFFFFF"/>
        </w:rPr>
        <w:t xml:space="preserve">Polsce wskaźnik ten wyniósł 882. </w:t>
      </w:r>
    </w:p>
    <w:p w14:paraId="1C00DB3A" w14:textId="77777777" w:rsidR="00610A9F" w:rsidRPr="00665EB0" w:rsidRDefault="00610A9F" w:rsidP="006C6056">
      <w:pPr>
        <w:rPr>
          <w:shd w:val="clear" w:color="auto" w:fill="FFFFFF"/>
        </w:rPr>
      </w:pPr>
    </w:p>
    <w:p w14:paraId="58D744DE" w14:textId="59A9EDF2" w:rsidR="00665EB0" w:rsidRPr="003204C0" w:rsidRDefault="00610A9F" w:rsidP="00610A9F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1424" behindDoc="0" locked="0" layoutInCell="1" allowOverlap="1" wp14:anchorId="086F60F4" wp14:editId="0C60A795">
            <wp:simplePos x="0" y="0"/>
            <wp:positionH relativeFrom="column">
              <wp:posOffset>2540</wp:posOffset>
            </wp:positionH>
            <wp:positionV relativeFrom="paragraph">
              <wp:posOffset>361355</wp:posOffset>
            </wp:positionV>
            <wp:extent cx="5061233" cy="4618593"/>
            <wp:effectExtent l="0" t="0" r="635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65EB0" w:rsidRPr="003204C0">
        <w:t>Wykres 1.</w:t>
      </w:r>
      <w:r w:rsidR="00665EB0" w:rsidRPr="003204C0">
        <w:rPr>
          <w:shd w:val="clear" w:color="auto" w:fill="FFFFFF"/>
        </w:rPr>
        <w:t xml:space="preserve"> </w:t>
      </w:r>
      <w:r w:rsidR="003204C0" w:rsidRPr="003204C0">
        <w:rPr>
          <w:shd w:val="clear" w:color="auto" w:fill="FFFFFF"/>
        </w:rPr>
        <w:t>Udział turystów zagranicznych w ogólnej liczbie turystów w 2018 roku</w:t>
      </w:r>
    </w:p>
    <w:p w14:paraId="4CED4885" w14:textId="77357A83" w:rsidR="003204C0" w:rsidRPr="003204C0" w:rsidRDefault="003204C0" w:rsidP="006C6056">
      <w:pPr>
        <w:pStyle w:val="tytuwykresu"/>
        <w:rPr>
          <w:shd w:val="clear" w:color="auto" w:fill="FFFFFF"/>
        </w:rPr>
      </w:pPr>
    </w:p>
    <w:p w14:paraId="23BB6BE5" w14:textId="0D0D96AA" w:rsidR="00665EB0" w:rsidRPr="00665EB0" w:rsidRDefault="00A80A19" w:rsidP="00665EB0">
      <w:pPr>
        <w:rPr>
          <w:shd w:val="clear" w:color="auto" w:fill="FFFFFF"/>
        </w:rPr>
      </w:pPr>
      <w:r>
        <w:rPr>
          <w:shd w:val="clear" w:color="auto" w:fill="FFFFFF"/>
        </w:rPr>
        <w:t xml:space="preserve">Prawie ¾ </w:t>
      </w:r>
      <w:r w:rsidR="00665EB0" w:rsidRPr="00665EB0">
        <w:rPr>
          <w:shd w:val="clear" w:color="auto" w:fill="FFFFFF"/>
        </w:rPr>
        <w:t>wszystkich turystów korzystających z noclegów w turyst</w:t>
      </w:r>
      <w:r w:rsidR="00276E3F">
        <w:rPr>
          <w:shd w:val="clear" w:color="auto" w:fill="FFFFFF"/>
        </w:rPr>
        <w:t>ycznych obiektach noc</w:t>
      </w:r>
      <w:r w:rsidR="00665EB0" w:rsidRPr="00665EB0">
        <w:rPr>
          <w:shd w:val="clear" w:color="auto" w:fill="FFFFFF"/>
        </w:rPr>
        <w:t>legowych Unii Europejskiej nocowało w 2018 r</w:t>
      </w:r>
      <w:r w:rsidR="00CC42E6">
        <w:rPr>
          <w:shd w:val="clear" w:color="auto" w:fill="FFFFFF"/>
        </w:rPr>
        <w:t>.</w:t>
      </w:r>
      <w:r w:rsidR="00665EB0" w:rsidRPr="00665EB0">
        <w:rPr>
          <w:shd w:val="clear" w:color="auto" w:fill="FFFFFF"/>
        </w:rPr>
        <w:t xml:space="preserve"> w hotelach </w:t>
      </w:r>
      <w:r w:rsidR="002E317F">
        <w:rPr>
          <w:shd w:val="clear" w:color="auto" w:fill="FFFFFF"/>
        </w:rPr>
        <w:t>i</w:t>
      </w:r>
      <w:r w:rsidR="00665EB0" w:rsidRPr="00665EB0">
        <w:rPr>
          <w:shd w:val="clear" w:color="auto" w:fill="FFFFFF"/>
        </w:rPr>
        <w:t xml:space="preserve"> podobnych obiektach, w tym prawie wszyscy turyści odwiedzający Cypr ora</w:t>
      </w:r>
      <w:r>
        <w:rPr>
          <w:shd w:val="clear" w:color="auto" w:fill="FFFFFF"/>
        </w:rPr>
        <w:t xml:space="preserve">z Maltę. W Polsce z noclegów w </w:t>
      </w:r>
      <w:r w:rsidR="00665EB0" w:rsidRPr="00665EB0">
        <w:rPr>
          <w:shd w:val="clear" w:color="auto" w:fill="FFFFFF"/>
        </w:rPr>
        <w:t xml:space="preserve">hotelach </w:t>
      </w:r>
      <w:r w:rsidR="002E317F">
        <w:rPr>
          <w:shd w:val="clear" w:color="auto" w:fill="FFFFFF"/>
        </w:rPr>
        <w:t>i</w:t>
      </w:r>
      <w:r w:rsidR="00665EB0" w:rsidRPr="00665EB0">
        <w:rPr>
          <w:shd w:val="clear" w:color="auto" w:fill="FFFFFF"/>
        </w:rPr>
        <w:t xml:space="preserve"> podobnych obiektach skorzystało 75% turystów.</w:t>
      </w:r>
    </w:p>
    <w:p w14:paraId="6826FB6B" w14:textId="224EF94F" w:rsidR="00665EB0" w:rsidRPr="00665EB0" w:rsidRDefault="003A2248" w:rsidP="00665EB0">
      <w:pPr>
        <w:rPr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709412AD" wp14:editId="586E076C">
                <wp:simplePos x="0" y="0"/>
                <wp:positionH relativeFrom="column">
                  <wp:posOffset>5279136</wp:posOffset>
                </wp:positionH>
                <wp:positionV relativeFrom="paragraph">
                  <wp:posOffset>127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C412" w14:textId="77777777" w:rsidR="003A2248" w:rsidRPr="00074DD8" w:rsidRDefault="003A2248" w:rsidP="003A2248">
                            <w:pPr>
                              <w:pStyle w:val="tekstzboku"/>
                            </w:pPr>
                            <w:r w:rsidRPr="00665EB0">
                              <w:t>W turystycznych obiektach noclegowych UE udzielono w</w:t>
                            </w:r>
                            <w:r>
                              <w:t> </w:t>
                            </w:r>
                            <w:r w:rsidRPr="00665EB0">
                              <w:t>2018 r. niemal 3,3 mld noclegów</w:t>
                            </w:r>
                          </w:p>
                          <w:p w14:paraId="17E2D6EF" w14:textId="77777777" w:rsidR="003A2248" w:rsidRPr="00D616D2" w:rsidRDefault="003A2248" w:rsidP="003A22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412AD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9" type="#_x0000_t202" style="position:absolute;margin-left:415.7pt;margin-top:0;width:135.85pt;height:65.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7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" filled="f" stroked="f">
                <v:textbox>
                  <w:txbxContent>
                    <w:p w14:paraId="7E04C412" w14:textId="77777777" w:rsidR="003A2248" w:rsidRPr="00074DD8" w:rsidRDefault="003A2248" w:rsidP="003A2248">
                      <w:pPr>
                        <w:pStyle w:val="tekstzboku"/>
                      </w:pPr>
                      <w:r w:rsidRPr="00665EB0">
                        <w:t>W turystycznych obiektach noclegowych UE udzielono w</w:t>
                      </w:r>
                      <w:r>
                        <w:t> </w:t>
                      </w:r>
                      <w:r w:rsidRPr="00665EB0">
                        <w:t>2018 r. niemal 3,3 mld noclegów</w:t>
                      </w:r>
                    </w:p>
                    <w:p w14:paraId="17E2D6EF" w14:textId="77777777" w:rsidR="003A2248" w:rsidRPr="00D616D2" w:rsidRDefault="003A2248" w:rsidP="003A22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65EB0" w:rsidRPr="00665EB0">
        <w:rPr>
          <w:shd w:val="clear" w:color="auto" w:fill="FFFFFF"/>
        </w:rPr>
        <w:t>W 2018 r. w turystycznych obiektach noclegowych na terenie UE udzielono 3 262,1 mln noc-legów, tj. o 2,2% więcej niż w poprzednim roku. W obiekt</w:t>
      </w:r>
      <w:r w:rsidR="00276E3F">
        <w:rPr>
          <w:shd w:val="clear" w:color="auto" w:fill="FFFFFF"/>
        </w:rPr>
        <w:t>ach hotelowych turystom udzielo</w:t>
      </w:r>
      <w:r w:rsidR="00CC42E6">
        <w:rPr>
          <w:shd w:val="clear" w:color="auto" w:fill="FFFFFF"/>
        </w:rPr>
        <w:t>no prawie 2 mld</w:t>
      </w:r>
      <w:r w:rsidR="00665EB0" w:rsidRPr="00665EB0">
        <w:rPr>
          <w:shd w:val="clear" w:color="auto" w:fill="FFFFFF"/>
        </w:rPr>
        <w:t xml:space="preserve"> (tj. ponad 60 % ogółu) noclegów. Średnio turyści korzystali z 3 noclegów, w tym najdłużej przebywali w obiektach zlokalizowanych na Cypr</w:t>
      </w:r>
      <w:r w:rsidR="00276E3F">
        <w:rPr>
          <w:shd w:val="clear" w:color="auto" w:fill="FFFFFF"/>
        </w:rPr>
        <w:t>ze i na Malcie – 5</w:t>
      </w:r>
      <w:r w:rsidR="002E317F">
        <w:rPr>
          <w:shd w:val="clear" w:color="auto" w:fill="FFFFFF"/>
        </w:rPr>
        <w:t xml:space="preserve">. </w:t>
      </w:r>
      <w:r w:rsidR="00276E3F">
        <w:rPr>
          <w:shd w:val="clear" w:color="auto" w:fill="FFFFFF"/>
        </w:rPr>
        <w:t xml:space="preserve"> </w:t>
      </w:r>
      <w:r w:rsidR="00C67397">
        <w:rPr>
          <w:shd w:val="clear" w:color="auto" w:fill="FFFFFF"/>
        </w:rPr>
        <w:t>W Polsce dłu</w:t>
      </w:r>
      <w:r w:rsidR="002E317F">
        <w:rPr>
          <w:shd w:val="clear" w:color="auto" w:fill="FFFFFF"/>
        </w:rPr>
        <w:t>gość pobytu w turystycznych obiektach noclegowych była zbliżona do średniej w UE.</w:t>
      </w:r>
    </w:p>
    <w:p w14:paraId="6EE2330A" w14:textId="6E977640" w:rsidR="006756D6" w:rsidRPr="00665EB0" w:rsidRDefault="006756D6" w:rsidP="006756D6">
      <w:pPr>
        <w:rPr>
          <w:shd w:val="clear" w:color="auto" w:fill="FFFFFF"/>
        </w:rPr>
      </w:pPr>
    </w:p>
    <w:p w14:paraId="76CCFB85" w14:textId="464ECB91" w:rsidR="006756D6" w:rsidRPr="00A44097" w:rsidRDefault="006756D6" w:rsidP="006756D6">
      <w:pPr>
        <w:pStyle w:val="tytuwykresu"/>
        <w:rPr>
          <w:shd w:val="clear" w:color="auto" w:fill="FFFFFF"/>
        </w:rPr>
      </w:pPr>
      <w:r w:rsidRPr="00A44097"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37A6E968" wp14:editId="01B5E8B8">
            <wp:simplePos x="0" y="0"/>
            <wp:positionH relativeFrom="column">
              <wp:posOffset>-43815</wp:posOffset>
            </wp:positionH>
            <wp:positionV relativeFrom="paragraph">
              <wp:posOffset>311150</wp:posOffset>
            </wp:positionV>
            <wp:extent cx="5122545" cy="5148580"/>
            <wp:effectExtent l="0" t="0" r="190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A44097">
        <w:t xml:space="preserve">Wykres </w:t>
      </w:r>
      <w:r w:rsidR="00CC42E6">
        <w:t>2</w:t>
      </w:r>
      <w:r w:rsidRPr="00A44097">
        <w:t>.</w:t>
      </w:r>
      <w:r w:rsidRPr="00A44097">
        <w:rPr>
          <w:shd w:val="clear" w:color="auto" w:fill="FFFFFF"/>
        </w:rPr>
        <w:t xml:space="preserve"> </w:t>
      </w:r>
      <w:r w:rsidR="00CC42E6">
        <w:rPr>
          <w:shd w:val="clear" w:color="auto" w:fill="FFFFFF"/>
        </w:rPr>
        <w:t>Liczba</w:t>
      </w:r>
      <w:r w:rsidRPr="00A44097">
        <w:rPr>
          <w:shd w:val="clear" w:color="auto" w:fill="FFFFFF"/>
        </w:rPr>
        <w:t xml:space="preserve"> turystów </w:t>
      </w:r>
      <w:r w:rsidR="00CC42E6">
        <w:rPr>
          <w:shd w:val="clear" w:color="auto" w:fill="FFFFFF"/>
        </w:rPr>
        <w:t xml:space="preserve">przypadająca na 1 mieszkańca </w:t>
      </w:r>
      <w:r w:rsidRPr="00A44097">
        <w:rPr>
          <w:shd w:val="clear" w:color="auto" w:fill="FFFFFF"/>
        </w:rPr>
        <w:t>w 2018 roku</w:t>
      </w:r>
    </w:p>
    <w:p w14:paraId="406DF17D" w14:textId="426509D7" w:rsidR="0002119A" w:rsidRPr="003204C0" w:rsidRDefault="0002119A" w:rsidP="006C6056">
      <w:pPr>
        <w:pStyle w:val="tytuwykresu"/>
        <w:spacing w:before="240" w:line="240" w:lineRule="auto"/>
        <w:rPr>
          <w:shd w:val="clear" w:color="auto" w:fill="FFFFFF"/>
        </w:rPr>
      </w:pPr>
    </w:p>
    <w:p w14:paraId="003D9639" w14:textId="39374CC1" w:rsidR="00665EB0" w:rsidRDefault="00600EFC" w:rsidP="006C6056">
      <w:pPr>
        <w:spacing w:before="240" w:line="240" w:lineRule="auto"/>
        <w:rPr>
          <w:b/>
          <w:color w:val="001D77"/>
          <w:shd w:val="clear" w:color="auto" w:fill="FFFFFF"/>
        </w:rPr>
      </w:pPr>
      <w:r w:rsidRPr="00365352">
        <w:rPr>
          <w:rFonts w:ascii="Fira Sans SemiBold" w:hAnsi="Fira Sans SemiBold"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18264F9F" wp14:editId="69EDDA74">
                <wp:simplePos x="0" y="0"/>
                <wp:positionH relativeFrom="column">
                  <wp:posOffset>5225415</wp:posOffset>
                </wp:positionH>
                <wp:positionV relativeFrom="paragraph">
                  <wp:posOffset>156095</wp:posOffset>
                </wp:positionV>
                <wp:extent cx="1725295" cy="947420"/>
                <wp:effectExtent l="0" t="0" r="0" b="5080"/>
                <wp:wrapTight wrapText="bothSides">
                  <wp:wrapPolygon edited="0">
                    <wp:start x="715" y="0"/>
                    <wp:lineTo x="715" y="21282"/>
                    <wp:lineTo x="20749" y="21282"/>
                    <wp:lineTo x="20749" y="0"/>
                    <wp:lineTo x="715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4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BBCC" w14:textId="2F7002D0" w:rsidR="00665EB0" w:rsidRPr="00074DD8" w:rsidRDefault="00665EB0" w:rsidP="00665EB0">
                            <w:pPr>
                              <w:pStyle w:val="tekstzboku"/>
                            </w:pPr>
                            <w:r w:rsidRPr="00665EB0">
                              <w:t>Ponad 90% mieszkańców Finlandii w wieku 15 lat i więcej uczestniczyło w 2018 r. w podróżach przynajmniej z jednym noclegiem</w:t>
                            </w:r>
                          </w:p>
                          <w:p w14:paraId="7EC86EBA" w14:textId="77777777" w:rsidR="00665EB0" w:rsidRPr="00D616D2" w:rsidRDefault="00665EB0" w:rsidP="00665EB0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4F9F" id="Pole tekstowe 11" o:spid="_x0000_s1030" type="#_x0000_t202" style="position:absolute;margin-left:411.45pt;margin-top:12.3pt;width:135.85pt;height:74.6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" filled="f" stroked="f">
                <v:textbox>
                  <w:txbxContent>
                    <w:p w14:paraId="5E83BBCC" w14:textId="2F7002D0" w:rsidR="00665EB0" w:rsidRPr="00074DD8" w:rsidRDefault="00665EB0" w:rsidP="00665EB0">
                      <w:pPr>
                        <w:pStyle w:val="tekstzboku"/>
                      </w:pPr>
                      <w:r w:rsidRPr="00665EB0">
                        <w:t>Ponad 90% mieszkańców Finlandii w wieku 15 lat i więcej uczestniczyło w 2018 r. w podróżach przynajmniej z jednym noclegiem</w:t>
                      </w:r>
                    </w:p>
                    <w:p w14:paraId="7EC86EBA" w14:textId="77777777" w:rsidR="00665EB0" w:rsidRPr="00D616D2" w:rsidRDefault="00665EB0" w:rsidP="00665EB0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65EB0" w:rsidRPr="00365352">
        <w:rPr>
          <w:rFonts w:ascii="Fira Sans SemiBold" w:hAnsi="Fira Sans SemiBold"/>
          <w:color w:val="001D77"/>
          <w:shd w:val="clear" w:color="auto" w:fill="FFFFFF"/>
        </w:rPr>
        <w:t>Podróże mieszkańców Unii Europejskiej w wieku 15 lat i więcej w 2018 r</w:t>
      </w:r>
      <w:r w:rsidR="00665EB0" w:rsidRPr="006C6056">
        <w:rPr>
          <w:b/>
          <w:color w:val="001D77"/>
          <w:shd w:val="clear" w:color="auto" w:fill="FFFFFF"/>
        </w:rPr>
        <w:t>.</w:t>
      </w:r>
    </w:p>
    <w:p w14:paraId="55B8AA46" w14:textId="3CB06359" w:rsidR="00665EB0" w:rsidRPr="00665EB0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>W 2018 r. w podróżach krajowych i zagranicznych z przynajmniej jednym noclegiem uczest-niczyło 64% ludności UE w wieku 15 lat i więcej i było to o 1,5 p.p</w:t>
      </w:r>
      <w:r w:rsidR="002E317F">
        <w:rPr>
          <w:shd w:val="clear" w:color="auto" w:fill="FFFFFF"/>
        </w:rPr>
        <w:t>roc.</w:t>
      </w:r>
      <w:r w:rsidRPr="00665EB0">
        <w:rPr>
          <w:shd w:val="clear" w:color="auto" w:fill="FFFFFF"/>
        </w:rPr>
        <w:t xml:space="preserve"> więcej niż rok wcześniej. Największy odsetek osób w wieku 15 lat i więcej uczestniczących w podróżach odnotowano w</w:t>
      </w:r>
      <w:r w:rsidR="0002119A">
        <w:rPr>
          <w:shd w:val="clear" w:color="auto" w:fill="FFFFFF"/>
        </w:rPr>
        <w:t> </w:t>
      </w:r>
      <w:r w:rsidRPr="00665EB0">
        <w:rPr>
          <w:shd w:val="clear" w:color="auto" w:fill="FFFFFF"/>
        </w:rPr>
        <w:t>Finlandii (91%) oraz Holandii i Szwecji (ok</w:t>
      </w:r>
      <w:r w:rsidR="00CC676A">
        <w:rPr>
          <w:shd w:val="clear" w:color="auto" w:fill="FFFFFF"/>
        </w:rPr>
        <w:t>.</w:t>
      </w:r>
      <w:r w:rsidRPr="00665EB0">
        <w:rPr>
          <w:shd w:val="clear" w:color="auto" w:fill="FFFFFF"/>
        </w:rPr>
        <w:t xml:space="preserve"> 85%), a najniższy w Rumunii (27%) i Bułgarii (34%). W Polsce w podróżach z co najmniej jednym noclegiem w 2018 r. uczestniczyło </w:t>
      </w:r>
      <w:r w:rsidR="0002119A">
        <w:rPr>
          <w:shd w:val="clear" w:color="auto" w:fill="FFFFFF"/>
        </w:rPr>
        <w:br/>
      </w:r>
      <w:r w:rsidRPr="00665EB0">
        <w:rPr>
          <w:shd w:val="clear" w:color="auto" w:fill="FFFFFF"/>
        </w:rPr>
        <w:t>62% ludności w wieku 15 lat i więcej, tj. o 3 p.p</w:t>
      </w:r>
      <w:r w:rsidR="00D505ED">
        <w:rPr>
          <w:shd w:val="clear" w:color="auto" w:fill="FFFFFF"/>
        </w:rPr>
        <w:t>roc.</w:t>
      </w:r>
      <w:r w:rsidRPr="00665EB0">
        <w:rPr>
          <w:shd w:val="clear" w:color="auto" w:fill="FFFFFF"/>
        </w:rPr>
        <w:t xml:space="preserve"> więcej niż w 2017 r.</w:t>
      </w:r>
    </w:p>
    <w:p w14:paraId="286927A8" w14:textId="24076256" w:rsidR="00665EB0" w:rsidRPr="00665EB0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 xml:space="preserve">Najwięcej podróży wśród krajów UE w 2018 r. odbyli mieszkańcy Niemiec – 288 mln, w tym 40% stanowiły podróże zagraniczne. Ponad 200 mln podróży odbyli również mieszkańcy </w:t>
      </w:r>
      <w:r w:rsidR="00600EFC">
        <w:rPr>
          <w:shd w:val="clear" w:color="auto" w:fill="FFFFFF"/>
        </w:rPr>
        <w:br/>
      </w:r>
      <w:r w:rsidRPr="00665EB0">
        <w:rPr>
          <w:shd w:val="clear" w:color="auto" w:fill="FFFFFF"/>
        </w:rPr>
        <w:t>Francji</w:t>
      </w:r>
      <w:r w:rsidR="001966D3">
        <w:rPr>
          <w:shd w:val="clear" w:color="auto" w:fill="FFFFFF"/>
        </w:rPr>
        <w:t>,</w:t>
      </w:r>
      <w:r w:rsidRPr="00665EB0">
        <w:rPr>
          <w:shd w:val="clear" w:color="auto" w:fill="FFFFFF"/>
        </w:rPr>
        <w:t xml:space="preserve"> przy czym ¼ stanowiły podróże zagraniczne. </w:t>
      </w:r>
    </w:p>
    <w:p w14:paraId="6523334B" w14:textId="77777777" w:rsidR="00665EB0" w:rsidRPr="00665EB0" w:rsidRDefault="00665EB0" w:rsidP="00665EB0">
      <w:pPr>
        <w:rPr>
          <w:shd w:val="clear" w:color="auto" w:fill="FFFFFF"/>
        </w:rPr>
      </w:pPr>
      <w:r w:rsidRPr="00665EB0">
        <w:rPr>
          <w:shd w:val="clear" w:color="auto" w:fill="FFFFFF"/>
        </w:rPr>
        <w:t>W porównaniu z 2017 r. najbardziej wzrosła liczba podróży mieszkańców Estonii (o ponad 40%) oraz Włoch (o ponad 20%). Znacznie mniej podróży w 2018 r. odbyli mieszkańcy Danii – o 29%.</w:t>
      </w:r>
    </w:p>
    <w:p w14:paraId="668E16CA" w14:textId="77777777" w:rsidR="00C051A8" w:rsidRDefault="00C051A8" w:rsidP="00E76D26"/>
    <w:p w14:paraId="54D61BBB" w14:textId="77777777" w:rsidR="0002119A" w:rsidRDefault="0002119A" w:rsidP="00E76D26"/>
    <w:p w14:paraId="668E16CB" w14:textId="053F58F0" w:rsidR="00116087" w:rsidRPr="00037034" w:rsidRDefault="00037034" w:rsidP="00074DD8">
      <w:pPr>
        <w:pStyle w:val="tytuwykresu"/>
      </w:pPr>
      <w:r w:rsidRPr="00037034">
        <w:rPr>
          <w:noProof/>
          <w:lang w:eastAsia="pl-PL"/>
        </w:rPr>
        <w:lastRenderedPageBreak/>
        <w:t xml:space="preserve">Mapa 1. </w:t>
      </w:r>
      <w:r w:rsidR="003046AB">
        <w:rPr>
          <w:noProof/>
          <w:lang w:eastAsia="pl-PL"/>
        </w:rPr>
        <w:tab/>
      </w:r>
      <w:r w:rsidRPr="00037034">
        <w:rPr>
          <w:noProof/>
          <w:lang w:eastAsia="pl-PL"/>
        </w:rPr>
        <w:t>Udział noclegów udzielonych turystom zagranicznym w ogólnej liczbie noclegów w 201</w:t>
      </w:r>
      <w:r w:rsidR="001966D3">
        <w:rPr>
          <w:noProof/>
          <w:lang w:eastAsia="pl-PL"/>
        </w:rPr>
        <w:t>8</w:t>
      </w:r>
      <w:r w:rsidRPr="00037034">
        <w:rPr>
          <w:noProof/>
          <w:lang w:eastAsia="pl-PL"/>
        </w:rPr>
        <w:t xml:space="preserve"> r. </w:t>
      </w:r>
      <w:r w:rsidR="003046AB">
        <w:rPr>
          <w:noProof/>
          <w:lang w:eastAsia="pl-PL"/>
        </w:rPr>
        <w:tab/>
      </w:r>
      <w:r w:rsidRPr="00037034">
        <w:rPr>
          <w:noProof/>
          <w:lang w:eastAsia="pl-PL"/>
        </w:rPr>
        <w:t>w</w:t>
      </w:r>
      <w:r>
        <w:rPr>
          <w:noProof/>
          <w:lang w:eastAsia="pl-PL"/>
        </w:rPr>
        <w:t> </w:t>
      </w:r>
      <w:r w:rsidRPr="00037034">
        <w:rPr>
          <w:noProof/>
          <w:lang w:eastAsia="pl-PL"/>
        </w:rPr>
        <w:t>krajach Unii Europejskiej</w:t>
      </w:r>
    </w:p>
    <w:p w14:paraId="10B62711" w14:textId="5B14C5B8" w:rsidR="00083D0E" w:rsidRPr="00037034" w:rsidRDefault="00481565" w:rsidP="0002119A">
      <w:pPr>
        <w:spacing w:line="240" w:lineRule="auto"/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 w:val="18"/>
          <w:shd w:val="clear" w:color="auto" w:fill="FFFFFF"/>
          <w:lang w:eastAsia="pl-PL"/>
        </w:rPr>
        <w:drawing>
          <wp:inline distT="0" distB="0" distL="0" distR="0" wp14:anchorId="46F21296" wp14:editId="2A805097">
            <wp:extent cx="5044450" cy="4706122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czestnictwo mieszkańców polska wersj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50" cy="47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688E" w14:textId="77777777" w:rsidR="00083D0E" w:rsidRDefault="00083D0E" w:rsidP="00F802BE">
      <w:pPr>
        <w:rPr>
          <w:b/>
          <w:spacing w:val="-2"/>
          <w:sz w:val="18"/>
          <w:shd w:val="clear" w:color="auto" w:fill="FFFFFF"/>
        </w:rPr>
      </w:pPr>
    </w:p>
    <w:p w14:paraId="56AF32D6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1A3E32A8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5F2A149F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6C65FD70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1FB89E30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08994B84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7BF2C3A4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2B486FBA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14F303DF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49E8388F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6CCEA8C7" w14:textId="77777777" w:rsidR="00EB108B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4F2DCA89" w14:textId="77777777" w:rsidR="00EB108B" w:rsidRPr="00037034" w:rsidRDefault="00EB108B" w:rsidP="00F802BE">
      <w:pPr>
        <w:rPr>
          <w:b/>
          <w:spacing w:val="-2"/>
          <w:sz w:val="18"/>
          <w:shd w:val="clear" w:color="auto" w:fill="FFFFFF"/>
        </w:rPr>
      </w:pPr>
    </w:p>
    <w:p w14:paraId="668E1747" w14:textId="62BF0EFF" w:rsidR="00694AF0" w:rsidRPr="00001C5B" w:rsidRDefault="00EB108B" w:rsidP="00E76D26">
      <w:pPr>
        <w:rPr>
          <w:sz w:val="18"/>
        </w:rPr>
        <w:sectPr w:rsidR="00694AF0" w:rsidRPr="00001C5B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b/>
        </w:rPr>
        <w:t xml:space="preserve">Opracowanie zostało przygotowane na podstawie danych pochodzących z bazy Eurostatu </w:t>
      </w:r>
      <w:r>
        <w:rPr>
          <w:b/>
        </w:rPr>
        <w:br/>
        <w:t>(data dostępu 31.01.2019 r.).</w:t>
      </w:r>
    </w:p>
    <w:p w14:paraId="017B8207" w14:textId="77777777" w:rsidR="00276E3F" w:rsidRPr="003347E4" w:rsidRDefault="00276E3F" w:rsidP="00276E3F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276E3F" w:rsidRPr="008F3638" w14:paraId="429E2BA3" w14:textId="77777777" w:rsidTr="009A196B">
        <w:trPr>
          <w:trHeight w:val="1912"/>
        </w:trPr>
        <w:tc>
          <w:tcPr>
            <w:tcW w:w="4379" w:type="dxa"/>
          </w:tcPr>
          <w:p w14:paraId="7A37FBF7" w14:textId="77777777" w:rsidR="00276E3F" w:rsidRPr="008F3638" w:rsidRDefault="00276E3F" w:rsidP="009A196B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50CA2020" w14:textId="77777777" w:rsidR="00276E3F" w:rsidRDefault="00276E3F" w:rsidP="009A196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Rzeszowie</w:t>
            </w:r>
          </w:p>
          <w:p w14:paraId="753F587E" w14:textId="77777777" w:rsidR="00276E3F" w:rsidRDefault="00276E3F" w:rsidP="009A196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56F30">
              <w:rPr>
                <w:rFonts w:cs="Arial"/>
                <w:b/>
                <w:color w:val="000000" w:themeColor="text1"/>
                <w:sz w:val="20"/>
              </w:rPr>
              <w:t xml:space="preserve">Dyrektor </w:t>
            </w:r>
            <w:r>
              <w:rPr>
                <w:rFonts w:cs="Arial"/>
                <w:b/>
                <w:color w:val="000000" w:themeColor="text1"/>
                <w:sz w:val="20"/>
              </w:rPr>
              <w:t>Marek Cierpiał-Wolan</w:t>
            </w:r>
          </w:p>
          <w:p w14:paraId="1A32D70E" w14:textId="77777777" w:rsidR="00276E3F" w:rsidRPr="008F3638" w:rsidRDefault="00276E3F" w:rsidP="009A196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17 853 52 10</w:t>
            </w:r>
          </w:p>
          <w:p w14:paraId="2B71028A" w14:textId="77777777" w:rsidR="00276E3F" w:rsidRPr="008F3638" w:rsidRDefault="00276E3F" w:rsidP="009A196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14:paraId="297B226E" w14:textId="77777777" w:rsidR="00276E3F" w:rsidRPr="008F3638" w:rsidRDefault="00276E3F" w:rsidP="009A196B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73E49592" w14:textId="77777777" w:rsidR="00276E3F" w:rsidRPr="008F3638" w:rsidRDefault="00276E3F" w:rsidP="009A196B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14:paraId="234B0A69" w14:textId="6F4A2420" w:rsidR="00276E3F" w:rsidRPr="008F3638" w:rsidRDefault="00276E3F" w:rsidP="009A196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5631EF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14:paraId="10DB281A" w14:textId="77777777" w:rsidR="00276E3F" w:rsidRPr="008F3638" w:rsidRDefault="00276E3F" w:rsidP="009A196B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8FCDCEA" w14:textId="77777777" w:rsidR="00276E3F" w:rsidRDefault="00276E3F" w:rsidP="00276E3F">
      <w:pPr>
        <w:rPr>
          <w:sz w:val="20"/>
        </w:rPr>
      </w:pPr>
    </w:p>
    <w:p w14:paraId="27B3C88A" w14:textId="77777777" w:rsidR="00276E3F" w:rsidRDefault="00276E3F" w:rsidP="00276E3F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76E3F" w14:paraId="6134F5EF" w14:textId="77777777" w:rsidTr="009A196B">
        <w:trPr>
          <w:trHeight w:val="610"/>
        </w:trPr>
        <w:tc>
          <w:tcPr>
            <w:tcW w:w="2721" w:type="pct"/>
            <w:vMerge w:val="restart"/>
          </w:tcPr>
          <w:p w14:paraId="37210D35" w14:textId="77777777" w:rsidR="00276E3F" w:rsidRPr="00C91687" w:rsidRDefault="00276E3F" w:rsidP="009A196B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0A047124" w14:textId="77777777" w:rsidR="00276E3F" w:rsidRPr="00C91687" w:rsidRDefault="00276E3F" w:rsidP="009A196B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67751F1C" w14:textId="77777777" w:rsidR="00276E3F" w:rsidRPr="00BC0F56" w:rsidRDefault="00276E3F" w:rsidP="009A196B">
            <w:pPr>
              <w:rPr>
                <w:sz w:val="18"/>
                <w:lang w:val="en-GB"/>
              </w:rPr>
            </w:pPr>
            <w:r w:rsidRPr="00BC0F56">
              <w:rPr>
                <w:b/>
                <w:sz w:val="20"/>
                <w:lang w:val="en-GB"/>
              </w:rPr>
              <w:t>e-mail:</w:t>
            </w:r>
            <w:r w:rsidRPr="00BC0F56">
              <w:rPr>
                <w:sz w:val="20"/>
                <w:lang w:val="en-GB"/>
              </w:rPr>
              <w:t xml:space="preserve"> </w:t>
            </w:r>
            <w:hyperlink r:id="rId20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3375562" w14:textId="77777777" w:rsidR="00276E3F" w:rsidRPr="00BC0F56" w:rsidRDefault="00276E3F" w:rsidP="009A196B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8352" behindDoc="0" locked="0" layoutInCell="1" allowOverlap="1" wp14:anchorId="71327F32" wp14:editId="39469E2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4CD34CC5" w14:textId="77777777" w:rsidR="00276E3F" w:rsidRDefault="00276E3F" w:rsidP="009A196B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76E3F" w14:paraId="4ADEFCBE" w14:textId="77777777" w:rsidTr="009A196B">
        <w:trPr>
          <w:trHeight w:val="436"/>
        </w:trPr>
        <w:tc>
          <w:tcPr>
            <w:tcW w:w="2721" w:type="pct"/>
            <w:vMerge/>
            <w:vAlign w:val="center"/>
          </w:tcPr>
          <w:p w14:paraId="47CBBFE5" w14:textId="77777777" w:rsidR="00276E3F" w:rsidRDefault="00276E3F" w:rsidP="009A196B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E8D8782" w14:textId="77777777" w:rsidR="00276E3F" w:rsidRDefault="00276E3F" w:rsidP="009A196B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0400" behindDoc="0" locked="0" layoutInCell="1" allowOverlap="1" wp14:anchorId="652DCA61" wp14:editId="28B9DC6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69485D4" w14:textId="77777777" w:rsidR="00276E3F" w:rsidRDefault="00276E3F" w:rsidP="009A196B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76E3F" w14:paraId="57C7F0F5" w14:textId="77777777" w:rsidTr="009A196B">
        <w:trPr>
          <w:trHeight w:val="436"/>
        </w:trPr>
        <w:tc>
          <w:tcPr>
            <w:tcW w:w="2721" w:type="pct"/>
            <w:vMerge/>
            <w:vAlign w:val="center"/>
          </w:tcPr>
          <w:p w14:paraId="6792DFFC" w14:textId="77777777" w:rsidR="00276E3F" w:rsidRDefault="00276E3F" w:rsidP="009A196B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08A7B405" w14:textId="77777777" w:rsidR="00276E3F" w:rsidRDefault="00276E3F" w:rsidP="009A196B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7D4859B7" wp14:editId="5BA6B1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4B1E5C1" w14:textId="77777777" w:rsidR="00276E3F" w:rsidRDefault="00276E3F" w:rsidP="009A196B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2C73CAA9" w14:textId="77777777" w:rsidR="00276E3F" w:rsidRPr="00001C5B" w:rsidRDefault="00276E3F" w:rsidP="00276E3F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4F7240E" wp14:editId="382EE3C9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A92E" w14:textId="77777777" w:rsidR="00276E3F" w:rsidRDefault="00276E3F" w:rsidP="00276E3F">
                            <w:pPr>
                              <w:rPr>
                                <w:b/>
                              </w:rPr>
                            </w:pPr>
                          </w:p>
                          <w:p w14:paraId="7E714929" w14:textId="77777777" w:rsidR="00276E3F" w:rsidRPr="006E773E" w:rsidRDefault="00276E3F" w:rsidP="00276E3F">
                            <w:pPr>
                              <w:rPr>
                                <w:b/>
                              </w:rPr>
                            </w:pPr>
                            <w:r w:rsidRPr="006E773E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5B10A90C" w14:textId="59F54D30" w:rsidR="00276E3F" w:rsidRPr="001B5259" w:rsidRDefault="00A27122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276E3F" w:rsidRPr="001B525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Turystyka w 2018 r.</w:t>
                              </w:r>
                            </w:hyperlink>
                          </w:p>
                          <w:p w14:paraId="293214A4" w14:textId="77777777" w:rsidR="00276E3F" w:rsidRPr="006E773E" w:rsidRDefault="00276E3F" w:rsidP="00276E3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14EA4E9" w14:textId="77777777" w:rsidR="00276E3F" w:rsidRPr="003347E4" w:rsidRDefault="00276E3F" w:rsidP="00276E3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47E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1191D24" w14:textId="1A31978B" w:rsidR="00276E3F" w:rsidRPr="001B5259" w:rsidRDefault="00A27122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276E3F" w:rsidRPr="001B525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Baza danych Eurostat</w:t>
                              </w:r>
                            </w:hyperlink>
                          </w:p>
                          <w:p w14:paraId="7B7FC525" w14:textId="616F9A16" w:rsidR="00276E3F" w:rsidRPr="001B5259" w:rsidRDefault="00A27122" w:rsidP="00276E3F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hyperlink r:id="rId26" w:history="1">
                              <w:r w:rsidR="00276E3F" w:rsidRPr="001B525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</w:t>
                              </w:r>
                            </w:hyperlink>
                          </w:p>
                          <w:p w14:paraId="6FBB044A" w14:textId="77777777" w:rsidR="00276E3F" w:rsidRPr="006E773E" w:rsidRDefault="00276E3F" w:rsidP="00276E3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4A081CB" w14:textId="77777777" w:rsidR="00276E3F" w:rsidRDefault="00276E3F" w:rsidP="00276E3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CA02CC6" w14:textId="3956C03B" w:rsidR="00276E3F" w:rsidRPr="00EF6EB0" w:rsidRDefault="008177DE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8177D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8177D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"https://stat.gov.pl/metainformacje/slownik-pojec/pojecia-stosowane-w-statystyce-publicznej/539,pojecie.html" </w:instrText>
                            </w:r>
                            <w:r w:rsidRPr="008177D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276E3F" w:rsidRPr="00EF6EB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Turysta</w:t>
                            </w:r>
                          </w:p>
                          <w:p w14:paraId="37E294A7" w14:textId="3ECB8EFB" w:rsidR="00276E3F" w:rsidRPr="008177DE" w:rsidRDefault="008177DE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8177D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="00276E3F" w:rsidRPr="008177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Turystyczny obiekt noclegowy</w:t>
                              </w:r>
                            </w:hyperlink>
                          </w:p>
                          <w:p w14:paraId="0A6D93A7" w14:textId="030B6997" w:rsidR="00276E3F" w:rsidRPr="008177DE" w:rsidRDefault="00A27122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276E3F" w:rsidRPr="008177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Miejsca noclegowe w turystycznych obiektach noclegowych</w:t>
                              </w:r>
                            </w:hyperlink>
                          </w:p>
                          <w:p w14:paraId="28C61E00" w14:textId="7C423244" w:rsidR="00276E3F" w:rsidRPr="008177DE" w:rsidRDefault="00A27122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276E3F" w:rsidRPr="008177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Turyści zagraniczni w turystycznych obiektach noclegowych</w:t>
                              </w:r>
                            </w:hyperlink>
                          </w:p>
                          <w:p w14:paraId="53799F8B" w14:textId="578A83A6" w:rsidR="00276E3F" w:rsidRPr="008177DE" w:rsidRDefault="00A27122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276E3F" w:rsidRPr="008177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Noclegi udzielone w turystycznych obiektach noclegowych</w:t>
                              </w:r>
                            </w:hyperlink>
                          </w:p>
                          <w:p w14:paraId="7BEA8483" w14:textId="053F8BD7" w:rsidR="00276E3F" w:rsidRPr="008177DE" w:rsidRDefault="00A27122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276E3F" w:rsidRPr="008177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Długość pobytu</w:t>
                              </w:r>
                            </w:hyperlink>
                          </w:p>
                          <w:p w14:paraId="6EEAA0CE" w14:textId="77777777" w:rsidR="00276E3F" w:rsidRPr="008D0725" w:rsidRDefault="00276E3F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3A27EB8F" w14:textId="77777777" w:rsidR="00276E3F" w:rsidRPr="008D0725" w:rsidRDefault="00276E3F" w:rsidP="00276E3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28849602" w14:textId="77777777" w:rsidR="00276E3F" w:rsidRPr="008D0725" w:rsidRDefault="00276E3F" w:rsidP="00276E3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240E" id="_x0000_s1031" type="#_x0000_t202" style="position:absolute;margin-left:1.5pt;margin-top:33.5pt;width:516.5pt;height:349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14:paraId="7D92A92E" w14:textId="77777777" w:rsidR="00276E3F" w:rsidRDefault="00276E3F" w:rsidP="00276E3F">
                      <w:pPr>
                        <w:rPr>
                          <w:b/>
                        </w:rPr>
                      </w:pPr>
                    </w:p>
                    <w:p w14:paraId="7E714929" w14:textId="77777777" w:rsidR="00276E3F" w:rsidRPr="006E773E" w:rsidRDefault="00276E3F" w:rsidP="00276E3F">
                      <w:pPr>
                        <w:rPr>
                          <w:b/>
                        </w:rPr>
                      </w:pPr>
                      <w:r w:rsidRPr="006E773E">
                        <w:rPr>
                          <w:b/>
                        </w:rPr>
                        <w:t>Powiązane opracowania</w:t>
                      </w:r>
                    </w:p>
                    <w:p w14:paraId="5B10A90C" w14:textId="59F54D30" w:rsidR="00276E3F" w:rsidRPr="001B5259" w:rsidRDefault="00EF6EB0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276E3F" w:rsidRPr="001B525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Turystyka w 2018 r.</w:t>
                        </w:r>
                      </w:hyperlink>
                    </w:p>
                    <w:p w14:paraId="293214A4" w14:textId="77777777" w:rsidR="00276E3F" w:rsidRPr="006E773E" w:rsidRDefault="00276E3F" w:rsidP="00276E3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014EA4E9" w14:textId="77777777" w:rsidR="00276E3F" w:rsidRPr="003347E4" w:rsidRDefault="00276E3F" w:rsidP="00276E3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47E4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41191D24" w14:textId="1A31978B" w:rsidR="00276E3F" w:rsidRPr="001B5259" w:rsidRDefault="00EF6EB0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276E3F" w:rsidRPr="001B525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Baza danych Eurostat</w:t>
                        </w:r>
                      </w:hyperlink>
                    </w:p>
                    <w:p w14:paraId="7B7FC525" w14:textId="616F9A16" w:rsidR="00276E3F" w:rsidRPr="001B5259" w:rsidRDefault="00EF6EB0" w:rsidP="00276E3F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hyperlink r:id="rId34" w:history="1">
                        <w:r w:rsidR="00276E3F" w:rsidRPr="001B525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</w:t>
                        </w:r>
                      </w:hyperlink>
                    </w:p>
                    <w:p w14:paraId="6FBB044A" w14:textId="77777777" w:rsidR="00276E3F" w:rsidRPr="006E773E" w:rsidRDefault="00276E3F" w:rsidP="00276E3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4A081CB" w14:textId="77777777" w:rsidR="00276E3F" w:rsidRDefault="00276E3F" w:rsidP="00276E3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CA02CC6" w14:textId="3956C03B" w:rsidR="00276E3F" w:rsidRPr="00EF6EB0" w:rsidRDefault="008177DE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8177D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8177D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"https://stat.gov.pl/metainformacje/slownik-pojec/pojecia-stosowane-w-statystyce-publicznej/539,pojecie.html" </w:instrText>
                      </w:r>
                      <w:r w:rsidRPr="008177D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276E3F" w:rsidRPr="00EF6EB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Turysta</w:t>
                      </w:r>
                    </w:p>
                    <w:p w14:paraId="37E294A7" w14:textId="3ECB8EFB" w:rsidR="00276E3F" w:rsidRPr="008177DE" w:rsidRDefault="008177DE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8177D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5" w:history="1">
                        <w:r w:rsidR="00276E3F" w:rsidRPr="008177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Turystyczny obiekt noclegowy</w:t>
                        </w:r>
                      </w:hyperlink>
                    </w:p>
                    <w:p w14:paraId="0A6D93A7" w14:textId="030B6997" w:rsidR="00276E3F" w:rsidRPr="008177DE" w:rsidRDefault="00EF6EB0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276E3F" w:rsidRPr="008177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Miejsca noclegowe w turystycznych obiektach noclegowych</w:t>
                        </w:r>
                      </w:hyperlink>
                    </w:p>
                    <w:p w14:paraId="28C61E00" w14:textId="7C423244" w:rsidR="00276E3F" w:rsidRPr="008177DE" w:rsidRDefault="00EF6EB0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276E3F" w:rsidRPr="008177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Turyści zagraniczni w turystycznych obiektach noclegowych</w:t>
                        </w:r>
                      </w:hyperlink>
                    </w:p>
                    <w:p w14:paraId="53799F8B" w14:textId="578A83A6" w:rsidR="00276E3F" w:rsidRPr="008177DE" w:rsidRDefault="00EF6EB0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276E3F" w:rsidRPr="008177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Noclegi udzielone w turystycznych obiektach noclegowych</w:t>
                        </w:r>
                      </w:hyperlink>
                    </w:p>
                    <w:p w14:paraId="7BEA8483" w14:textId="053F8BD7" w:rsidR="00276E3F" w:rsidRPr="008177DE" w:rsidRDefault="00EF6EB0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276E3F" w:rsidRPr="008177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Długość pobytu</w:t>
                        </w:r>
                      </w:hyperlink>
                    </w:p>
                    <w:p w14:paraId="6EEAA0CE" w14:textId="77777777" w:rsidR="00276E3F" w:rsidRPr="008D0725" w:rsidRDefault="00276E3F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3A27EB8F" w14:textId="77777777" w:rsidR="00276E3F" w:rsidRPr="008D0725" w:rsidRDefault="00276E3F" w:rsidP="00276E3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28849602" w14:textId="77777777" w:rsidR="00276E3F" w:rsidRPr="008D0725" w:rsidRDefault="00276E3F" w:rsidP="00276E3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E1763" w14:textId="2B9E93A3" w:rsidR="00D261A2" w:rsidRPr="00001C5B" w:rsidRDefault="00D261A2" w:rsidP="00276E3F">
      <w:pPr>
        <w:rPr>
          <w:sz w:val="18"/>
        </w:rPr>
      </w:pPr>
    </w:p>
    <w:sectPr w:rsidR="00D261A2" w:rsidRPr="00001C5B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9FCA" w14:textId="77777777" w:rsidR="00A27122" w:rsidRDefault="00A27122" w:rsidP="000662E2">
      <w:pPr>
        <w:spacing w:after="0" w:line="240" w:lineRule="auto"/>
      </w:pPr>
      <w:r>
        <w:separator/>
      </w:r>
    </w:p>
  </w:endnote>
  <w:endnote w:type="continuationSeparator" w:id="0">
    <w:p w14:paraId="488B7D90" w14:textId="77777777" w:rsidR="00A27122" w:rsidRDefault="00A2712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68E177A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6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68E177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6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1F7C134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6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17C1" w14:textId="77777777" w:rsidR="00A27122" w:rsidRDefault="00A27122" w:rsidP="000662E2">
      <w:pPr>
        <w:spacing w:after="0" w:line="240" w:lineRule="auto"/>
      </w:pPr>
      <w:r>
        <w:separator/>
      </w:r>
    </w:p>
  </w:footnote>
  <w:footnote w:type="continuationSeparator" w:id="0">
    <w:p w14:paraId="08E3E040" w14:textId="77777777" w:rsidR="00A27122" w:rsidRDefault="00A27122" w:rsidP="000662E2">
      <w:pPr>
        <w:spacing w:after="0" w:line="240" w:lineRule="auto"/>
      </w:pPr>
      <w:r>
        <w:continuationSeparator/>
      </w:r>
    </w:p>
  </w:footnote>
  <w:footnote w:id="1">
    <w:p w14:paraId="06C481E4" w14:textId="10D3E14A" w:rsidR="00665EB0" w:rsidRPr="00ED79C2" w:rsidRDefault="00665EB0" w:rsidP="00665EB0">
      <w:pPr>
        <w:pStyle w:val="Tekstprzypisudolnego"/>
        <w:rPr>
          <w:sz w:val="16"/>
          <w:szCs w:val="16"/>
        </w:rPr>
      </w:pPr>
      <w:r w:rsidRPr="00ED79C2">
        <w:rPr>
          <w:rStyle w:val="Odwoanieprzypisudolnego"/>
          <w:sz w:val="16"/>
          <w:szCs w:val="16"/>
        </w:rPr>
        <w:footnoteRef/>
      </w:r>
      <w:r w:rsidRPr="00ED79C2">
        <w:rPr>
          <w:sz w:val="16"/>
          <w:szCs w:val="16"/>
        </w:rPr>
        <w:t xml:space="preserve"> Zakres informacji przekazywanych do Eurostatu o turystycznych obiektach noclegowych jest zróżnicowany pomiędzy krajami. </w:t>
      </w:r>
      <w:r w:rsidR="00D71845">
        <w:rPr>
          <w:sz w:val="16"/>
          <w:szCs w:val="16"/>
        </w:rPr>
        <w:t>O</w:t>
      </w:r>
      <w:r w:rsidRPr="00ED79C2">
        <w:rPr>
          <w:sz w:val="16"/>
          <w:szCs w:val="16"/>
        </w:rPr>
        <w:t>bejm</w:t>
      </w:r>
      <w:r w:rsidR="00D71845">
        <w:rPr>
          <w:sz w:val="16"/>
          <w:szCs w:val="16"/>
        </w:rPr>
        <w:t>uje</w:t>
      </w:r>
      <w:r w:rsidRPr="00ED79C2">
        <w:rPr>
          <w:sz w:val="16"/>
          <w:szCs w:val="16"/>
        </w:rPr>
        <w:t xml:space="preserve"> co najmniej wszystkie turystyczne obiekty noclegowe liczące 10 lub więcej miejsc noclegowych.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1778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8E1783" wp14:editId="668E178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F555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68E1779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177B" w14:textId="77777777" w:rsidR="00003437" w:rsidRDefault="00540C5C">
    <w:pPr>
      <w:pStyle w:val="Nagwek"/>
      <w:rPr>
        <w:noProof/>
        <w:lang w:eastAsia="pl-PL"/>
      </w:rPr>
    </w:pPr>
    <w:r w:rsidRPr="00540C5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68E1785" wp14:editId="668E1786">
          <wp:simplePos x="0" y="0"/>
          <wp:positionH relativeFrom="column">
            <wp:posOffset>9525</wp:posOffset>
          </wp:positionH>
          <wp:positionV relativeFrom="paragraph">
            <wp:posOffset>38735</wp:posOffset>
          </wp:positionV>
          <wp:extent cx="1179195" cy="719455"/>
          <wp:effectExtent l="0" t="0" r="0" b="0"/>
          <wp:wrapSquare wrapText="bothSides"/>
          <wp:docPr id="6" name="Obraz 6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8E1787" wp14:editId="668E178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8E17A4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E1787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68E17A4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68E1789" wp14:editId="668E178A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9C37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Pr="00540C5C">
      <w:rPr>
        <w:noProof/>
      </w:rPr>
      <w:t xml:space="preserve"> </w:t>
    </w:r>
  </w:p>
  <w:p w14:paraId="668E177C" w14:textId="77777777" w:rsidR="00540C5C" w:rsidRDefault="00540C5C">
    <w:pPr>
      <w:pStyle w:val="Nagwek"/>
      <w:rPr>
        <w:noProof/>
        <w:lang w:eastAsia="pl-PL"/>
      </w:rPr>
    </w:pPr>
  </w:p>
  <w:p w14:paraId="668E177D" w14:textId="77777777" w:rsidR="00540C5C" w:rsidRDefault="00540C5C">
    <w:pPr>
      <w:pStyle w:val="Nagwek"/>
      <w:rPr>
        <w:noProof/>
        <w:lang w:eastAsia="pl-PL"/>
      </w:rPr>
    </w:pPr>
  </w:p>
  <w:p w14:paraId="668E177E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68E178B" wp14:editId="668E178C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E17A5" w14:textId="69F39B38" w:rsidR="00F37172" w:rsidRPr="00C97596" w:rsidRDefault="00CF49A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28</w:t>
                          </w:r>
                          <w:r w:rsidR="001A1450">
                            <w:rPr>
                              <w:rFonts w:ascii="Fira Sans SemiBold" w:hAnsi="Fira Sans SemiBold"/>
                              <w:color w:val="001D77"/>
                            </w:rPr>
                            <w:t>.02.</w:t>
                          </w:r>
                          <w:r w:rsidR="00CC42E6"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E178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68E17A5" w14:textId="69F39B38" w:rsidR="00F37172" w:rsidRPr="00C97596" w:rsidRDefault="00CF49A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28</w:t>
                    </w:r>
                    <w:r w:rsidR="001A1450">
                      <w:rPr>
                        <w:rFonts w:ascii="Fira Sans SemiBold" w:hAnsi="Fira Sans SemiBold"/>
                        <w:color w:val="001D77"/>
                      </w:rPr>
                      <w:t>.02.</w:t>
                    </w:r>
                    <w:r w:rsidR="00CC42E6"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5606C" w14:textId="77777777" w:rsidR="00607CC5" w:rsidRDefault="00607CC5">
    <w:pPr>
      <w:pStyle w:val="Nagwek"/>
    </w:pPr>
  </w:p>
  <w:p w14:paraId="6FB0F73B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981"/>
    <w:rsid w:val="00001C5B"/>
    <w:rsid w:val="00003437"/>
    <w:rsid w:val="0000709F"/>
    <w:rsid w:val="000108B8"/>
    <w:rsid w:val="000152F5"/>
    <w:rsid w:val="0002119A"/>
    <w:rsid w:val="000222C4"/>
    <w:rsid w:val="00037034"/>
    <w:rsid w:val="000403A7"/>
    <w:rsid w:val="0004582E"/>
    <w:rsid w:val="000470AA"/>
    <w:rsid w:val="000573FB"/>
    <w:rsid w:val="00057CA1"/>
    <w:rsid w:val="000662E2"/>
    <w:rsid w:val="00066883"/>
    <w:rsid w:val="00074DD8"/>
    <w:rsid w:val="00075759"/>
    <w:rsid w:val="000806F7"/>
    <w:rsid w:val="00083D0E"/>
    <w:rsid w:val="00097840"/>
    <w:rsid w:val="000B0727"/>
    <w:rsid w:val="000C135D"/>
    <w:rsid w:val="000C592A"/>
    <w:rsid w:val="000D1D43"/>
    <w:rsid w:val="000D225C"/>
    <w:rsid w:val="000D2A5C"/>
    <w:rsid w:val="000E0918"/>
    <w:rsid w:val="000E79A9"/>
    <w:rsid w:val="001011C3"/>
    <w:rsid w:val="00110D87"/>
    <w:rsid w:val="00114DB9"/>
    <w:rsid w:val="00116087"/>
    <w:rsid w:val="00130296"/>
    <w:rsid w:val="00131BCF"/>
    <w:rsid w:val="00136736"/>
    <w:rsid w:val="00141FF8"/>
    <w:rsid w:val="001423B6"/>
    <w:rsid w:val="001448A7"/>
    <w:rsid w:val="00146621"/>
    <w:rsid w:val="001617E3"/>
    <w:rsid w:val="00162325"/>
    <w:rsid w:val="001951DA"/>
    <w:rsid w:val="001966D3"/>
    <w:rsid w:val="001A1450"/>
    <w:rsid w:val="001B5259"/>
    <w:rsid w:val="001C3269"/>
    <w:rsid w:val="001D1DB4"/>
    <w:rsid w:val="001D61ED"/>
    <w:rsid w:val="001E1864"/>
    <w:rsid w:val="002508AC"/>
    <w:rsid w:val="002574F9"/>
    <w:rsid w:val="00262B61"/>
    <w:rsid w:val="00263E08"/>
    <w:rsid w:val="00276811"/>
    <w:rsid w:val="00276E3F"/>
    <w:rsid w:val="00282699"/>
    <w:rsid w:val="002926DF"/>
    <w:rsid w:val="00296697"/>
    <w:rsid w:val="002B0472"/>
    <w:rsid w:val="002B6B12"/>
    <w:rsid w:val="002C7094"/>
    <w:rsid w:val="002E317F"/>
    <w:rsid w:val="002E6140"/>
    <w:rsid w:val="002E6985"/>
    <w:rsid w:val="002E71B6"/>
    <w:rsid w:val="002F77C8"/>
    <w:rsid w:val="003046AB"/>
    <w:rsid w:val="00304F22"/>
    <w:rsid w:val="00306C7C"/>
    <w:rsid w:val="00317F4D"/>
    <w:rsid w:val="003204C0"/>
    <w:rsid w:val="00322EDD"/>
    <w:rsid w:val="003309FA"/>
    <w:rsid w:val="00332320"/>
    <w:rsid w:val="00347D72"/>
    <w:rsid w:val="00353F45"/>
    <w:rsid w:val="00357611"/>
    <w:rsid w:val="00363B72"/>
    <w:rsid w:val="00365352"/>
    <w:rsid w:val="00367237"/>
    <w:rsid w:val="0037077F"/>
    <w:rsid w:val="00372411"/>
    <w:rsid w:val="00373882"/>
    <w:rsid w:val="003843DB"/>
    <w:rsid w:val="00393761"/>
    <w:rsid w:val="00394E26"/>
    <w:rsid w:val="00396691"/>
    <w:rsid w:val="00397D18"/>
    <w:rsid w:val="003A1B36"/>
    <w:rsid w:val="003A2248"/>
    <w:rsid w:val="003B024D"/>
    <w:rsid w:val="003B1454"/>
    <w:rsid w:val="003B18B6"/>
    <w:rsid w:val="003C161B"/>
    <w:rsid w:val="003C59E0"/>
    <w:rsid w:val="003C6C8D"/>
    <w:rsid w:val="003D2656"/>
    <w:rsid w:val="003D4F95"/>
    <w:rsid w:val="003D5F42"/>
    <w:rsid w:val="003D60A9"/>
    <w:rsid w:val="003F4C97"/>
    <w:rsid w:val="003F666D"/>
    <w:rsid w:val="003F7FE6"/>
    <w:rsid w:val="00400193"/>
    <w:rsid w:val="004212E7"/>
    <w:rsid w:val="00423C88"/>
    <w:rsid w:val="0042446D"/>
    <w:rsid w:val="0042766E"/>
    <w:rsid w:val="00427BF8"/>
    <w:rsid w:val="00431C02"/>
    <w:rsid w:val="00437395"/>
    <w:rsid w:val="00445047"/>
    <w:rsid w:val="004529FB"/>
    <w:rsid w:val="00463E39"/>
    <w:rsid w:val="004657FC"/>
    <w:rsid w:val="004733F6"/>
    <w:rsid w:val="00474E69"/>
    <w:rsid w:val="00481565"/>
    <w:rsid w:val="0049621B"/>
    <w:rsid w:val="004B696C"/>
    <w:rsid w:val="004C1895"/>
    <w:rsid w:val="004C49F5"/>
    <w:rsid w:val="004C6D40"/>
    <w:rsid w:val="004E6AA8"/>
    <w:rsid w:val="004F0C3C"/>
    <w:rsid w:val="004F63FC"/>
    <w:rsid w:val="00505A92"/>
    <w:rsid w:val="00506FD5"/>
    <w:rsid w:val="005203F1"/>
    <w:rsid w:val="00521BC3"/>
    <w:rsid w:val="00533632"/>
    <w:rsid w:val="00540C5C"/>
    <w:rsid w:val="00541E6E"/>
    <w:rsid w:val="0054251F"/>
    <w:rsid w:val="005520D8"/>
    <w:rsid w:val="00556CF1"/>
    <w:rsid w:val="005631EF"/>
    <w:rsid w:val="005762A7"/>
    <w:rsid w:val="005868E2"/>
    <w:rsid w:val="005916D7"/>
    <w:rsid w:val="0059427F"/>
    <w:rsid w:val="005A698C"/>
    <w:rsid w:val="005B550C"/>
    <w:rsid w:val="005E0799"/>
    <w:rsid w:val="005F5A80"/>
    <w:rsid w:val="00600EFC"/>
    <w:rsid w:val="006044FF"/>
    <w:rsid w:val="00607CC5"/>
    <w:rsid w:val="00610A9F"/>
    <w:rsid w:val="006125F9"/>
    <w:rsid w:val="006153CF"/>
    <w:rsid w:val="00622A84"/>
    <w:rsid w:val="00633014"/>
    <w:rsid w:val="0063437B"/>
    <w:rsid w:val="00665EB0"/>
    <w:rsid w:val="006673CA"/>
    <w:rsid w:val="00673C26"/>
    <w:rsid w:val="00674DE5"/>
    <w:rsid w:val="0067520C"/>
    <w:rsid w:val="006756D6"/>
    <w:rsid w:val="006812AF"/>
    <w:rsid w:val="0068327D"/>
    <w:rsid w:val="00691534"/>
    <w:rsid w:val="00694AF0"/>
    <w:rsid w:val="00696C73"/>
    <w:rsid w:val="006A4686"/>
    <w:rsid w:val="006B0E9E"/>
    <w:rsid w:val="006B5AE4"/>
    <w:rsid w:val="006C6056"/>
    <w:rsid w:val="006D1507"/>
    <w:rsid w:val="006D4054"/>
    <w:rsid w:val="006E02EC"/>
    <w:rsid w:val="006E73E6"/>
    <w:rsid w:val="00701A28"/>
    <w:rsid w:val="007211B1"/>
    <w:rsid w:val="007277DA"/>
    <w:rsid w:val="00746187"/>
    <w:rsid w:val="0076254F"/>
    <w:rsid w:val="00764DBF"/>
    <w:rsid w:val="007801F5"/>
    <w:rsid w:val="00783CA4"/>
    <w:rsid w:val="007842FB"/>
    <w:rsid w:val="00786124"/>
    <w:rsid w:val="0079514B"/>
    <w:rsid w:val="00795252"/>
    <w:rsid w:val="007A2DC1"/>
    <w:rsid w:val="007D14C4"/>
    <w:rsid w:val="007D3319"/>
    <w:rsid w:val="007D335D"/>
    <w:rsid w:val="007D3B62"/>
    <w:rsid w:val="007E1440"/>
    <w:rsid w:val="007E3314"/>
    <w:rsid w:val="007E4B03"/>
    <w:rsid w:val="007F324B"/>
    <w:rsid w:val="0080553C"/>
    <w:rsid w:val="00805B46"/>
    <w:rsid w:val="008177DE"/>
    <w:rsid w:val="00825DC2"/>
    <w:rsid w:val="00834AD3"/>
    <w:rsid w:val="00843795"/>
    <w:rsid w:val="00847F0F"/>
    <w:rsid w:val="00852448"/>
    <w:rsid w:val="0086520B"/>
    <w:rsid w:val="00877F6C"/>
    <w:rsid w:val="0088258A"/>
    <w:rsid w:val="00886332"/>
    <w:rsid w:val="0089448A"/>
    <w:rsid w:val="00897877"/>
    <w:rsid w:val="008A26D9"/>
    <w:rsid w:val="008A7B5B"/>
    <w:rsid w:val="008C0C29"/>
    <w:rsid w:val="008D76BC"/>
    <w:rsid w:val="008E5F29"/>
    <w:rsid w:val="008E7DBA"/>
    <w:rsid w:val="008F0829"/>
    <w:rsid w:val="008F3638"/>
    <w:rsid w:val="008F4441"/>
    <w:rsid w:val="008F6B20"/>
    <w:rsid w:val="008F6F31"/>
    <w:rsid w:val="008F74DF"/>
    <w:rsid w:val="009127BA"/>
    <w:rsid w:val="009227A6"/>
    <w:rsid w:val="00930CFC"/>
    <w:rsid w:val="00933EC1"/>
    <w:rsid w:val="009530DB"/>
    <w:rsid w:val="00953676"/>
    <w:rsid w:val="00956F30"/>
    <w:rsid w:val="009705EE"/>
    <w:rsid w:val="00977927"/>
    <w:rsid w:val="0098135C"/>
    <w:rsid w:val="0098156A"/>
    <w:rsid w:val="00982A97"/>
    <w:rsid w:val="009873D6"/>
    <w:rsid w:val="00991BAC"/>
    <w:rsid w:val="009A5073"/>
    <w:rsid w:val="009A6EA0"/>
    <w:rsid w:val="009C1335"/>
    <w:rsid w:val="009C1AB2"/>
    <w:rsid w:val="009C7251"/>
    <w:rsid w:val="009E2E91"/>
    <w:rsid w:val="00A139F5"/>
    <w:rsid w:val="00A27122"/>
    <w:rsid w:val="00A365F4"/>
    <w:rsid w:val="00A44097"/>
    <w:rsid w:val="00A47D80"/>
    <w:rsid w:val="00A53132"/>
    <w:rsid w:val="00A54B0F"/>
    <w:rsid w:val="00A563F2"/>
    <w:rsid w:val="00A566E8"/>
    <w:rsid w:val="00A80A19"/>
    <w:rsid w:val="00A810F9"/>
    <w:rsid w:val="00A86ECC"/>
    <w:rsid w:val="00A86FCC"/>
    <w:rsid w:val="00AA710D"/>
    <w:rsid w:val="00AB64F3"/>
    <w:rsid w:val="00AB6D25"/>
    <w:rsid w:val="00AE2D4B"/>
    <w:rsid w:val="00AE4F99"/>
    <w:rsid w:val="00B11B69"/>
    <w:rsid w:val="00B14952"/>
    <w:rsid w:val="00B17158"/>
    <w:rsid w:val="00B31E5A"/>
    <w:rsid w:val="00B653AB"/>
    <w:rsid w:val="00B65F9E"/>
    <w:rsid w:val="00B66B0E"/>
    <w:rsid w:val="00B66B19"/>
    <w:rsid w:val="00B82A26"/>
    <w:rsid w:val="00B914E9"/>
    <w:rsid w:val="00B956EE"/>
    <w:rsid w:val="00BA25A5"/>
    <w:rsid w:val="00BA2BA1"/>
    <w:rsid w:val="00BA3447"/>
    <w:rsid w:val="00BA3562"/>
    <w:rsid w:val="00BB4F09"/>
    <w:rsid w:val="00BD4E33"/>
    <w:rsid w:val="00C030DE"/>
    <w:rsid w:val="00C040C6"/>
    <w:rsid w:val="00C051A8"/>
    <w:rsid w:val="00C12CAB"/>
    <w:rsid w:val="00C22105"/>
    <w:rsid w:val="00C244B6"/>
    <w:rsid w:val="00C27BF1"/>
    <w:rsid w:val="00C3702F"/>
    <w:rsid w:val="00C431C4"/>
    <w:rsid w:val="00C4415B"/>
    <w:rsid w:val="00C4500A"/>
    <w:rsid w:val="00C64A37"/>
    <w:rsid w:val="00C67397"/>
    <w:rsid w:val="00C709B1"/>
    <w:rsid w:val="00C7158E"/>
    <w:rsid w:val="00C7250B"/>
    <w:rsid w:val="00C7346B"/>
    <w:rsid w:val="00C77C0E"/>
    <w:rsid w:val="00C90C96"/>
    <w:rsid w:val="00C91687"/>
    <w:rsid w:val="00C924A8"/>
    <w:rsid w:val="00C945FE"/>
    <w:rsid w:val="00C96FAA"/>
    <w:rsid w:val="00C97A04"/>
    <w:rsid w:val="00CA107B"/>
    <w:rsid w:val="00CA484D"/>
    <w:rsid w:val="00CA4FB6"/>
    <w:rsid w:val="00CB2F90"/>
    <w:rsid w:val="00CB3670"/>
    <w:rsid w:val="00CC42E6"/>
    <w:rsid w:val="00CC676A"/>
    <w:rsid w:val="00CC739E"/>
    <w:rsid w:val="00CD58B7"/>
    <w:rsid w:val="00CE2B24"/>
    <w:rsid w:val="00CF4099"/>
    <w:rsid w:val="00CF49AA"/>
    <w:rsid w:val="00D00796"/>
    <w:rsid w:val="00D261A2"/>
    <w:rsid w:val="00D505ED"/>
    <w:rsid w:val="00D616D2"/>
    <w:rsid w:val="00D63B5F"/>
    <w:rsid w:val="00D70724"/>
    <w:rsid w:val="00D70EF7"/>
    <w:rsid w:val="00D71845"/>
    <w:rsid w:val="00D8397C"/>
    <w:rsid w:val="00D94EED"/>
    <w:rsid w:val="00D96026"/>
    <w:rsid w:val="00DA7C1C"/>
    <w:rsid w:val="00DB147A"/>
    <w:rsid w:val="00DB1B7A"/>
    <w:rsid w:val="00DB648E"/>
    <w:rsid w:val="00DC6708"/>
    <w:rsid w:val="00DD011A"/>
    <w:rsid w:val="00DE230D"/>
    <w:rsid w:val="00E01436"/>
    <w:rsid w:val="00E045BD"/>
    <w:rsid w:val="00E17B77"/>
    <w:rsid w:val="00E23337"/>
    <w:rsid w:val="00E241C8"/>
    <w:rsid w:val="00E259EA"/>
    <w:rsid w:val="00E32061"/>
    <w:rsid w:val="00E42FF9"/>
    <w:rsid w:val="00E4714C"/>
    <w:rsid w:val="00E51AEB"/>
    <w:rsid w:val="00E522A7"/>
    <w:rsid w:val="00E54452"/>
    <w:rsid w:val="00E63B0C"/>
    <w:rsid w:val="00E664C5"/>
    <w:rsid w:val="00E671A2"/>
    <w:rsid w:val="00E76D26"/>
    <w:rsid w:val="00E76EE5"/>
    <w:rsid w:val="00E9372F"/>
    <w:rsid w:val="00EB108B"/>
    <w:rsid w:val="00EB1390"/>
    <w:rsid w:val="00EB2C71"/>
    <w:rsid w:val="00EB3333"/>
    <w:rsid w:val="00EB4340"/>
    <w:rsid w:val="00EB556D"/>
    <w:rsid w:val="00EB5A7D"/>
    <w:rsid w:val="00ED55C0"/>
    <w:rsid w:val="00ED682B"/>
    <w:rsid w:val="00EE41D5"/>
    <w:rsid w:val="00EF6EB0"/>
    <w:rsid w:val="00F037A4"/>
    <w:rsid w:val="00F27C8F"/>
    <w:rsid w:val="00F32749"/>
    <w:rsid w:val="00F37172"/>
    <w:rsid w:val="00F4477E"/>
    <w:rsid w:val="00F46269"/>
    <w:rsid w:val="00F55C22"/>
    <w:rsid w:val="00F60BA8"/>
    <w:rsid w:val="00F67D8F"/>
    <w:rsid w:val="00F802BE"/>
    <w:rsid w:val="00F80E93"/>
    <w:rsid w:val="00F86024"/>
    <w:rsid w:val="00F8611A"/>
    <w:rsid w:val="00FA5128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16C4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17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s://stat.gov.pl/metainformacje/slownik-pojec/pojecia-stosowane-w-statystyce-publicznej/3487,pojecie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s://stat.gov.pl/metainformacje/slownik-pojec/pojecia-stosowane-w-statystyce-publicznej/3462,pojecie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s://stat.gov.pl/obszary-tematyczne/kultura-turystyka-sport/turystyka/turystyka-w-2018-roku,1,16.html" TargetMode="External"/><Relationship Id="rId32" Type="http://schemas.openxmlformats.org/officeDocument/2006/relationships/hyperlink" Target="https://stat.gov.pl/obszary-tematyczne/kultura-turystyka-sport/turystyka/turystyka-w-2018-roku,1,16.html" TargetMode="External"/><Relationship Id="rId37" Type="http://schemas.openxmlformats.org/officeDocument/2006/relationships/hyperlink" Target="https://stat.gov.pl/metainformacje/slownik-pojec/pojecia-stosowane-w-statystyce-publicznej/3462,pojecie.html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stat.gov.pl/metainformacje/slownik-pojec/pojecia-stosowane-w-statystyce-publicznej/1231,pojecie.html" TargetMode="External"/><Relationship Id="rId36" Type="http://schemas.openxmlformats.org/officeDocument/2006/relationships/hyperlink" Target="https://stat.gov.pl/metainformacje/slownik-pojec/pojecia-stosowane-w-statystyce-publicznej/1231,pojecie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stat.gov.pl/metainformacje/slownik-pojec/pojecia-stosowane-w-statystyce-publicznej/3487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s://stat.gov.pl/metainformacje/slownik-pojec/pojecia-stosowane-w-statystyce-publicznej/245,pojecie.html" TargetMode="External"/><Relationship Id="rId30" Type="http://schemas.openxmlformats.org/officeDocument/2006/relationships/hyperlink" Target="https://stat.gov.pl/metainformacje/slownik-pojec/pojecia-stosowane-w-statystyce-publicznej/1233,pojecie.html" TargetMode="External"/><Relationship Id="rId35" Type="http://schemas.openxmlformats.org/officeDocument/2006/relationships/hyperlink" Target="https://stat.gov.pl/metainformacje/slownik-pojec/pojecia-stosowane-w-statystyce-publicznej/245,pojecie.html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5" Type="http://schemas.openxmlformats.org/officeDocument/2006/relationships/hyperlink" Target="https://ec.europa.eu/eurostat/web/tourism/data/database" TargetMode="External"/><Relationship Id="rId33" Type="http://schemas.openxmlformats.org/officeDocument/2006/relationships/hyperlink" Target="https://ec.europa.eu/eurostat/web/tourism/data/database" TargetMode="External"/><Relationship Id="rId38" Type="http://schemas.openxmlformats.org/officeDocument/2006/relationships/hyperlink" Target="https://stat.gov.pl/metainformacje/slownik-pojec/pojecia-stosowane-w-statystyce-publicznej/1233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ysk_C\Komunikaty\2020\Turystyka%20w%20Unii\WYKRES%20_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ysk_C\Komunikaty\2020\Turystyka%20w%20Unii\Wykres_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700817040279"/>
          <c:y val="3.0248865667537466E-2"/>
          <c:w val="0.73987393671148693"/>
          <c:h val="0.907300976213391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Arkusz1!$A$5:$A$32</c:f>
              <c:strCache>
                <c:ptCount val="28"/>
                <c:pt idx="0">
                  <c:v>Malta</c:v>
                </c:pt>
                <c:pt idx="1">
                  <c:v>Luksemburg</c:v>
                </c:pt>
                <c:pt idx="2">
                  <c:v>Chorwacja</c:v>
                </c:pt>
                <c:pt idx="3">
                  <c:v>Cypr</c:v>
                </c:pt>
                <c:pt idx="4">
                  <c:v>Grecja</c:v>
                </c:pt>
                <c:pt idx="5">
                  <c:v>Słowenia</c:v>
                </c:pt>
                <c:pt idx="6">
                  <c:v>Łotwa</c:v>
                </c:pt>
                <c:pt idx="7">
                  <c:v>Austria</c:v>
                </c:pt>
                <c:pt idx="8">
                  <c:v>Estonia</c:v>
                </c:pt>
                <c:pt idx="9">
                  <c:v>Portugalia</c:v>
                </c:pt>
                <c:pt idx="10">
                  <c:v>Belgia</c:v>
                </c:pt>
                <c:pt idx="11">
                  <c:v>Hiszpania</c:v>
                </c:pt>
                <c:pt idx="12">
                  <c:v>Bułgaria</c:v>
                </c:pt>
                <c:pt idx="13">
                  <c:v>Czechy</c:v>
                </c:pt>
                <c:pt idx="14">
                  <c:v>Włochy</c:v>
                </c:pt>
                <c:pt idx="15">
                  <c:v>Litwa</c:v>
                </c:pt>
                <c:pt idx="16">
                  <c:v>Węgry</c:v>
                </c:pt>
                <c:pt idx="17">
                  <c:v>Holandia</c:v>
                </c:pt>
                <c:pt idx="18">
                  <c:v>Słowacja</c:v>
                </c:pt>
                <c:pt idx="19">
                  <c:v>Dania</c:v>
                </c:pt>
                <c:pt idx="20">
                  <c:v>Wielka Brytania</c:v>
                </c:pt>
                <c:pt idx="21">
                  <c:v>Francja</c:v>
                </c:pt>
                <c:pt idx="22">
                  <c:v>Irlandia</c:v>
                </c:pt>
                <c:pt idx="23">
                  <c:v>Finlandia</c:v>
                </c:pt>
                <c:pt idx="24">
                  <c:v>Szwecja</c:v>
                </c:pt>
                <c:pt idx="25">
                  <c:v>Rumunia</c:v>
                </c:pt>
                <c:pt idx="26">
                  <c:v>Niemcy</c:v>
                </c:pt>
                <c:pt idx="27">
                  <c:v>Polska</c:v>
                </c:pt>
              </c:strCache>
            </c:strRef>
          </c:cat>
          <c:val>
            <c:numRef>
              <c:f>Arkusz1!$B$5:$B$32</c:f>
              <c:numCache>
                <c:formatCode>0.0%</c:formatCode>
                <c:ptCount val="28"/>
                <c:pt idx="0">
                  <c:v>0.9069005573044</c:v>
                </c:pt>
                <c:pt idx="1">
                  <c:v>0.89350302053401254</c:v>
                </c:pt>
                <c:pt idx="2">
                  <c:v>0.89200864370982647</c:v>
                </c:pt>
                <c:pt idx="3">
                  <c:v>0.83903302350746467</c:v>
                </c:pt>
                <c:pt idx="4">
                  <c:v>0.72823600340607564</c:v>
                </c:pt>
                <c:pt idx="5">
                  <c:v>0.72424757552454155</c:v>
                </c:pt>
                <c:pt idx="6">
                  <c:v>0.68548544435931547</c:v>
                </c:pt>
                <c:pt idx="7">
                  <c:v>0.67358101616522192</c:v>
                </c:pt>
                <c:pt idx="8">
                  <c:v>0.59600110817361573</c:v>
                </c:pt>
                <c:pt idx="9">
                  <c:v>0.58128654206600361</c:v>
                </c:pt>
                <c:pt idx="10">
                  <c:v>0.51929943852233906</c:v>
                </c:pt>
                <c:pt idx="11">
                  <c:v>0.50282278422842563</c:v>
                </c:pt>
                <c:pt idx="12">
                  <c:v>0.50132300299499466</c:v>
                </c:pt>
                <c:pt idx="13">
                  <c:v>0.49942669958088498</c:v>
                </c:pt>
                <c:pt idx="14">
                  <c:v>0.4933235224237088</c:v>
                </c:pt>
                <c:pt idx="15">
                  <c:v>0.4819185225901077</c:v>
                </c:pt>
                <c:pt idx="16">
                  <c:v>0.45327063257430433</c:v>
                </c:pt>
                <c:pt idx="17">
                  <c:v>0.42767496310570435</c:v>
                </c:pt>
                <c:pt idx="18">
                  <c:v>0.40348086011699574</c:v>
                </c:pt>
                <c:pt idx="19">
                  <c:v>0.38051638613554412</c:v>
                </c:pt>
                <c:pt idx="20">
                  <c:v>0.35618831083049957</c:v>
                </c:pt>
                <c:pt idx="21">
                  <c:v>0.30619983821166141</c:v>
                </c:pt>
                <c:pt idx="22">
                  <c:v>0.30056020365529806</c:v>
                </c:pt>
                <c:pt idx="23">
                  <c:v>0.26941860767300929</c:v>
                </c:pt>
                <c:pt idx="24">
                  <c:v>0.23480743797754161</c:v>
                </c:pt>
                <c:pt idx="25">
                  <c:v>0.21742105316955784</c:v>
                </c:pt>
                <c:pt idx="26">
                  <c:v>0.21617512338851466</c:v>
                </c:pt>
                <c:pt idx="27">
                  <c:v>0.20894045391290342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004604128"/>
        <c:axId val="-2004610112"/>
      </c:barChart>
      <c:catAx>
        <c:axId val="-200460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4610112"/>
        <c:crosses val="autoZero"/>
        <c:auto val="1"/>
        <c:lblAlgn val="ctr"/>
        <c:lblOffset val="100"/>
        <c:noMultiLvlLbl val="0"/>
      </c:catAx>
      <c:valAx>
        <c:axId val="-2004610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 sz="9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Średnia państw członkowskich UE</a:t>
                </a:r>
              </a:p>
              <a:p>
                <a:pPr>
                  <a:defRPr sz="9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r>
                  <a:rPr lang="pl-PL" sz="9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50436755945030087"/>
              <c:y val="1.9544837934719179E-2"/>
            </c:manualLayout>
          </c:layout>
          <c:overlay val="0"/>
          <c:spPr>
            <a:solidFill>
              <a:schemeClr val="bg1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460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Arkusz1!$A$5:$A$32</c:f>
              <c:strCache>
                <c:ptCount val="28"/>
                <c:pt idx="0">
                  <c:v>Chorwacja</c:v>
                </c:pt>
                <c:pt idx="1">
                  <c:v>Austria</c:v>
                </c:pt>
                <c:pt idx="2">
                  <c:v>Malta</c:v>
                </c:pt>
                <c:pt idx="3">
                  <c:v>Cypr</c:v>
                </c:pt>
                <c:pt idx="4">
                  <c:v>Szwecja</c:v>
                </c:pt>
                <c:pt idx="5">
                  <c:v>Hiszpania</c:v>
                </c:pt>
                <c:pt idx="6">
                  <c:v>Estonia</c:v>
                </c:pt>
                <c:pt idx="7">
                  <c:v>Grecja</c:v>
                </c:pt>
                <c:pt idx="8">
                  <c:v>Francja</c:v>
                </c:pt>
                <c:pt idx="9">
                  <c:v>Holandia</c:v>
                </c:pt>
                <c:pt idx="10">
                  <c:v>Portugalia</c:v>
                </c:pt>
                <c:pt idx="11">
                  <c:v>Słowenia</c:v>
                </c:pt>
                <c:pt idx="12">
                  <c:v>Finlandia</c:v>
                </c:pt>
                <c:pt idx="13">
                  <c:v>Irlandia</c:v>
                </c:pt>
                <c:pt idx="14">
                  <c:v>Niemcy</c:v>
                </c:pt>
                <c:pt idx="15">
                  <c:v>Włochy</c:v>
                </c:pt>
                <c:pt idx="16">
                  <c:v>Czechy</c:v>
                </c:pt>
                <c:pt idx="17">
                  <c:v>Luksemburg</c:v>
                </c:pt>
                <c:pt idx="18">
                  <c:v>Wielka Brytania</c:v>
                </c:pt>
                <c:pt idx="19">
                  <c:v>Belgia</c:v>
                </c:pt>
                <c:pt idx="20">
                  <c:v>Łotwa</c:v>
                </c:pt>
                <c:pt idx="21">
                  <c:v>Dania</c:v>
                </c:pt>
                <c:pt idx="22">
                  <c:v>Węgry</c:v>
                </c:pt>
                <c:pt idx="23">
                  <c:v>Litwa</c:v>
                </c:pt>
                <c:pt idx="24">
                  <c:v>Bułgaria</c:v>
                </c:pt>
                <c:pt idx="25">
                  <c:v>Słowacja</c:v>
                </c:pt>
                <c:pt idx="26">
                  <c:v>Polska</c:v>
                </c:pt>
                <c:pt idx="27">
                  <c:v>Rumunia</c:v>
                </c:pt>
              </c:strCache>
            </c:strRef>
          </c:cat>
          <c:val>
            <c:numRef>
              <c:f>Arkusz1!$B$5:$B$32</c:f>
              <c:numCache>
                <c:formatCode>0.0</c:formatCode>
                <c:ptCount val="28"/>
                <c:pt idx="0">
                  <c:v>4.5586731622702708</c:v>
                </c:pt>
                <c:pt idx="1">
                  <c:v>4.5351942492982031</c:v>
                </c:pt>
                <c:pt idx="2">
                  <c:v>4.090912655015166</c:v>
                </c:pt>
                <c:pt idx="3">
                  <c:v>3.6516279780752519</c:v>
                </c:pt>
                <c:pt idx="4">
                  <c:v>3.0207572548723425</c:v>
                </c:pt>
                <c:pt idx="5">
                  <c:v>2.795156616228001</c:v>
                </c:pt>
                <c:pt idx="6">
                  <c:v>2.7167616065792397</c:v>
                </c:pt>
                <c:pt idx="7">
                  <c:v>2.6759995549644113</c:v>
                </c:pt>
                <c:pt idx="8">
                  <c:v>2.5602164930772542</c:v>
                </c:pt>
                <c:pt idx="9">
                  <c:v>2.5483736340919938</c:v>
                </c:pt>
                <c:pt idx="10">
                  <c:v>2.5152537646023045</c:v>
                </c:pt>
                <c:pt idx="11">
                  <c:v>2.358840905080009</c:v>
                </c:pt>
                <c:pt idx="12">
                  <c:v>2.1697151376990531</c:v>
                </c:pt>
                <c:pt idx="13">
                  <c:v>2.1685678883341906</c:v>
                </c:pt>
                <c:pt idx="14">
                  <c:v>2.1619984116427489</c:v>
                </c:pt>
                <c:pt idx="15">
                  <c:v>2.1201125730209824</c:v>
                </c:pt>
                <c:pt idx="16">
                  <c:v>1.9988047895905217</c:v>
                </c:pt>
                <c:pt idx="17">
                  <c:v>1.8735717358102935</c:v>
                </c:pt>
                <c:pt idx="18">
                  <c:v>1.83629916209883</c:v>
                </c:pt>
                <c:pt idx="19">
                  <c:v>1.5358630122512782</c:v>
                </c:pt>
                <c:pt idx="20">
                  <c:v>1.4574754167177995</c:v>
                </c:pt>
                <c:pt idx="21">
                  <c:v>1.3750733887211233</c:v>
                </c:pt>
                <c:pt idx="22">
                  <c:v>1.3417186640954253</c:v>
                </c:pt>
                <c:pt idx="23">
                  <c:v>1.2922845182609224</c:v>
                </c:pt>
                <c:pt idx="24">
                  <c:v>1.1102689644388324</c:v>
                </c:pt>
                <c:pt idx="25">
                  <c:v>1.0074239404799596</c:v>
                </c:pt>
                <c:pt idx="26">
                  <c:v>0.89259127305105723</c:v>
                </c:pt>
                <c:pt idx="27">
                  <c:v>0.65837377298827715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004604672"/>
        <c:axId val="-2004609568"/>
      </c:barChart>
      <c:catAx>
        <c:axId val="-2004604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4609568"/>
        <c:crosses val="autoZero"/>
        <c:auto val="1"/>
        <c:lblAlgn val="ctr"/>
        <c:lblOffset val="100"/>
        <c:noMultiLvlLbl val="0"/>
      </c:catAx>
      <c:valAx>
        <c:axId val="-2004609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460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</cdr:x>
      <cdr:y>0.01766</cdr:y>
    </cdr:from>
    <cdr:to>
      <cdr:x>0.496</cdr:x>
      <cdr:y>0.93826</cdr:y>
    </cdr:to>
    <cdr:cxnSp macro="">
      <cdr:nvCxnSpPr>
        <cdr:cNvPr id="3" name="Łącznik prosty 2"/>
        <cdr:cNvCxnSpPr/>
      </cdr:nvCxnSpPr>
      <cdr:spPr>
        <a:xfrm xmlns:a="http://schemas.openxmlformats.org/drawingml/2006/main" flipV="1">
          <a:off x="2510232" y="81539"/>
          <a:ext cx="1" cy="425166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8542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0.50141</cdr:x>
      <cdr:y>0.02976</cdr:y>
    </cdr:from>
    <cdr:to>
      <cdr:x>0.50141</cdr:x>
      <cdr:y>0.94118</cdr:y>
    </cdr:to>
    <cdr:cxnSp macro="">
      <cdr:nvCxnSpPr>
        <cdr:cNvPr id="2" name="Łącznik prosty 1"/>
        <cdr:cNvCxnSpPr/>
      </cdr:nvCxnSpPr>
      <cdr:spPr>
        <a:xfrm xmlns:a="http://schemas.openxmlformats.org/drawingml/2006/main" flipV="1">
          <a:off x="2568474" y="153247"/>
          <a:ext cx="1" cy="469249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8542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0.50414</cdr:x>
      <cdr:y>0.01937</cdr:y>
    </cdr:from>
    <cdr:to>
      <cdr:x>0.87427</cdr:x>
      <cdr:y>0.06792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82487" y="99753"/>
          <a:ext cx="1896020" cy="2499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>2</Kolejno_x015b__x0107_>
    <Tematyka xmlns="b5698c14-9734-4c2e-b0a6-c0f0e0420a38">07 - Informacje sygnalne</Tematyk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2" ma:contentTypeDescription="Utwórz nowy dokument." ma:contentTypeScope="" ma:versionID="61828af194c162a3f8ba12efac41088b">
  <xsd:schema xmlns:xsd="http://www.w3.org/2001/XMLSchema" xmlns:xs="http://www.w3.org/2001/XMLSchema" xmlns:p="http://schemas.microsoft.com/office/2006/metadata/properties" xmlns:ns2="b5698c14-9734-4c2e-b0a6-c0f0e0420a38" xmlns:ns3="30d47203-49ec-4c8c-a442-62231931aabb" targetNamespace="http://schemas.microsoft.com/office/2006/metadata/properties" ma:root="true" ma:fieldsID="496f7d50f109622d7e203c236940c321" ns2:_="" ns3:_="">
    <xsd:import namespace="b5698c14-9734-4c2e-b0a6-c0f0e0420a38"/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Tematyka" minOccurs="0"/>
                <xsd:element ref="ns3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98c14-9734-4c2e-b0a6-c0f0e0420a38" elementFormDefault="qualified">
    <xsd:import namespace="http://schemas.microsoft.com/office/2006/documentManagement/types"/>
    <xsd:import namespace="http://schemas.microsoft.com/office/infopath/2007/PartnerControls"/>
    <xsd:element name="Tematyka" ma:index="2" nillable="true" ma:displayName=":" ma:description="Należy wybrać tematykę pliku" ma:format="Dropdown" ma:internalName="Tematyka">
      <xsd:simpleType>
        <xsd:restriction base="dms:Choice">
          <xsd:enumeration value="00 - Organizacja Systemu Publikacyjnego"/>
          <xsd:enumeration value="00 - Zasady - skład i typografia"/>
          <xsd:enumeration value="01 - Analizy statystyczne"/>
          <xsd:enumeration value="02 - Informacje statystyczne"/>
          <xsd:enumeration value="03 - Roczniki statystyczne"/>
          <xsd:enumeration value="04 - Foldery i publikacje okolicznościowe"/>
          <xsd:enumeration value="05 - Prace eksperymentalne"/>
          <xsd:enumeration value="06 - Metodologia badań statystycznych"/>
          <xsd:enumeration value="07 - Informacje sygnalne"/>
          <xsd:enumeration value="08 - Archiwum"/>
          <xsd:enumeration value="10 - Księga Identyfikacji Wizual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3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30d47203-49ec-4c8c-a442-62231931aabb"/>
    <ds:schemaRef ds:uri="b5698c14-9734-4c2e-b0a6-c0f0e0420a38"/>
  </ds:schemaRefs>
</ds:datastoreItem>
</file>

<file path=customXml/itemProps2.xml><?xml version="1.0" encoding="utf-8"?>
<ds:datastoreItem xmlns:ds="http://schemas.openxmlformats.org/officeDocument/2006/customXml" ds:itemID="{A4CE6F47-65A4-4F88-807D-6187E74D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98c14-9734-4c2e-b0a6-c0f0e0420a38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771BC-9B62-4E6D-8D34-ECED8FD8F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C1655-6817-48C0-9A47-F1E2E742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2020-02-17T10:27:00Z</cp:lastPrinted>
  <dcterms:created xsi:type="dcterms:W3CDTF">2020-02-28T07:31:00Z</dcterms:created>
  <dcterms:modified xsi:type="dcterms:W3CDTF">2020-02-28T07:31:00Z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