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3B" w:rsidRPr="007815E6" w:rsidRDefault="001F2B3B" w:rsidP="005D2473">
      <w:pPr>
        <w:ind w:left="284" w:right="401"/>
        <w:rPr>
          <w:rFonts w:ascii="Fira Sans" w:hAnsi="Fira Sans" w:cstheme="minorHAnsi"/>
          <w:b/>
          <w:sz w:val="19"/>
          <w:szCs w:val="19"/>
        </w:rPr>
      </w:pPr>
    </w:p>
    <w:p w:rsidR="001F2B3B" w:rsidRPr="007815E6" w:rsidRDefault="001F2B3B" w:rsidP="005D2473">
      <w:pPr>
        <w:pStyle w:val="Akapitzlist"/>
        <w:spacing w:after="0" w:line="360" w:lineRule="auto"/>
        <w:ind w:left="284" w:right="401"/>
        <w:contextualSpacing w:val="0"/>
        <w:jc w:val="center"/>
        <w:rPr>
          <w:rFonts w:ascii="Fira Sans" w:hAnsi="Fira Sans" w:cs="Times New Roman"/>
          <w:b/>
          <w:color w:val="000000" w:themeColor="text1"/>
          <w:sz w:val="19"/>
          <w:szCs w:val="19"/>
        </w:rPr>
      </w:pPr>
      <w:r w:rsidRPr="007815E6">
        <w:rPr>
          <w:rFonts w:ascii="Fira Sans" w:hAnsi="Fira Sans" w:cs="Times New Roman"/>
          <w:b/>
          <w:color w:val="000000" w:themeColor="text1"/>
          <w:sz w:val="19"/>
          <w:szCs w:val="19"/>
        </w:rPr>
        <w:t>Zasady rewizji polskich rachunków narodowych</w:t>
      </w:r>
      <w:r w:rsidR="00826568">
        <w:rPr>
          <w:rFonts w:ascii="Fira Sans" w:hAnsi="Fira Sans" w:cs="Times New Roman"/>
          <w:b/>
          <w:color w:val="000000" w:themeColor="text1"/>
          <w:sz w:val="19"/>
          <w:szCs w:val="19"/>
        </w:rPr>
        <w:t xml:space="preserve"> i regionalnych</w:t>
      </w:r>
    </w:p>
    <w:p w:rsidR="0081353B" w:rsidRDefault="0081353B" w:rsidP="005D2473">
      <w:pPr>
        <w:spacing w:before="120" w:after="120" w:line="360" w:lineRule="auto"/>
        <w:ind w:left="284"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7815E6">
        <w:rPr>
          <w:rFonts w:ascii="Fira Sans" w:hAnsi="Fira Sans" w:cs="Times New Roman"/>
          <w:color w:val="000000" w:themeColor="text1"/>
          <w:sz w:val="19"/>
          <w:szCs w:val="19"/>
        </w:rPr>
        <w:t xml:space="preserve">Polityka rewizji </w:t>
      </w:r>
      <w:r w:rsidR="00D278C8" w:rsidRPr="007815E6">
        <w:rPr>
          <w:rFonts w:ascii="Fira Sans" w:hAnsi="Fira Sans" w:cs="Times New Roman"/>
          <w:color w:val="000000" w:themeColor="text1"/>
          <w:sz w:val="19"/>
          <w:szCs w:val="19"/>
        </w:rPr>
        <w:t xml:space="preserve">jest integralną częścią </w:t>
      </w:r>
      <w:r w:rsidR="007815E6">
        <w:rPr>
          <w:rFonts w:ascii="Fira Sans" w:hAnsi="Fira Sans" w:cs="Times New Roman"/>
          <w:color w:val="000000" w:themeColor="text1"/>
          <w:sz w:val="19"/>
          <w:szCs w:val="19"/>
        </w:rPr>
        <w:t xml:space="preserve">procesu </w:t>
      </w:r>
      <w:r w:rsidR="00D278C8" w:rsidRPr="007815E6">
        <w:rPr>
          <w:rFonts w:ascii="Fira Sans" w:hAnsi="Fira Sans" w:cs="Times New Roman"/>
          <w:color w:val="000000" w:themeColor="text1"/>
          <w:sz w:val="19"/>
          <w:szCs w:val="19"/>
        </w:rPr>
        <w:t>opracowywania danych</w:t>
      </w:r>
      <w:r w:rsidR="001B17BC" w:rsidRPr="007815E6">
        <w:rPr>
          <w:rFonts w:ascii="Fira Sans" w:hAnsi="Fira Sans" w:cs="Times New Roman"/>
          <w:color w:val="000000" w:themeColor="text1"/>
          <w:sz w:val="19"/>
          <w:szCs w:val="19"/>
        </w:rPr>
        <w:t xml:space="preserve"> statystycznych</w:t>
      </w:r>
      <w:r w:rsidR="00247BED">
        <w:rPr>
          <w:rFonts w:ascii="Fira Sans" w:hAnsi="Fira Sans" w:cs="Times New Roman"/>
          <w:color w:val="000000" w:themeColor="text1"/>
          <w:sz w:val="19"/>
          <w:szCs w:val="19"/>
        </w:rPr>
        <w:t>,</w:t>
      </w:r>
      <w:r w:rsidR="001B17BC" w:rsidRPr="007815E6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  <w:r w:rsidR="007815E6">
        <w:rPr>
          <w:rFonts w:ascii="Fira Sans" w:hAnsi="Fira Sans" w:cs="Times New Roman"/>
          <w:color w:val="000000" w:themeColor="text1"/>
          <w:sz w:val="19"/>
          <w:szCs w:val="19"/>
        </w:rPr>
        <w:t>której celem jest</w:t>
      </w:r>
      <w:r w:rsidRPr="007815E6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  <w:r w:rsidR="007815E6">
        <w:rPr>
          <w:rFonts w:ascii="Fira Sans" w:hAnsi="Fira Sans" w:cs="Times New Roman"/>
          <w:color w:val="000000" w:themeColor="text1"/>
          <w:sz w:val="19"/>
          <w:szCs w:val="19"/>
        </w:rPr>
        <w:t>udostępnianie najbardziej aktualnych i dokładnych informacji</w:t>
      </w:r>
      <w:r w:rsidRPr="007815E6">
        <w:rPr>
          <w:rFonts w:ascii="Fira Sans" w:hAnsi="Fira Sans" w:cs="Times New Roman"/>
          <w:color w:val="000000" w:themeColor="text1"/>
          <w:sz w:val="19"/>
          <w:szCs w:val="19"/>
        </w:rPr>
        <w:t>.</w:t>
      </w:r>
      <w:r w:rsidR="00D278C8" w:rsidRPr="007815E6">
        <w:rPr>
          <w:rFonts w:ascii="Fira Sans" w:hAnsi="Fira Sans" w:cs="Times New Roman"/>
          <w:color w:val="000000" w:themeColor="text1"/>
          <w:sz w:val="19"/>
          <w:szCs w:val="19"/>
        </w:rPr>
        <w:t xml:space="preserve"> Stanowi element stopniowego podnoszenia jakości i dokładności danych w</w:t>
      </w:r>
      <w:r w:rsidR="007815E6">
        <w:rPr>
          <w:rFonts w:ascii="Fira Sans" w:hAnsi="Fira Sans" w:cs="Times New Roman"/>
          <w:color w:val="000000" w:themeColor="text1"/>
          <w:sz w:val="19"/>
          <w:szCs w:val="19"/>
        </w:rPr>
        <w:t>raz z poprawą</w:t>
      </w:r>
      <w:r w:rsidR="00D278C8" w:rsidRPr="007815E6">
        <w:rPr>
          <w:rFonts w:ascii="Fira Sans" w:hAnsi="Fira Sans" w:cs="Times New Roman"/>
          <w:color w:val="000000" w:themeColor="text1"/>
          <w:sz w:val="19"/>
          <w:szCs w:val="19"/>
        </w:rPr>
        <w:t xml:space="preserve"> dostępności źródeł</w:t>
      </w:r>
      <w:r w:rsidR="001B17BC" w:rsidRPr="007815E6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  <w:r w:rsidR="007815E6">
        <w:rPr>
          <w:rFonts w:ascii="Fira Sans" w:hAnsi="Fira Sans" w:cs="Times New Roman"/>
          <w:color w:val="000000" w:themeColor="text1"/>
          <w:sz w:val="19"/>
          <w:szCs w:val="19"/>
        </w:rPr>
        <w:t xml:space="preserve">danych </w:t>
      </w:r>
      <w:r w:rsidR="001B17BC" w:rsidRPr="007815E6">
        <w:rPr>
          <w:rFonts w:ascii="Fira Sans" w:hAnsi="Fira Sans" w:cs="Times New Roman"/>
          <w:color w:val="000000" w:themeColor="text1"/>
          <w:sz w:val="19"/>
          <w:szCs w:val="19"/>
        </w:rPr>
        <w:t xml:space="preserve">czy też metod estymacji. </w:t>
      </w:r>
      <w:r w:rsidR="001B17BC" w:rsidRPr="007B5204">
        <w:rPr>
          <w:rFonts w:ascii="Fira Sans" w:hAnsi="Fira Sans" w:cs="Times New Roman"/>
          <w:color w:val="000000" w:themeColor="text1"/>
          <w:sz w:val="19"/>
          <w:szCs w:val="19"/>
        </w:rPr>
        <w:t>P</w:t>
      </w:r>
      <w:r w:rsidR="001B17BC" w:rsidRPr="007815E6">
        <w:rPr>
          <w:rFonts w:ascii="Fira Sans" w:hAnsi="Fira Sans" w:cs="Times New Roman"/>
          <w:color w:val="000000" w:themeColor="text1"/>
          <w:sz w:val="19"/>
          <w:szCs w:val="19"/>
        </w:rPr>
        <w:t xml:space="preserve">olska polityka rewizji </w:t>
      </w:r>
      <w:r w:rsidR="00681877">
        <w:rPr>
          <w:rFonts w:ascii="Fira Sans" w:hAnsi="Fira Sans" w:cs="Times New Roman"/>
          <w:color w:val="000000" w:themeColor="text1"/>
          <w:sz w:val="19"/>
          <w:szCs w:val="19"/>
        </w:rPr>
        <w:t xml:space="preserve">rachunków narodowych </w:t>
      </w:r>
      <w:r w:rsidR="00826568">
        <w:rPr>
          <w:rFonts w:ascii="Fira Sans" w:hAnsi="Fira Sans" w:cs="Times New Roman"/>
          <w:color w:val="000000" w:themeColor="text1"/>
          <w:sz w:val="19"/>
          <w:szCs w:val="19"/>
        </w:rPr>
        <w:t xml:space="preserve">i regionalnych </w:t>
      </w:r>
      <w:r w:rsidR="001B17BC">
        <w:rPr>
          <w:rFonts w:ascii="Fira Sans" w:hAnsi="Fira Sans" w:cs="Times New Roman"/>
          <w:color w:val="000000" w:themeColor="text1"/>
          <w:sz w:val="19"/>
          <w:szCs w:val="19"/>
        </w:rPr>
        <w:t xml:space="preserve">opiera się na </w:t>
      </w:r>
      <w:r w:rsidR="007815E6">
        <w:rPr>
          <w:rFonts w:ascii="Fira Sans" w:hAnsi="Fira Sans" w:cs="Times New Roman"/>
          <w:color w:val="000000" w:themeColor="text1"/>
          <w:sz w:val="19"/>
          <w:szCs w:val="19"/>
        </w:rPr>
        <w:t xml:space="preserve">rekomendacjach </w:t>
      </w:r>
      <w:r w:rsidR="00DE1C64">
        <w:rPr>
          <w:rFonts w:ascii="Fira Sans" w:hAnsi="Fira Sans" w:cs="Times New Roman"/>
          <w:color w:val="000000" w:themeColor="text1"/>
          <w:sz w:val="19"/>
          <w:szCs w:val="19"/>
        </w:rPr>
        <w:t>Zharmonizowanej Europejskiej Polityce</w:t>
      </w:r>
      <w:r w:rsidR="00DE1C64" w:rsidRPr="002839E8">
        <w:rPr>
          <w:rFonts w:ascii="Fira Sans" w:hAnsi="Fira Sans" w:cs="Times New Roman"/>
          <w:color w:val="000000" w:themeColor="text1"/>
          <w:sz w:val="19"/>
          <w:szCs w:val="19"/>
        </w:rPr>
        <w:t xml:space="preserve"> Rewizji</w:t>
      </w:r>
      <w:r w:rsidR="00DE1C64" w:rsidRPr="007B5204">
        <w:rPr>
          <w:rFonts w:ascii="Fira Sans" w:hAnsi="Fira Sans" w:cs="Times New Roman"/>
          <w:color w:val="000000" w:themeColor="text1"/>
          <w:sz w:val="19"/>
          <w:szCs w:val="19"/>
        </w:rPr>
        <w:t xml:space="preserve"> (</w:t>
      </w:r>
      <w:r w:rsidR="001B17BC" w:rsidRPr="007815E6">
        <w:rPr>
          <w:rFonts w:ascii="Fira Sans" w:hAnsi="Fira Sans" w:cs="Times New Roman"/>
          <w:color w:val="000000" w:themeColor="text1"/>
          <w:sz w:val="19"/>
          <w:szCs w:val="19"/>
        </w:rPr>
        <w:t>HERP</w:t>
      </w:r>
      <w:r w:rsidR="00681877">
        <w:rPr>
          <w:rFonts w:ascii="Fira Sans" w:hAnsi="Fira Sans" w:cs="Times New Roman"/>
          <w:color w:val="000000" w:themeColor="text1"/>
          <w:sz w:val="19"/>
          <w:szCs w:val="19"/>
        </w:rPr>
        <w:t>)</w:t>
      </w:r>
      <w:r w:rsidR="00DE1C64">
        <w:rPr>
          <w:rStyle w:val="Odwoanieprzypisudolnego"/>
          <w:rFonts w:ascii="Fira Sans" w:hAnsi="Fira Sans" w:cs="Times New Roman"/>
          <w:color w:val="000000" w:themeColor="text1"/>
          <w:sz w:val="19"/>
          <w:szCs w:val="19"/>
        </w:rPr>
        <w:footnoteReference w:id="1"/>
      </w:r>
      <w:r w:rsidR="001B17BC" w:rsidRPr="007815E6">
        <w:rPr>
          <w:rFonts w:ascii="Fira Sans" w:hAnsi="Fira Sans" w:cs="Times New Roman"/>
          <w:color w:val="000000" w:themeColor="text1"/>
          <w:sz w:val="19"/>
          <w:szCs w:val="19"/>
        </w:rPr>
        <w:t xml:space="preserve"> uwzgl</w:t>
      </w:r>
      <w:r w:rsidR="00681877">
        <w:rPr>
          <w:rFonts w:ascii="Fira Sans" w:hAnsi="Fira Sans" w:cs="Times New Roman"/>
          <w:color w:val="000000" w:themeColor="text1"/>
          <w:sz w:val="19"/>
          <w:szCs w:val="19"/>
        </w:rPr>
        <w:t xml:space="preserve">ędniając jednocześnie specyfikę i </w:t>
      </w:r>
      <w:r w:rsidR="001B17BC" w:rsidRPr="007815E6">
        <w:rPr>
          <w:rFonts w:ascii="Fira Sans" w:hAnsi="Fira Sans" w:cs="Times New Roman"/>
          <w:color w:val="000000" w:themeColor="text1"/>
          <w:sz w:val="19"/>
          <w:szCs w:val="19"/>
        </w:rPr>
        <w:t>harmonogram badań prowadzonych w Polskiej Statystyce Publicznej</w:t>
      </w:r>
      <w:r w:rsidR="00DE1C64" w:rsidRPr="007B5204">
        <w:rPr>
          <w:rFonts w:ascii="Fira Sans" w:hAnsi="Fira Sans" w:cs="Times New Roman"/>
          <w:color w:val="000000" w:themeColor="text1"/>
          <w:sz w:val="19"/>
          <w:szCs w:val="19"/>
        </w:rPr>
        <w:t>.</w:t>
      </w:r>
    </w:p>
    <w:p w:rsidR="001B17BC" w:rsidRPr="00826568" w:rsidRDefault="001B17BC" w:rsidP="005D2473">
      <w:pPr>
        <w:spacing w:before="120" w:after="120" w:line="360" w:lineRule="auto"/>
        <w:ind w:left="284" w:right="401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7815E6">
        <w:rPr>
          <w:rFonts w:ascii="Fira Sans" w:hAnsi="Fira Sans" w:cs="Times New Roman"/>
          <w:color w:val="000000" w:themeColor="text1"/>
          <w:sz w:val="19"/>
          <w:szCs w:val="19"/>
        </w:rPr>
        <w:t xml:space="preserve">Zharmonizowana Europejska Polityka Rewizji zawiera szereg rekomendacji ustanowionych w ramach Europejskiego Systemu Statystycznego (ESS) i Europejskiego Systemu Banków Centralnych (ESCB) w celu uzyskania spójnego i porównywalnego szeregu danych, zarówno na poziomie krajowym jak i na poziomie UE. Potrzeba wprowadzenia i stosowania zasad </w:t>
      </w:r>
      <w:r w:rsidR="007815E6">
        <w:rPr>
          <w:rFonts w:ascii="Fira Sans" w:hAnsi="Fira Sans" w:cs="Times New Roman"/>
          <w:color w:val="000000" w:themeColor="text1"/>
          <w:sz w:val="19"/>
          <w:szCs w:val="19"/>
        </w:rPr>
        <w:t>HERP</w:t>
      </w:r>
      <w:r w:rsidRPr="007815E6">
        <w:rPr>
          <w:rFonts w:ascii="Fira Sans" w:hAnsi="Fira Sans" w:cs="Times New Roman"/>
          <w:color w:val="000000" w:themeColor="text1"/>
          <w:sz w:val="19"/>
          <w:szCs w:val="19"/>
        </w:rPr>
        <w:t xml:space="preserve"> w rachunkach narodowych wynika z Rozporządzenia Parlamentu Europejskiego i Rady (WE) nr 223/2009 z dnia 11 marca 2009 r. w sprawie statystyki europejskiej</w:t>
      </w:r>
      <w:r w:rsidR="00DE1C64">
        <w:rPr>
          <w:rStyle w:val="Odwoanieprzypisudolnego"/>
          <w:rFonts w:ascii="Fira Sans" w:hAnsi="Fira Sans" w:cs="Times New Roman"/>
          <w:color w:val="000000" w:themeColor="text1"/>
          <w:sz w:val="19"/>
          <w:szCs w:val="19"/>
        </w:rPr>
        <w:footnoteReference w:id="2"/>
      </w:r>
      <w:r w:rsidRPr="007815E6">
        <w:rPr>
          <w:rFonts w:ascii="Fira Sans" w:hAnsi="Fira Sans" w:cs="Times New Roman"/>
          <w:color w:val="000000" w:themeColor="text1"/>
          <w:sz w:val="19"/>
          <w:szCs w:val="19"/>
        </w:rPr>
        <w:t xml:space="preserve">, Rozporządzenia Parlamentu Europejskiego i Rady nr 549/2013 z dn. 21 maja 2013 r. w sprawie europejskiego systemu </w:t>
      </w:r>
      <w:r w:rsidRPr="007815E6">
        <w:rPr>
          <w:rFonts w:ascii="Fira Sans" w:hAnsi="Fira Sans" w:cs="Times New Roman"/>
          <w:color w:val="000000" w:themeColor="text1"/>
          <w:sz w:val="19"/>
          <w:szCs w:val="19"/>
        </w:rPr>
        <w:lastRenderedPageBreak/>
        <w:t xml:space="preserve">rachunków </w:t>
      </w:r>
      <w:r w:rsidRPr="00826568">
        <w:rPr>
          <w:rFonts w:ascii="Fira Sans" w:hAnsi="Fira Sans" w:cs="Times New Roman"/>
          <w:color w:val="000000" w:themeColor="text1"/>
          <w:sz w:val="19"/>
          <w:szCs w:val="19"/>
        </w:rPr>
        <w:t>narodowych i regionalnych w Unii Europejskiej (ESA2010)</w:t>
      </w:r>
      <w:r w:rsidR="00DE1C64" w:rsidRPr="00826568">
        <w:rPr>
          <w:rStyle w:val="Odwoanieprzypisudolnego"/>
          <w:rFonts w:ascii="Fira Sans" w:hAnsi="Fira Sans" w:cs="Times New Roman"/>
          <w:color w:val="000000" w:themeColor="text1"/>
          <w:sz w:val="19"/>
          <w:szCs w:val="19"/>
        </w:rPr>
        <w:footnoteReference w:id="3"/>
      </w:r>
      <w:r w:rsidRPr="00826568">
        <w:rPr>
          <w:rFonts w:ascii="Fira Sans" w:hAnsi="Fira Sans" w:cs="Times New Roman"/>
          <w:color w:val="000000" w:themeColor="text1"/>
          <w:sz w:val="19"/>
          <w:szCs w:val="19"/>
        </w:rPr>
        <w:t xml:space="preserve"> oraz Europejskiego Kodeksu Praktyk Statystycznych</w:t>
      </w:r>
      <w:r w:rsidR="00DE1C64" w:rsidRPr="00826568">
        <w:rPr>
          <w:rStyle w:val="Odwoanieprzypisudolnego"/>
          <w:rFonts w:ascii="Fira Sans" w:hAnsi="Fira Sans" w:cs="Times New Roman"/>
          <w:color w:val="000000" w:themeColor="text1"/>
          <w:sz w:val="19"/>
          <w:szCs w:val="19"/>
        </w:rPr>
        <w:footnoteReference w:id="4"/>
      </w:r>
      <w:r w:rsidRPr="00826568">
        <w:rPr>
          <w:rFonts w:ascii="Fira Sans" w:hAnsi="Fira Sans" w:cs="Times New Roman"/>
          <w:color w:val="000000" w:themeColor="text1"/>
          <w:sz w:val="19"/>
          <w:szCs w:val="19"/>
        </w:rPr>
        <w:t xml:space="preserve">. </w:t>
      </w:r>
    </w:p>
    <w:p w:rsidR="0046788F" w:rsidRPr="00826568" w:rsidRDefault="007815E6" w:rsidP="005D2473">
      <w:pPr>
        <w:spacing w:before="120" w:after="120" w:line="360" w:lineRule="auto"/>
        <w:ind w:left="284"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826568">
        <w:rPr>
          <w:rFonts w:ascii="Fira Sans" w:hAnsi="Fira Sans" w:cs="Times New Roman"/>
          <w:color w:val="000000" w:themeColor="text1"/>
          <w:sz w:val="19"/>
          <w:szCs w:val="19"/>
        </w:rPr>
        <w:t>Pomimo, iż p</w:t>
      </w:r>
      <w:r w:rsidR="0046788F" w:rsidRPr="00826568">
        <w:rPr>
          <w:rFonts w:ascii="Fira Sans" w:hAnsi="Fira Sans" w:cs="Times New Roman"/>
          <w:color w:val="000000" w:themeColor="text1"/>
          <w:sz w:val="19"/>
          <w:szCs w:val="19"/>
        </w:rPr>
        <w:t xml:space="preserve">olityka HERP nie obejmuje pełnego zakresu wymagań sprawozdawczości określonej Programem Transmisji </w:t>
      </w:r>
      <w:r w:rsidR="00771F2E">
        <w:rPr>
          <w:rFonts w:ascii="Fira Sans" w:hAnsi="Fira Sans" w:cs="Times New Roman"/>
          <w:color w:val="000000" w:themeColor="text1"/>
          <w:sz w:val="19"/>
          <w:szCs w:val="19"/>
        </w:rPr>
        <w:t xml:space="preserve">Danych </w:t>
      </w:r>
      <w:r w:rsidR="0046788F" w:rsidRPr="00826568">
        <w:rPr>
          <w:rFonts w:ascii="Fira Sans" w:hAnsi="Fira Sans" w:cs="Times New Roman"/>
          <w:color w:val="000000" w:themeColor="text1"/>
          <w:sz w:val="19"/>
          <w:szCs w:val="19"/>
        </w:rPr>
        <w:t>ESA 2010 (PT ESA 2010)</w:t>
      </w:r>
      <w:r w:rsidR="00826568" w:rsidRPr="00826568">
        <w:rPr>
          <w:rStyle w:val="Odwoanieprzypisudolnego"/>
        </w:rPr>
        <w:footnoteReference w:id="5"/>
      </w:r>
      <w:r w:rsidR="00826568" w:rsidRPr="00826568">
        <w:rPr>
          <w:rFonts w:ascii="Fira Sans" w:hAnsi="Fira Sans" w:cs="Times New Roman"/>
          <w:color w:val="000000" w:themeColor="text1"/>
          <w:sz w:val="19"/>
          <w:szCs w:val="19"/>
        </w:rPr>
        <w:t>, krajową polityką rewizji objęte zostały wszystkie domeny rachunków narodowych opracowywane w G</w:t>
      </w:r>
      <w:r w:rsidR="00771F2E">
        <w:rPr>
          <w:rFonts w:ascii="Fira Sans" w:hAnsi="Fira Sans" w:cs="Times New Roman"/>
          <w:color w:val="000000" w:themeColor="text1"/>
          <w:sz w:val="19"/>
          <w:szCs w:val="19"/>
        </w:rPr>
        <w:t xml:space="preserve">łównym </w:t>
      </w:r>
      <w:r w:rsidR="00826568" w:rsidRPr="00826568">
        <w:rPr>
          <w:rFonts w:ascii="Fira Sans" w:hAnsi="Fira Sans" w:cs="Times New Roman"/>
          <w:color w:val="000000" w:themeColor="text1"/>
          <w:sz w:val="19"/>
          <w:szCs w:val="19"/>
        </w:rPr>
        <w:t>U</w:t>
      </w:r>
      <w:r w:rsidR="00771F2E">
        <w:rPr>
          <w:rFonts w:ascii="Fira Sans" w:hAnsi="Fira Sans" w:cs="Times New Roman"/>
          <w:color w:val="000000" w:themeColor="text1"/>
          <w:sz w:val="19"/>
          <w:szCs w:val="19"/>
        </w:rPr>
        <w:t xml:space="preserve">rzędzie </w:t>
      </w:r>
      <w:r w:rsidR="00826568" w:rsidRPr="00826568">
        <w:rPr>
          <w:rFonts w:ascii="Fira Sans" w:hAnsi="Fira Sans" w:cs="Times New Roman"/>
          <w:color w:val="000000" w:themeColor="text1"/>
          <w:sz w:val="19"/>
          <w:szCs w:val="19"/>
        </w:rPr>
        <w:t>S</w:t>
      </w:r>
      <w:r w:rsidR="00771F2E">
        <w:rPr>
          <w:rFonts w:ascii="Fira Sans" w:hAnsi="Fira Sans" w:cs="Times New Roman"/>
          <w:color w:val="000000" w:themeColor="text1"/>
          <w:sz w:val="19"/>
          <w:szCs w:val="19"/>
        </w:rPr>
        <w:t>tatystycznym</w:t>
      </w:r>
      <w:r w:rsidR="00826568" w:rsidRPr="00826568">
        <w:rPr>
          <w:rFonts w:ascii="Fira Sans" w:hAnsi="Fira Sans" w:cs="Times New Roman"/>
          <w:color w:val="000000" w:themeColor="text1"/>
          <w:sz w:val="19"/>
          <w:szCs w:val="19"/>
        </w:rPr>
        <w:t xml:space="preserve">, tj. główne agregaty, niefinansowe rachunki sektorowe, tablice </w:t>
      </w:r>
      <w:r w:rsidR="009C6645">
        <w:rPr>
          <w:rFonts w:ascii="Fira Sans" w:hAnsi="Fira Sans" w:cs="Times New Roman"/>
          <w:color w:val="000000" w:themeColor="text1"/>
          <w:sz w:val="19"/>
          <w:szCs w:val="19"/>
        </w:rPr>
        <w:t>podaży i wykorzystania, bilanse</w:t>
      </w:r>
      <w:r w:rsidR="00826568" w:rsidRPr="00826568">
        <w:rPr>
          <w:rFonts w:ascii="Fira Sans" w:hAnsi="Fira Sans" w:cs="Times New Roman"/>
          <w:color w:val="000000" w:themeColor="text1"/>
          <w:sz w:val="19"/>
          <w:szCs w:val="19"/>
        </w:rPr>
        <w:t xml:space="preserve"> przepływów międzygałęziowych, niefinansowe i finansowe rachunki sektora instytucji rządowych i samorządowych</w:t>
      </w:r>
      <w:r w:rsidR="0046788F" w:rsidRPr="00826568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  <w:r w:rsidR="00826568" w:rsidRPr="00826568">
        <w:rPr>
          <w:rFonts w:ascii="Fira Sans" w:hAnsi="Fira Sans" w:cs="Times New Roman"/>
          <w:color w:val="000000" w:themeColor="text1"/>
          <w:sz w:val="19"/>
          <w:szCs w:val="19"/>
        </w:rPr>
        <w:t xml:space="preserve">oraz rachunki regionalne. </w:t>
      </w:r>
    </w:p>
    <w:p w:rsidR="001F2B3B" w:rsidRPr="00826568" w:rsidRDefault="001B17BC" w:rsidP="005D2473">
      <w:pPr>
        <w:spacing w:before="120" w:after="120" w:line="360" w:lineRule="auto"/>
        <w:ind w:left="284"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826568">
        <w:rPr>
          <w:rFonts w:ascii="Fira Sans" w:hAnsi="Fira Sans" w:cs="Times New Roman"/>
          <w:color w:val="000000" w:themeColor="text1"/>
          <w:sz w:val="19"/>
          <w:szCs w:val="19"/>
        </w:rPr>
        <w:t>Ze względu na rodzaj zmian wprowadzanych do</w:t>
      </w:r>
      <w:r w:rsidR="003D74A1" w:rsidRPr="004A3AE3">
        <w:rPr>
          <w:rFonts w:ascii="Fira Sans" w:hAnsi="Fira Sans" w:cs="Times New Roman"/>
          <w:color w:val="000000" w:themeColor="text1"/>
          <w:sz w:val="19"/>
          <w:szCs w:val="19"/>
        </w:rPr>
        <w:t xml:space="preserve"> rachunków </w:t>
      </w:r>
      <w:r w:rsidR="003D74A1">
        <w:rPr>
          <w:rFonts w:ascii="Fira Sans" w:hAnsi="Fira Sans" w:cs="Times New Roman"/>
          <w:color w:val="000000" w:themeColor="text1"/>
          <w:sz w:val="19"/>
          <w:szCs w:val="19"/>
        </w:rPr>
        <w:t>rocznych i kwartalnych</w:t>
      </w:r>
      <w:r w:rsidR="00837D77">
        <w:rPr>
          <w:rFonts w:ascii="Fira Sans" w:hAnsi="Fira Sans" w:cs="Times New Roman"/>
          <w:color w:val="000000" w:themeColor="text1"/>
          <w:sz w:val="19"/>
          <w:szCs w:val="19"/>
        </w:rPr>
        <w:t xml:space="preserve">, polska polityka rewizji </w:t>
      </w:r>
      <w:r w:rsidR="003D74A1">
        <w:rPr>
          <w:rFonts w:ascii="Fira Sans" w:hAnsi="Fira Sans" w:cs="Times New Roman"/>
          <w:color w:val="000000" w:themeColor="text1"/>
          <w:sz w:val="19"/>
          <w:szCs w:val="19"/>
        </w:rPr>
        <w:t xml:space="preserve">rachunków narodowych </w:t>
      </w:r>
      <w:r w:rsidR="003970F3">
        <w:rPr>
          <w:rFonts w:ascii="Fira Sans" w:hAnsi="Fira Sans" w:cs="Times New Roman"/>
          <w:color w:val="000000" w:themeColor="text1"/>
          <w:sz w:val="19"/>
          <w:szCs w:val="19"/>
        </w:rPr>
        <w:t xml:space="preserve">i regionalnych </w:t>
      </w:r>
      <w:r w:rsidR="00837D77">
        <w:rPr>
          <w:rFonts w:ascii="Fira Sans" w:hAnsi="Fira Sans" w:cs="Times New Roman"/>
          <w:color w:val="000000" w:themeColor="text1"/>
          <w:sz w:val="19"/>
          <w:szCs w:val="19"/>
        </w:rPr>
        <w:t>przewiduje przeprowadzanie</w:t>
      </w:r>
      <w:r w:rsidR="001F2B3B" w:rsidRPr="00826568">
        <w:rPr>
          <w:rFonts w:ascii="Fira Sans" w:hAnsi="Fira Sans" w:cs="Times New Roman"/>
          <w:color w:val="000000" w:themeColor="text1"/>
          <w:sz w:val="19"/>
          <w:szCs w:val="19"/>
        </w:rPr>
        <w:t xml:space="preserve"> rewizj</w:t>
      </w:r>
      <w:r w:rsidR="00837D77">
        <w:rPr>
          <w:rFonts w:ascii="Fira Sans" w:hAnsi="Fira Sans" w:cs="Times New Roman"/>
          <w:color w:val="000000" w:themeColor="text1"/>
          <w:sz w:val="19"/>
          <w:szCs w:val="19"/>
        </w:rPr>
        <w:t>i</w:t>
      </w:r>
      <w:r w:rsidR="001F2B3B" w:rsidRPr="00826568">
        <w:rPr>
          <w:rFonts w:ascii="Fira Sans" w:hAnsi="Fira Sans" w:cs="Times New Roman"/>
          <w:b/>
          <w:color w:val="000000" w:themeColor="text1"/>
          <w:sz w:val="19"/>
          <w:szCs w:val="19"/>
        </w:rPr>
        <w:t xml:space="preserve"> rutynow</w:t>
      </w:r>
      <w:r w:rsidR="00837D77">
        <w:rPr>
          <w:rFonts w:ascii="Fira Sans" w:hAnsi="Fira Sans" w:cs="Times New Roman"/>
          <w:b/>
          <w:color w:val="000000" w:themeColor="text1"/>
          <w:sz w:val="19"/>
          <w:szCs w:val="19"/>
        </w:rPr>
        <w:t>ych</w:t>
      </w:r>
      <w:r w:rsidR="001F2B3B" w:rsidRPr="00826568">
        <w:rPr>
          <w:rFonts w:ascii="Fira Sans" w:hAnsi="Fira Sans" w:cs="Times New Roman"/>
          <w:b/>
          <w:color w:val="000000" w:themeColor="text1"/>
          <w:sz w:val="19"/>
          <w:szCs w:val="19"/>
        </w:rPr>
        <w:t xml:space="preserve"> </w:t>
      </w:r>
      <w:r w:rsidR="001F2B3B" w:rsidRPr="00826568">
        <w:rPr>
          <w:rFonts w:ascii="Fira Sans" w:hAnsi="Fira Sans" w:cs="Times New Roman"/>
          <w:color w:val="000000" w:themeColor="text1"/>
          <w:sz w:val="19"/>
          <w:szCs w:val="19"/>
        </w:rPr>
        <w:t>oraz</w:t>
      </w:r>
      <w:r w:rsidR="001F2B3B" w:rsidRPr="00826568">
        <w:rPr>
          <w:rFonts w:ascii="Fira Sans" w:hAnsi="Fira Sans" w:cs="Times New Roman"/>
          <w:b/>
          <w:color w:val="000000" w:themeColor="text1"/>
          <w:sz w:val="19"/>
          <w:szCs w:val="19"/>
        </w:rPr>
        <w:t xml:space="preserve"> główn</w:t>
      </w:r>
      <w:r w:rsidR="00837D77">
        <w:rPr>
          <w:rFonts w:ascii="Fira Sans" w:hAnsi="Fira Sans" w:cs="Times New Roman"/>
          <w:b/>
          <w:color w:val="000000" w:themeColor="text1"/>
          <w:sz w:val="19"/>
          <w:szCs w:val="19"/>
        </w:rPr>
        <w:t>ych</w:t>
      </w:r>
      <w:r w:rsidR="001F2B3B" w:rsidRPr="00826568">
        <w:rPr>
          <w:rFonts w:ascii="Fira Sans" w:hAnsi="Fira Sans" w:cs="Times New Roman"/>
          <w:b/>
          <w:color w:val="000000" w:themeColor="text1"/>
          <w:sz w:val="19"/>
          <w:szCs w:val="19"/>
        </w:rPr>
        <w:t>.</w:t>
      </w:r>
      <w:r w:rsidR="001F2B3B" w:rsidRPr="00826568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</w:p>
    <w:p w:rsidR="00243210" w:rsidRDefault="001F2B3B" w:rsidP="005D2473">
      <w:pPr>
        <w:autoSpaceDE w:val="0"/>
        <w:autoSpaceDN w:val="0"/>
        <w:adjustRightInd w:val="0"/>
        <w:spacing w:before="240" w:after="114" w:line="360" w:lineRule="auto"/>
        <w:ind w:left="284"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771F2E">
        <w:rPr>
          <w:rFonts w:ascii="Fira Sans" w:hAnsi="Fira Sans" w:cs="Times New Roman"/>
          <w:b/>
          <w:i/>
          <w:color w:val="000000" w:themeColor="text1"/>
          <w:sz w:val="19"/>
          <w:szCs w:val="19"/>
        </w:rPr>
        <w:t>Rewizje</w:t>
      </w:r>
      <w:r w:rsidRPr="00771F2E">
        <w:rPr>
          <w:rFonts w:ascii="Fira Sans" w:hAnsi="Fira Sans" w:cs="Times New Roman"/>
          <w:i/>
          <w:color w:val="000000" w:themeColor="text1"/>
          <w:sz w:val="19"/>
          <w:szCs w:val="19"/>
        </w:rPr>
        <w:t xml:space="preserve"> </w:t>
      </w:r>
      <w:r w:rsidRPr="00771F2E">
        <w:rPr>
          <w:rFonts w:ascii="Fira Sans" w:hAnsi="Fira Sans" w:cs="Times New Roman"/>
          <w:b/>
          <w:i/>
          <w:color w:val="000000" w:themeColor="text1"/>
          <w:sz w:val="19"/>
          <w:szCs w:val="19"/>
        </w:rPr>
        <w:t>rutynowe</w:t>
      </w:r>
      <w:r w:rsidR="009C6645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  <w:r w:rsidR="00771F2E">
        <w:rPr>
          <w:rFonts w:ascii="Fira Sans" w:hAnsi="Fira Sans" w:cs="Times New Roman"/>
          <w:color w:val="000000" w:themeColor="text1"/>
          <w:sz w:val="19"/>
          <w:szCs w:val="19"/>
        </w:rPr>
        <w:t>obejmują wszystkie zmiany jakie zaszły od wstępnego do ostatecznego szacunku dla danego okresu sprawozdawczego. Zmiany te</w:t>
      </w:r>
      <w:r w:rsidR="009C6645">
        <w:rPr>
          <w:rFonts w:ascii="Fira Sans" w:hAnsi="Fira Sans" w:cs="Times New Roman"/>
          <w:color w:val="000000" w:themeColor="text1"/>
          <w:sz w:val="19"/>
          <w:szCs w:val="19"/>
        </w:rPr>
        <w:t>,</w:t>
      </w:r>
      <w:r w:rsidR="00771F2E">
        <w:rPr>
          <w:rFonts w:ascii="Fira Sans" w:hAnsi="Fira Sans" w:cs="Times New Roman"/>
          <w:color w:val="000000" w:themeColor="text1"/>
          <w:sz w:val="19"/>
          <w:szCs w:val="19"/>
        </w:rPr>
        <w:t xml:space="preserve"> co do zasady</w:t>
      </w:r>
      <w:r w:rsidR="009C6645">
        <w:rPr>
          <w:rFonts w:ascii="Fira Sans" w:hAnsi="Fira Sans" w:cs="Times New Roman"/>
          <w:color w:val="000000" w:themeColor="text1"/>
          <w:sz w:val="19"/>
          <w:szCs w:val="19"/>
        </w:rPr>
        <w:t>,</w:t>
      </w:r>
      <w:r w:rsidR="00771F2E">
        <w:rPr>
          <w:rFonts w:ascii="Fira Sans" w:hAnsi="Fira Sans" w:cs="Times New Roman"/>
          <w:color w:val="000000" w:themeColor="text1"/>
          <w:sz w:val="19"/>
          <w:szCs w:val="19"/>
        </w:rPr>
        <w:t xml:space="preserve"> wynikają z </w:t>
      </w:r>
      <w:r w:rsidRPr="00771F2E">
        <w:rPr>
          <w:rFonts w:ascii="Fira Sans" w:hAnsi="Fira Sans" w:cs="Times New Roman"/>
          <w:color w:val="000000" w:themeColor="text1"/>
          <w:sz w:val="19"/>
          <w:szCs w:val="19"/>
        </w:rPr>
        <w:t>dostępnoś</w:t>
      </w:r>
      <w:r w:rsidR="00771F2E">
        <w:rPr>
          <w:rFonts w:ascii="Fira Sans" w:hAnsi="Fira Sans" w:cs="Times New Roman"/>
          <w:color w:val="000000" w:themeColor="text1"/>
          <w:sz w:val="19"/>
          <w:szCs w:val="19"/>
        </w:rPr>
        <w:t>ci</w:t>
      </w:r>
      <w:r w:rsidRPr="00771F2E">
        <w:rPr>
          <w:rFonts w:ascii="Fira Sans" w:hAnsi="Fira Sans" w:cs="Times New Roman"/>
          <w:color w:val="000000" w:themeColor="text1"/>
          <w:sz w:val="19"/>
          <w:szCs w:val="19"/>
        </w:rPr>
        <w:t xml:space="preserve"> danych źródłowych, </w:t>
      </w:r>
      <w:r w:rsidR="00771F2E">
        <w:rPr>
          <w:rFonts w:ascii="Fira Sans" w:hAnsi="Fira Sans" w:cs="Times New Roman"/>
          <w:color w:val="000000" w:themeColor="text1"/>
          <w:sz w:val="19"/>
          <w:szCs w:val="19"/>
        </w:rPr>
        <w:t>regularnej</w:t>
      </w:r>
      <w:r w:rsidR="00771F2E" w:rsidRPr="00771F2E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  <w:r w:rsidRPr="00771F2E">
        <w:rPr>
          <w:rFonts w:ascii="Fira Sans" w:hAnsi="Fira Sans" w:cs="Times New Roman"/>
          <w:color w:val="000000" w:themeColor="text1"/>
          <w:sz w:val="19"/>
          <w:szCs w:val="19"/>
        </w:rPr>
        <w:t>analiz</w:t>
      </w:r>
      <w:r w:rsidR="00771F2E">
        <w:rPr>
          <w:rFonts w:ascii="Fira Sans" w:hAnsi="Fira Sans" w:cs="Times New Roman"/>
          <w:color w:val="000000" w:themeColor="text1"/>
          <w:sz w:val="19"/>
          <w:szCs w:val="19"/>
        </w:rPr>
        <w:t>y</w:t>
      </w:r>
      <w:r w:rsidRPr="00771F2E">
        <w:rPr>
          <w:rFonts w:ascii="Fira Sans" w:hAnsi="Fira Sans" w:cs="Times New Roman"/>
          <w:color w:val="000000" w:themeColor="text1"/>
          <w:sz w:val="19"/>
          <w:szCs w:val="19"/>
        </w:rPr>
        <w:t xml:space="preserve"> jednostek </w:t>
      </w:r>
      <w:r w:rsidR="00771F2E">
        <w:rPr>
          <w:rFonts w:ascii="Fira Sans" w:hAnsi="Fira Sans" w:cs="Times New Roman"/>
          <w:color w:val="000000" w:themeColor="text1"/>
          <w:sz w:val="19"/>
          <w:szCs w:val="19"/>
        </w:rPr>
        <w:t>instytucjonalnych</w:t>
      </w:r>
      <w:r w:rsidRPr="00771F2E">
        <w:rPr>
          <w:rFonts w:ascii="Fira Sans" w:hAnsi="Fira Sans" w:cs="Times New Roman"/>
          <w:color w:val="000000" w:themeColor="text1"/>
          <w:sz w:val="19"/>
          <w:szCs w:val="19"/>
        </w:rPr>
        <w:t>, pozwalając</w:t>
      </w:r>
      <w:r w:rsidR="00771F2E">
        <w:rPr>
          <w:rFonts w:ascii="Fira Sans" w:hAnsi="Fira Sans" w:cs="Times New Roman"/>
          <w:color w:val="000000" w:themeColor="text1"/>
          <w:sz w:val="19"/>
          <w:szCs w:val="19"/>
        </w:rPr>
        <w:t>ej</w:t>
      </w:r>
      <w:r w:rsidRPr="00771F2E">
        <w:rPr>
          <w:rFonts w:ascii="Fira Sans" w:hAnsi="Fira Sans" w:cs="Times New Roman"/>
          <w:color w:val="000000" w:themeColor="text1"/>
          <w:sz w:val="19"/>
          <w:szCs w:val="19"/>
        </w:rPr>
        <w:t xml:space="preserve"> na bieżącą aktualizację zakresu podmiotowego sektorów instytucjonalnych (zgodnie z kryteriami ESA</w:t>
      </w:r>
      <w:r w:rsidR="00771F2E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  <w:r w:rsidRPr="00771F2E">
        <w:rPr>
          <w:rFonts w:ascii="Fira Sans" w:hAnsi="Fira Sans" w:cs="Times New Roman"/>
          <w:color w:val="000000" w:themeColor="text1"/>
          <w:sz w:val="19"/>
          <w:szCs w:val="19"/>
        </w:rPr>
        <w:t xml:space="preserve">2010), </w:t>
      </w:r>
      <w:r w:rsidR="00771F2E">
        <w:rPr>
          <w:rFonts w:ascii="Fira Sans" w:hAnsi="Fira Sans" w:cs="Times New Roman"/>
          <w:color w:val="000000" w:themeColor="text1"/>
          <w:sz w:val="19"/>
          <w:szCs w:val="19"/>
        </w:rPr>
        <w:t>oraz terminów</w:t>
      </w:r>
      <w:r w:rsidRPr="00771F2E">
        <w:rPr>
          <w:rFonts w:ascii="Fira Sans" w:hAnsi="Fira Sans" w:cs="Times New Roman"/>
          <w:color w:val="000000" w:themeColor="text1"/>
          <w:sz w:val="19"/>
          <w:szCs w:val="19"/>
        </w:rPr>
        <w:t xml:space="preserve"> publik</w:t>
      </w:r>
      <w:r w:rsidR="00771F2E">
        <w:rPr>
          <w:rFonts w:ascii="Fira Sans" w:hAnsi="Fira Sans" w:cs="Times New Roman"/>
          <w:color w:val="000000" w:themeColor="text1"/>
          <w:sz w:val="19"/>
          <w:szCs w:val="19"/>
        </w:rPr>
        <w:t>acji</w:t>
      </w:r>
      <w:r w:rsidRPr="00771F2E">
        <w:rPr>
          <w:rFonts w:ascii="Fira Sans" w:hAnsi="Fira Sans" w:cs="Times New Roman"/>
          <w:color w:val="000000" w:themeColor="text1"/>
          <w:sz w:val="19"/>
          <w:szCs w:val="19"/>
        </w:rPr>
        <w:t xml:space="preserve"> danych (zgodne z zapisami PBSSP i Programu Transmisji Danych ESA</w:t>
      </w:r>
      <w:r w:rsidR="00771F2E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  <w:r w:rsidRPr="00771F2E">
        <w:rPr>
          <w:rFonts w:ascii="Fira Sans" w:hAnsi="Fira Sans" w:cs="Times New Roman"/>
          <w:color w:val="000000" w:themeColor="text1"/>
          <w:sz w:val="19"/>
          <w:szCs w:val="19"/>
        </w:rPr>
        <w:t>2010).</w:t>
      </w:r>
    </w:p>
    <w:p w:rsidR="001F2B3B" w:rsidRPr="00771F2E" w:rsidRDefault="001F2B3B" w:rsidP="005D2473">
      <w:pPr>
        <w:autoSpaceDE w:val="0"/>
        <w:autoSpaceDN w:val="0"/>
        <w:adjustRightInd w:val="0"/>
        <w:spacing w:before="240" w:after="114" w:line="360" w:lineRule="auto"/>
        <w:ind w:left="284" w:right="401"/>
        <w:jc w:val="both"/>
        <w:rPr>
          <w:rFonts w:ascii="Fira Sans" w:hAnsi="Fira Sans" w:cs="Times New Roman"/>
          <w:sz w:val="19"/>
          <w:szCs w:val="19"/>
        </w:rPr>
      </w:pPr>
      <w:r w:rsidRPr="00DC46AD">
        <w:rPr>
          <w:rFonts w:ascii="Fira Sans" w:hAnsi="Fira Sans" w:cs="Times New Roman"/>
          <w:b/>
          <w:i/>
          <w:color w:val="000000" w:themeColor="text1"/>
          <w:sz w:val="19"/>
          <w:szCs w:val="19"/>
        </w:rPr>
        <w:lastRenderedPageBreak/>
        <w:t>Rewizje</w:t>
      </w:r>
      <w:r w:rsidRPr="00DC46AD">
        <w:rPr>
          <w:rFonts w:ascii="Fira Sans" w:hAnsi="Fira Sans" w:cs="Times New Roman"/>
          <w:i/>
          <w:color w:val="000000" w:themeColor="text1"/>
          <w:sz w:val="19"/>
          <w:szCs w:val="19"/>
        </w:rPr>
        <w:t xml:space="preserve"> </w:t>
      </w:r>
      <w:r w:rsidRPr="00DC46AD">
        <w:rPr>
          <w:rFonts w:ascii="Fira Sans" w:hAnsi="Fira Sans" w:cs="Times New Roman"/>
          <w:b/>
          <w:i/>
          <w:color w:val="000000" w:themeColor="text1"/>
          <w:sz w:val="19"/>
          <w:szCs w:val="19"/>
        </w:rPr>
        <w:t>główne</w:t>
      </w:r>
      <w:r w:rsidRPr="00DC46AD">
        <w:rPr>
          <w:rFonts w:ascii="Fira Sans" w:hAnsi="Fira Sans" w:cs="Times New Roman"/>
          <w:b/>
          <w:color w:val="000000" w:themeColor="text1"/>
          <w:sz w:val="19"/>
          <w:szCs w:val="19"/>
        </w:rPr>
        <w:t xml:space="preserve"> </w:t>
      </w:r>
      <w:r w:rsidRPr="00DC46AD">
        <w:rPr>
          <w:rFonts w:ascii="Fira Sans" w:hAnsi="Fira Sans" w:cs="Times New Roman"/>
          <w:color w:val="000000" w:themeColor="text1"/>
          <w:sz w:val="19"/>
          <w:szCs w:val="19"/>
        </w:rPr>
        <w:t xml:space="preserve">związane są z przedsięwzięciami realizowanymi w ramach Europejskiego Systemu Statystycznego (ESS), jak na przykład wdrożenie </w:t>
      </w:r>
      <w:r w:rsidRPr="00DC46AD">
        <w:rPr>
          <w:rFonts w:ascii="Fira Sans" w:eastAsia="Calibri" w:hAnsi="Fira Sans" w:cs="Times New Roman"/>
          <w:color w:val="000000" w:themeColor="text1"/>
          <w:sz w:val="19"/>
          <w:szCs w:val="19"/>
        </w:rPr>
        <w:t xml:space="preserve">nowych międzynarodowych standardów </w:t>
      </w:r>
      <w:r w:rsidR="00243210" w:rsidRPr="00DC46AD">
        <w:rPr>
          <w:rFonts w:ascii="Fira Sans" w:eastAsia="Calibri" w:hAnsi="Fira Sans" w:cs="Times New Roman"/>
          <w:color w:val="000000" w:themeColor="text1"/>
          <w:sz w:val="19"/>
          <w:szCs w:val="19"/>
        </w:rPr>
        <w:t>metodologicznych w zakresie systemu rachunków narodowych, bilansu płatniczego i międzynarodowej pozycji inwestycyjnej oraz klasyfikacji stosowanych w ramach ESS.</w:t>
      </w:r>
      <w:r w:rsidR="00243210">
        <w:rPr>
          <w:rFonts w:ascii="Fira Sans" w:eastAsia="Calibri" w:hAnsi="Fira Sans" w:cs="Times New Roman"/>
          <w:color w:val="000000" w:themeColor="text1"/>
          <w:sz w:val="19"/>
          <w:szCs w:val="19"/>
        </w:rPr>
        <w:t xml:space="preserve"> </w:t>
      </w:r>
      <w:r w:rsidR="00A43A30">
        <w:rPr>
          <w:rFonts w:ascii="Fira Sans" w:eastAsia="Calibri" w:hAnsi="Fira Sans" w:cs="Times New Roman"/>
          <w:color w:val="000000" w:themeColor="text1"/>
          <w:sz w:val="19"/>
          <w:szCs w:val="19"/>
        </w:rPr>
        <w:t xml:space="preserve">Odmianą rewizji głównych są rewizje benchmarkingowe, w ramach których statystyki rachunków narodowych są aktualizowane w związku z zastosowaniem udoskonalonych metod kompilacji danych i wykorzystaniem nowych lub bardziej szczegółowych źródeł danych. </w:t>
      </w:r>
      <w:r w:rsidR="007222C2">
        <w:rPr>
          <w:rFonts w:ascii="Fira Sans" w:eastAsia="Calibri" w:hAnsi="Fira Sans" w:cs="Times New Roman"/>
          <w:color w:val="000000" w:themeColor="text1"/>
          <w:sz w:val="19"/>
          <w:szCs w:val="19"/>
        </w:rPr>
        <w:t>R</w:t>
      </w:r>
      <w:r w:rsidR="00A43A30">
        <w:rPr>
          <w:rFonts w:ascii="Fira Sans" w:eastAsia="Calibri" w:hAnsi="Fira Sans" w:cs="Times New Roman"/>
          <w:color w:val="000000" w:themeColor="text1"/>
          <w:sz w:val="19"/>
          <w:szCs w:val="19"/>
        </w:rPr>
        <w:t xml:space="preserve">ewizje benchmarkingowe przeprowadzane są w rachunkach narodowych co pięć lat. </w:t>
      </w:r>
    </w:p>
    <w:p w:rsidR="001F2B3B" w:rsidRDefault="001F2B3B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771F2E">
        <w:rPr>
          <w:rFonts w:ascii="Fira Sans" w:hAnsi="Fira Sans" w:cs="Times New Roman"/>
          <w:color w:val="000000" w:themeColor="text1"/>
          <w:sz w:val="19"/>
          <w:szCs w:val="19"/>
        </w:rPr>
        <w:t>Rewizjami obejmowane są wszystkie obszary rachunków narodowych</w:t>
      </w:r>
      <w:r w:rsidR="00243210">
        <w:rPr>
          <w:rFonts w:ascii="Fira Sans" w:hAnsi="Fira Sans" w:cs="Times New Roman"/>
          <w:color w:val="000000" w:themeColor="text1"/>
          <w:sz w:val="19"/>
          <w:szCs w:val="19"/>
        </w:rPr>
        <w:t xml:space="preserve"> i regionalnych</w:t>
      </w:r>
      <w:r w:rsidRPr="00771F2E">
        <w:rPr>
          <w:rFonts w:ascii="Fira Sans" w:hAnsi="Fira Sans" w:cs="Times New Roman"/>
          <w:color w:val="000000" w:themeColor="text1"/>
          <w:sz w:val="19"/>
          <w:szCs w:val="19"/>
        </w:rPr>
        <w:t xml:space="preserve">, </w:t>
      </w:r>
      <w:r w:rsidR="00243210">
        <w:rPr>
          <w:rFonts w:ascii="Fira Sans" w:hAnsi="Fira Sans" w:cs="Times New Roman"/>
          <w:color w:val="000000" w:themeColor="text1"/>
          <w:sz w:val="19"/>
          <w:szCs w:val="19"/>
        </w:rPr>
        <w:t xml:space="preserve">w tym zestawy danych </w:t>
      </w:r>
      <w:r w:rsidRPr="00771F2E">
        <w:rPr>
          <w:rFonts w:ascii="Fira Sans" w:hAnsi="Fira Sans" w:cs="Times New Roman"/>
          <w:color w:val="000000" w:themeColor="text1"/>
          <w:sz w:val="19"/>
          <w:szCs w:val="19"/>
        </w:rPr>
        <w:t xml:space="preserve">kwartalnych i rocznych, </w:t>
      </w:r>
      <w:r w:rsidRPr="00243210">
        <w:rPr>
          <w:rFonts w:ascii="Fira Sans" w:hAnsi="Fira Sans" w:cs="Times New Roman"/>
          <w:color w:val="000000" w:themeColor="text1"/>
          <w:sz w:val="19"/>
          <w:szCs w:val="19"/>
        </w:rPr>
        <w:t>rachunk</w:t>
      </w:r>
      <w:r w:rsidR="00243210">
        <w:rPr>
          <w:rFonts w:ascii="Fira Sans" w:hAnsi="Fira Sans" w:cs="Times New Roman"/>
          <w:color w:val="000000" w:themeColor="text1"/>
          <w:sz w:val="19"/>
          <w:szCs w:val="19"/>
        </w:rPr>
        <w:t>i</w:t>
      </w:r>
      <w:r w:rsidRPr="00243210">
        <w:rPr>
          <w:rFonts w:ascii="Fira Sans" w:hAnsi="Fira Sans" w:cs="Times New Roman"/>
          <w:color w:val="000000" w:themeColor="text1"/>
          <w:sz w:val="19"/>
          <w:szCs w:val="19"/>
        </w:rPr>
        <w:t xml:space="preserve"> według rodzajów działalności (PKD 2007), niefinansow</w:t>
      </w:r>
      <w:r w:rsidR="00243210">
        <w:rPr>
          <w:rFonts w:ascii="Fira Sans" w:hAnsi="Fira Sans" w:cs="Times New Roman"/>
          <w:color w:val="000000" w:themeColor="text1"/>
          <w:sz w:val="19"/>
          <w:szCs w:val="19"/>
        </w:rPr>
        <w:t>e</w:t>
      </w:r>
      <w:r w:rsidRPr="00243210">
        <w:rPr>
          <w:rFonts w:ascii="Fira Sans" w:hAnsi="Fira Sans" w:cs="Times New Roman"/>
          <w:color w:val="000000" w:themeColor="text1"/>
          <w:sz w:val="19"/>
          <w:szCs w:val="19"/>
        </w:rPr>
        <w:t xml:space="preserve"> i finansow</w:t>
      </w:r>
      <w:r w:rsidR="00243210">
        <w:rPr>
          <w:rFonts w:ascii="Fira Sans" w:hAnsi="Fira Sans" w:cs="Times New Roman"/>
          <w:color w:val="000000" w:themeColor="text1"/>
          <w:sz w:val="19"/>
          <w:szCs w:val="19"/>
        </w:rPr>
        <w:t>e</w:t>
      </w:r>
      <w:r w:rsidRPr="00243210">
        <w:rPr>
          <w:rFonts w:ascii="Fira Sans" w:hAnsi="Fira Sans" w:cs="Times New Roman"/>
          <w:color w:val="000000" w:themeColor="text1"/>
          <w:sz w:val="19"/>
          <w:szCs w:val="19"/>
        </w:rPr>
        <w:t xml:space="preserve"> rachunk</w:t>
      </w:r>
      <w:r w:rsidR="00243210">
        <w:rPr>
          <w:rFonts w:ascii="Fira Sans" w:hAnsi="Fira Sans" w:cs="Times New Roman"/>
          <w:color w:val="000000" w:themeColor="text1"/>
          <w:sz w:val="19"/>
          <w:szCs w:val="19"/>
        </w:rPr>
        <w:t>i</w:t>
      </w:r>
      <w:r w:rsidRPr="00243210">
        <w:rPr>
          <w:rFonts w:ascii="Fira Sans" w:hAnsi="Fira Sans" w:cs="Times New Roman"/>
          <w:color w:val="000000" w:themeColor="text1"/>
          <w:sz w:val="19"/>
          <w:szCs w:val="19"/>
        </w:rPr>
        <w:t xml:space="preserve"> według sektorów instytucjonalnych, tablic</w:t>
      </w:r>
      <w:r w:rsidR="00243210">
        <w:rPr>
          <w:rFonts w:ascii="Fira Sans" w:hAnsi="Fira Sans" w:cs="Times New Roman"/>
          <w:color w:val="000000" w:themeColor="text1"/>
          <w:sz w:val="19"/>
          <w:szCs w:val="19"/>
        </w:rPr>
        <w:t>e</w:t>
      </w:r>
      <w:r w:rsidRPr="00243210">
        <w:rPr>
          <w:rFonts w:ascii="Fira Sans" w:hAnsi="Fira Sans" w:cs="Times New Roman"/>
          <w:color w:val="000000" w:themeColor="text1"/>
          <w:sz w:val="19"/>
          <w:szCs w:val="19"/>
        </w:rPr>
        <w:t xml:space="preserve"> podaży i wykorzystania</w:t>
      </w:r>
      <w:r w:rsidR="00243210">
        <w:rPr>
          <w:rFonts w:ascii="Fira Sans" w:eastAsiaTheme="minorHAnsi" w:hAnsi="Fira Sans" w:cs="Times New Roman"/>
          <w:b/>
          <w:bCs/>
          <w:sz w:val="19"/>
          <w:szCs w:val="19"/>
          <w:lang w:eastAsia="en-US"/>
        </w:rPr>
        <w:t xml:space="preserve">, </w:t>
      </w:r>
      <w:r w:rsidRPr="00243210">
        <w:rPr>
          <w:rFonts w:ascii="Fira Sans" w:hAnsi="Fira Sans" w:cs="Times New Roman"/>
          <w:color w:val="000000" w:themeColor="text1"/>
          <w:sz w:val="19"/>
          <w:szCs w:val="19"/>
        </w:rPr>
        <w:t>bilans</w:t>
      </w:r>
      <w:r w:rsidR="00243210">
        <w:rPr>
          <w:rFonts w:ascii="Fira Sans" w:hAnsi="Fira Sans" w:cs="Times New Roman"/>
          <w:color w:val="000000" w:themeColor="text1"/>
          <w:sz w:val="19"/>
          <w:szCs w:val="19"/>
        </w:rPr>
        <w:t>e</w:t>
      </w:r>
      <w:r w:rsidRPr="00243210">
        <w:rPr>
          <w:rFonts w:ascii="Fira Sans" w:hAnsi="Fira Sans" w:cs="Times New Roman"/>
          <w:color w:val="000000" w:themeColor="text1"/>
          <w:sz w:val="19"/>
          <w:szCs w:val="19"/>
        </w:rPr>
        <w:t xml:space="preserve"> przepływów międzygałęziowych oraz </w:t>
      </w:r>
      <w:r w:rsidR="00243210">
        <w:rPr>
          <w:rFonts w:ascii="Fira Sans" w:hAnsi="Fira Sans" w:cs="Times New Roman"/>
          <w:color w:val="000000" w:themeColor="text1"/>
          <w:sz w:val="19"/>
          <w:szCs w:val="19"/>
        </w:rPr>
        <w:t xml:space="preserve">dane wykorzystywane do </w:t>
      </w:r>
      <w:r w:rsidRPr="00243210">
        <w:rPr>
          <w:rFonts w:ascii="Fira Sans" w:hAnsi="Fira Sans" w:cs="Times New Roman"/>
          <w:color w:val="000000" w:themeColor="text1"/>
          <w:sz w:val="19"/>
          <w:szCs w:val="19"/>
        </w:rPr>
        <w:t>porównań międzynarodowych produktu krajowego brutto.</w:t>
      </w:r>
    </w:p>
    <w:p w:rsidR="003832D4" w:rsidRDefault="003832D4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543"/>
        <w:gridCol w:w="3623"/>
      </w:tblGrid>
      <w:tr w:rsidR="003832D4" w:rsidRPr="00DE1E71" w:rsidTr="007222C2">
        <w:trPr>
          <w:jc w:val="center"/>
        </w:trPr>
        <w:tc>
          <w:tcPr>
            <w:tcW w:w="2122" w:type="dxa"/>
            <w:vMerge w:val="restart"/>
            <w:vAlign w:val="center"/>
          </w:tcPr>
          <w:p w:rsidR="003832D4" w:rsidRPr="00EC582C" w:rsidRDefault="003832D4" w:rsidP="005D2473">
            <w:pPr>
              <w:spacing w:line="276" w:lineRule="auto"/>
              <w:ind w:left="284" w:right="401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7166" w:type="dxa"/>
            <w:gridSpan w:val="2"/>
            <w:vAlign w:val="center"/>
          </w:tcPr>
          <w:p w:rsidR="003832D4" w:rsidRPr="00EC582C" w:rsidRDefault="00A43A30" w:rsidP="005D2473">
            <w:pPr>
              <w:spacing w:line="276" w:lineRule="auto"/>
              <w:ind w:left="284" w:right="401"/>
              <w:jc w:val="center"/>
              <w:rPr>
                <w:rFonts w:ascii="Fira Sans" w:hAnsi="Fira Sans" w:cs="Times New Roman"/>
                <w:b/>
                <w:sz w:val="19"/>
                <w:szCs w:val="19"/>
              </w:rPr>
            </w:pPr>
            <w:r>
              <w:rPr>
                <w:rFonts w:ascii="Fira Sans" w:hAnsi="Fira Sans" w:cs="Times New Roman"/>
                <w:b/>
                <w:sz w:val="19"/>
                <w:szCs w:val="19"/>
              </w:rPr>
              <w:t xml:space="preserve">Główne </w:t>
            </w:r>
            <w:r w:rsidR="003832D4" w:rsidRPr="00EC582C">
              <w:rPr>
                <w:rFonts w:ascii="Fira Sans" w:hAnsi="Fira Sans" w:cs="Times New Roman"/>
                <w:b/>
                <w:sz w:val="19"/>
                <w:szCs w:val="19"/>
              </w:rPr>
              <w:t>rewizje</w:t>
            </w:r>
          </w:p>
        </w:tc>
      </w:tr>
      <w:tr w:rsidR="003832D4" w:rsidRPr="00DE1E71" w:rsidTr="007222C2">
        <w:trPr>
          <w:jc w:val="center"/>
        </w:trPr>
        <w:tc>
          <w:tcPr>
            <w:tcW w:w="2122" w:type="dxa"/>
            <w:vMerge/>
            <w:vAlign w:val="center"/>
          </w:tcPr>
          <w:p w:rsidR="003832D4" w:rsidRPr="00EC582C" w:rsidRDefault="003832D4" w:rsidP="005D2473">
            <w:pPr>
              <w:spacing w:line="276" w:lineRule="auto"/>
              <w:ind w:left="284" w:right="401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3543" w:type="dxa"/>
            <w:vAlign w:val="center"/>
          </w:tcPr>
          <w:p w:rsidR="003832D4" w:rsidRPr="00EC582C" w:rsidRDefault="00A43A30" w:rsidP="003A6F45">
            <w:pPr>
              <w:spacing w:line="276" w:lineRule="auto"/>
              <w:ind w:left="284" w:right="401"/>
              <w:rPr>
                <w:rFonts w:ascii="Fira Sans" w:hAnsi="Fira Sans" w:cs="Times New Roman"/>
                <w:b/>
                <w:sz w:val="19"/>
                <w:szCs w:val="19"/>
              </w:rPr>
            </w:pPr>
            <w:r>
              <w:rPr>
                <w:rFonts w:ascii="Fira Sans" w:hAnsi="Fira Sans" w:cs="Times New Roman"/>
                <w:b/>
                <w:sz w:val="19"/>
                <w:szCs w:val="19"/>
              </w:rPr>
              <w:t>Główne</w:t>
            </w:r>
            <w:r w:rsidR="003832D4" w:rsidRPr="00EC582C">
              <w:rPr>
                <w:rFonts w:ascii="Fira Sans" w:hAnsi="Fira Sans" w:cs="Times New Roman"/>
                <w:b/>
                <w:sz w:val="19"/>
                <w:szCs w:val="19"/>
              </w:rPr>
              <w:t xml:space="preserve"> </w:t>
            </w:r>
            <w:r w:rsidR="003A6F45">
              <w:rPr>
                <w:rFonts w:ascii="Fira Sans" w:hAnsi="Fira Sans" w:cs="Times New Roman"/>
                <w:b/>
                <w:sz w:val="19"/>
                <w:szCs w:val="19"/>
              </w:rPr>
              <w:t xml:space="preserve">rewizje </w:t>
            </w:r>
            <w:r w:rsidR="003832D4" w:rsidRPr="00EC582C">
              <w:rPr>
                <w:rFonts w:ascii="Fira Sans" w:hAnsi="Fira Sans" w:cs="Times New Roman"/>
                <w:b/>
                <w:sz w:val="19"/>
                <w:szCs w:val="19"/>
              </w:rPr>
              <w:t>ad-hoc</w:t>
            </w:r>
          </w:p>
        </w:tc>
        <w:tc>
          <w:tcPr>
            <w:tcW w:w="3623" w:type="dxa"/>
            <w:vAlign w:val="center"/>
          </w:tcPr>
          <w:p w:rsidR="003832D4" w:rsidRDefault="00A43A30" w:rsidP="005D2473">
            <w:pPr>
              <w:spacing w:line="276" w:lineRule="auto"/>
              <w:ind w:left="284" w:right="401"/>
              <w:rPr>
                <w:rFonts w:ascii="Fira Sans" w:hAnsi="Fira Sans" w:cs="Times New Roman"/>
                <w:b/>
                <w:sz w:val="19"/>
                <w:szCs w:val="19"/>
              </w:rPr>
            </w:pPr>
            <w:r>
              <w:rPr>
                <w:rFonts w:ascii="Fira Sans" w:hAnsi="Fira Sans" w:cs="Times New Roman"/>
                <w:b/>
                <w:sz w:val="19"/>
                <w:szCs w:val="19"/>
              </w:rPr>
              <w:t>Główne</w:t>
            </w:r>
            <w:r w:rsidR="003832D4" w:rsidRPr="00EC582C">
              <w:rPr>
                <w:rFonts w:ascii="Fira Sans" w:hAnsi="Fira Sans" w:cs="Times New Roman"/>
                <w:b/>
                <w:sz w:val="19"/>
                <w:szCs w:val="19"/>
              </w:rPr>
              <w:t xml:space="preserve"> regularne rewizje</w:t>
            </w:r>
            <w:r w:rsidR="003832D4">
              <w:rPr>
                <w:rFonts w:ascii="Fira Sans" w:hAnsi="Fira Sans" w:cs="Times New Roman"/>
                <w:b/>
                <w:sz w:val="19"/>
                <w:szCs w:val="19"/>
              </w:rPr>
              <w:t xml:space="preserve"> tzw. </w:t>
            </w:r>
          </w:p>
          <w:p w:rsidR="003832D4" w:rsidRPr="00EC582C" w:rsidRDefault="003832D4" w:rsidP="005D2473">
            <w:pPr>
              <w:spacing w:line="276" w:lineRule="auto"/>
              <w:ind w:left="284" w:right="401"/>
              <w:rPr>
                <w:rFonts w:ascii="Fira Sans" w:hAnsi="Fira Sans" w:cs="Times New Roman"/>
                <w:b/>
                <w:sz w:val="19"/>
                <w:szCs w:val="19"/>
              </w:rPr>
            </w:pPr>
            <w:r>
              <w:rPr>
                <w:rFonts w:ascii="Fira Sans" w:hAnsi="Fira Sans" w:cs="Times New Roman"/>
                <w:b/>
                <w:sz w:val="19"/>
                <w:szCs w:val="19"/>
              </w:rPr>
              <w:t>rewizje bench</w:t>
            </w:r>
            <w:r w:rsidR="00B82031">
              <w:rPr>
                <w:rFonts w:ascii="Fira Sans" w:hAnsi="Fira Sans" w:cs="Times New Roman"/>
                <w:b/>
                <w:sz w:val="19"/>
                <w:szCs w:val="19"/>
              </w:rPr>
              <w:t>m</w:t>
            </w:r>
            <w:r>
              <w:rPr>
                <w:rFonts w:ascii="Fira Sans" w:hAnsi="Fira Sans" w:cs="Times New Roman"/>
                <w:b/>
                <w:sz w:val="19"/>
                <w:szCs w:val="19"/>
              </w:rPr>
              <w:t>arkingowe</w:t>
            </w:r>
          </w:p>
        </w:tc>
      </w:tr>
      <w:tr w:rsidR="003832D4" w:rsidRPr="00DE1E71" w:rsidTr="007222C2">
        <w:trPr>
          <w:jc w:val="center"/>
        </w:trPr>
        <w:tc>
          <w:tcPr>
            <w:tcW w:w="2122" w:type="dxa"/>
            <w:vAlign w:val="center"/>
          </w:tcPr>
          <w:p w:rsidR="003832D4" w:rsidRPr="00EC582C" w:rsidRDefault="003832D4" w:rsidP="005D2473">
            <w:pPr>
              <w:spacing w:line="276" w:lineRule="auto"/>
              <w:ind w:left="284" w:right="401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EC582C">
              <w:rPr>
                <w:rFonts w:ascii="Fira Sans" w:hAnsi="Fira Sans" w:cs="Times New Roman"/>
                <w:b/>
                <w:sz w:val="19"/>
                <w:szCs w:val="19"/>
              </w:rPr>
              <w:t>Opis</w:t>
            </w:r>
          </w:p>
        </w:tc>
        <w:tc>
          <w:tcPr>
            <w:tcW w:w="3543" w:type="dxa"/>
            <w:vAlign w:val="center"/>
          </w:tcPr>
          <w:p w:rsidR="003832D4" w:rsidRPr="00EC582C" w:rsidRDefault="003832D4" w:rsidP="005D2473">
            <w:pPr>
              <w:spacing w:line="276" w:lineRule="auto"/>
              <w:ind w:left="284" w:right="401"/>
              <w:rPr>
                <w:rFonts w:ascii="Fira Sans" w:hAnsi="Fira Sans" w:cs="Times New Roman"/>
                <w:sz w:val="19"/>
                <w:szCs w:val="19"/>
              </w:rPr>
            </w:pPr>
            <w:r w:rsidRPr="00EC582C">
              <w:rPr>
                <w:rFonts w:ascii="Fira Sans" w:hAnsi="Fira Sans" w:cs="Times New Roman"/>
                <w:sz w:val="19"/>
                <w:szCs w:val="19"/>
              </w:rPr>
              <w:t>W wyniku dużych zmian metodologicznych (np. wdrożenie nowego NACE, ESA) lub zmiana składu strefy Euro.</w:t>
            </w:r>
          </w:p>
        </w:tc>
        <w:tc>
          <w:tcPr>
            <w:tcW w:w="3623" w:type="dxa"/>
            <w:vAlign w:val="center"/>
          </w:tcPr>
          <w:p w:rsidR="003832D4" w:rsidRPr="00EC582C" w:rsidRDefault="003832D4" w:rsidP="005D2473">
            <w:pPr>
              <w:spacing w:line="276" w:lineRule="auto"/>
              <w:ind w:left="284" w:right="401"/>
              <w:rPr>
                <w:rFonts w:ascii="Fira Sans" w:hAnsi="Fira Sans" w:cs="Times New Roman"/>
                <w:sz w:val="19"/>
                <w:szCs w:val="19"/>
              </w:rPr>
            </w:pPr>
            <w:r w:rsidRPr="00EC582C">
              <w:rPr>
                <w:rFonts w:ascii="Fira Sans" w:hAnsi="Fira Sans" w:cs="Times New Roman"/>
                <w:sz w:val="19"/>
                <w:szCs w:val="19"/>
              </w:rPr>
              <w:t xml:space="preserve">W wyniku zmian w podstawowych źródłach danych i/lub nowych metod szacunku, z reguły co 5-10 lat. </w:t>
            </w:r>
          </w:p>
        </w:tc>
      </w:tr>
      <w:tr w:rsidR="003832D4" w:rsidRPr="00DE1E71" w:rsidTr="007222C2">
        <w:trPr>
          <w:jc w:val="center"/>
        </w:trPr>
        <w:tc>
          <w:tcPr>
            <w:tcW w:w="2122" w:type="dxa"/>
            <w:vAlign w:val="center"/>
          </w:tcPr>
          <w:p w:rsidR="003832D4" w:rsidRPr="00EC582C" w:rsidRDefault="003832D4" w:rsidP="005D2473">
            <w:pPr>
              <w:spacing w:line="276" w:lineRule="auto"/>
              <w:ind w:left="284" w:right="401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EC582C">
              <w:rPr>
                <w:rFonts w:ascii="Fira Sans" w:hAnsi="Fira Sans" w:cs="Times New Roman"/>
                <w:b/>
                <w:sz w:val="19"/>
                <w:szCs w:val="19"/>
              </w:rPr>
              <w:t xml:space="preserve">Zakres lat </w:t>
            </w:r>
          </w:p>
        </w:tc>
        <w:tc>
          <w:tcPr>
            <w:tcW w:w="7166" w:type="dxa"/>
            <w:gridSpan w:val="2"/>
            <w:vAlign w:val="center"/>
          </w:tcPr>
          <w:p w:rsidR="003832D4" w:rsidRPr="00EC582C" w:rsidRDefault="003832D4" w:rsidP="005D2473">
            <w:pPr>
              <w:spacing w:line="276" w:lineRule="auto"/>
              <w:ind w:left="284" w:right="401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 w:rsidRPr="00EC582C">
              <w:rPr>
                <w:rFonts w:ascii="Fira Sans" w:hAnsi="Fira Sans" w:cs="Times New Roman"/>
                <w:sz w:val="19"/>
                <w:szCs w:val="19"/>
              </w:rPr>
              <w:t>Cały szereg lat (możliwie najdłuższy)</w:t>
            </w:r>
          </w:p>
        </w:tc>
        <w:bookmarkStart w:id="0" w:name="_GoBack"/>
        <w:bookmarkEnd w:id="0"/>
      </w:tr>
      <w:tr w:rsidR="003832D4" w:rsidRPr="00DE1E71" w:rsidTr="007222C2">
        <w:trPr>
          <w:jc w:val="center"/>
        </w:trPr>
        <w:tc>
          <w:tcPr>
            <w:tcW w:w="2122" w:type="dxa"/>
            <w:vAlign w:val="center"/>
          </w:tcPr>
          <w:p w:rsidR="003832D4" w:rsidRPr="00EC582C" w:rsidRDefault="003832D4" w:rsidP="005D2473">
            <w:pPr>
              <w:spacing w:line="276" w:lineRule="auto"/>
              <w:ind w:left="284" w:right="401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EC582C">
              <w:rPr>
                <w:rFonts w:ascii="Fira Sans" w:hAnsi="Fira Sans" w:cs="Times New Roman"/>
                <w:b/>
                <w:sz w:val="19"/>
                <w:szCs w:val="19"/>
              </w:rPr>
              <w:t>Termin</w:t>
            </w:r>
          </w:p>
        </w:tc>
        <w:tc>
          <w:tcPr>
            <w:tcW w:w="3543" w:type="dxa"/>
            <w:vAlign w:val="center"/>
          </w:tcPr>
          <w:p w:rsidR="003832D4" w:rsidRPr="00EC582C" w:rsidRDefault="003832D4" w:rsidP="005D2473">
            <w:pPr>
              <w:spacing w:line="276" w:lineRule="auto"/>
              <w:ind w:left="284" w:right="401"/>
              <w:rPr>
                <w:rFonts w:ascii="Fira Sans" w:hAnsi="Fira Sans" w:cs="Times New Roman"/>
                <w:sz w:val="19"/>
                <w:szCs w:val="19"/>
              </w:rPr>
            </w:pPr>
            <w:r w:rsidRPr="00EC582C">
              <w:rPr>
                <w:rFonts w:ascii="Fira Sans" w:hAnsi="Fira Sans" w:cs="Times New Roman"/>
                <w:sz w:val="19"/>
                <w:szCs w:val="19"/>
              </w:rPr>
              <w:t xml:space="preserve">Ustalony termin dla wszystkich domen </w:t>
            </w:r>
            <w:r w:rsidR="007222C2">
              <w:rPr>
                <w:rFonts w:ascii="Fira Sans" w:hAnsi="Fira Sans" w:cs="Times New Roman"/>
                <w:sz w:val="19"/>
                <w:szCs w:val="19"/>
              </w:rPr>
              <w:t>rachunków narodowych</w:t>
            </w:r>
            <w:r w:rsidRPr="00EC582C">
              <w:rPr>
                <w:rFonts w:ascii="Fira Sans" w:hAnsi="Fira Sans" w:cs="Times New Roman"/>
                <w:sz w:val="19"/>
                <w:szCs w:val="19"/>
              </w:rPr>
              <w:t>.</w:t>
            </w:r>
          </w:p>
        </w:tc>
        <w:tc>
          <w:tcPr>
            <w:tcW w:w="3623" w:type="dxa"/>
            <w:vAlign w:val="center"/>
          </w:tcPr>
          <w:p w:rsidR="003832D4" w:rsidRPr="00EC582C" w:rsidRDefault="003832D4" w:rsidP="005D2473">
            <w:pPr>
              <w:spacing w:line="276" w:lineRule="auto"/>
              <w:ind w:left="284" w:right="401"/>
              <w:rPr>
                <w:rFonts w:ascii="Fira Sans" w:hAnsi="Fira Sans" w:cs="Times New Roman"/>
                <w:sz w:val="19"/>
                <w:szCs w:val="19"/>
              </w:rPr>
            </w:pPr>
            <w:r w:rsidRPr="00EC582C">
              <w:rPr>
                <w:rFonts w:ascii="Fira Sans" w:hAnsi="Fira Sans" w:cs="Times New Roman"/>
                <w:sz w:val="19"/>
                <w:szCs w:val="19"/>
              </w:rPr>
              <w:t>Lata benchmarkingowe</w:t>
            </w:r>
            <w:r w:rsidR="009C6645">
              <w:rPr>
                <w:rFonts w:ascii="Fira Sans" w:hAnsi="Fira Sans" w:cs="Times New Roman"/>
                <w:sz w:val="19"/>
                <w:szCs w:val="19"/>
              </w:rPr>
              <w:t xml:space="preserve"> </w:t>
            </w:r>
            <w:r w:rsidR="009C6645" w:rsidRPr="00AA660E">
              <w:rPr>
                <w:rFonts w:ascii="Fira Sans" w:hAnsi="Fira Sans" w:cs="Times New Roman"/>
                <w:sz w:val="19"/>
                <w:szCs w:val="19"/>
              </w:rPr>
              <w:t>–</w:t>
            </w:r>
            <w:r w:rsidRPr="00EC582C">
              <w:rPr>
                <w:rFonts w:ascii="Fira Sans" w:hAnsi="Fira Sans" w:cs="Times New Roman"/>
                <w:sz w:val="19"/>
                <w:szCs w:val="19"/>
              </w:rPr>
              <w:t xml:space="preserve"> lata kończące się na „0” i „5” , implementacja w latach kończących się na „4” i „9”, o ile nie jest to zintegrowane z Europejskimi dużymi rewizjami w innych latach.</w:t>
            </w:r>
          </w:p>
        </w:tc>
      </w:tr>
    </w:tbl>
    <w:p w:rsidR="003832D4" w:rsidRPr="00243210" w:rsidRDefault="003832D4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</w:p>
    <w:p w:rsidR="005A502F" w:rsidRDefault="001F2B3B" w:rsidP="005D2473">
      <w:pPr>
        <w:spacing w:before="120" w:after="0" w:line="360" w:lineRule="auto"/>
        <w:ind w:left="284"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243210">
        <w:rPr>
          <w:rFonts w:ascii="Fira Sans" w:hAnsi="Fira Sans" w:cs="Times New Roman"/>
          <w:color w:val="000000" w:themeColor="text1"/>
          <w:sz w:val="19"/>
          <w:szCs w:val="19"/>
        </w:rPr>
        <w:lastRenderedPageBreak/>
        <w:t>W przypadku rachunków finansowych, odpowiedzialność za ich zestawianie podzielona jest pomiędzy dwie instytucje: G</w:t>
      </w:r>
      <w:r w:rsidR="00E7733F" w:rsidRPr="00243210">
        <w:rPr>
          <w:rFonts w:ascii="Fira Sans" w:hAnsi="Fira Sans" w:cs="Times New Roman"/>
          <w:color w:val="000000" w:themeColor="text1"/>
          <w:sz w:val="19"/>
          <w:szCs w:val="19"/>
        </w:rPr>
        <w:t xml:space="preserve">łówny </w:t>
      </w:r>
      <w:r w:rsidRPr="00243210">
        <w:rPr>
          <w:rFonts w:ascii="Fira Sans" w:hAnsi="Fira Sans" w:cs="Times New Roman"/>
          <w:color w:val="000000" w:themeColor="text1"/>
          <w:sz w:val="19"/>
          <w:szCs w:val="19"/>
        </w:rPr>
        <w:t>U</w:t>
      </w:r>
      <w:r w:rsidR="00E7733F" w:rsidRPr="00243210">
        <w:rPr>
          <w:rFonts w:ascii="Fira Sans" w:hAnsi="Fira Sans" w:cs="Times New Roman"/>
          <w:color w:val="000000" w:themeColor="text1"/>
          <w:sz w:val="19"/>
          <w:szCs w:val="19"/>
        </w:rPr>
        <w:t xml:space="preserve">rząd </w:t>
      </w:r>
      <w:r w:rsidRPr="00243210">
        <w:rPr>
          <w:rFonts w:ascii="Fira Sans" w:hAnsi="Fira Sans" w:cs="Times New Roman"/>
          <w:color w:val="000000" w:themeColor="text1"/>
          <w:sz w:val="19"/>
          <w:szCs w:val="19"/>
        </w:rPr>
        <w:t>S</w:t>
      </w:r>
      <w:r w:rsidR="00E7733F" w:rsidRPr="00243210">
        <w:rPr>
          <w:rFonts w:ascii="Fira Sans" w:hAnsi="Fira Sans" w:cs="Times New Roman"/>
          <w:color w:val="000000" w:themeColor="text1"/>
          <w:sz w:val="19"/>
          <w:szCs w:val="19"/>
        </w:rPr>
        <w:t>tatystyczny</w:t>
      </w:r>
      <w:r w:rsidRPr="00243210">
        <w:rPr>
          <w:rFonts w:ascii="Fira Sans" w:hAnsi="Fira Sans" w:cs="Times New Roman"/>
          <w:color w:val="000000" w:themeColor="text1"/>
          <w:sz w:val="19"/>
          <w:szCs w:val="19"/>
        </w:rPr>
        <w:t xml:space="preserve"> i N</w:t>
      </w:r>
      <w:r w:rsidR="00E7733F" w:rsidRPr="00243210">
        <w:rPr>
          <w:rFonts w:ascii="Fira Sans" w:hAnsi="Fira Sans" w:cs="Times New Roman"/>
          <w:color w:val="000000" w:themeColor="text1"/>
          <w:sz w:val="19"/>
          <w:szCs w:val="19"/>
        </w:rPr>
        <w:t xml:space="preserve">arodowy </w:t>
      </w:r>
      <w:r w:rsidRPr="00243210">
        <w:rPr>
          <w:rFonts w:ascii="Fira Sans" w:hAnsi="Fira Sans" w:cs="Times New Roman"/>
          <w:color w:val="000000" w:themeColor="text1"/>
          <w:sz w:val="19"/>
          <w:szCs w:val="19"/>
        </w:rPr>
        <w:t>B</w:t>
      </w:r>
      <w:r w:rsidR="00E7733F" w:rsidRPr="00243210">
        <w:rPr>
          <w:rFonts w:ascii="Fira Sans" w:hAnsi="Fira Sans" w:cs="Times New Roman"/>
          <w:color w:val="000000" w:themeColor="text1"/>
          <w:sz w:val="19"/>
          <w:szCs w:val="19"/>
        </w:rPr>
        <w:t xml:space="preserve">ank </w:t>
      </w:r>
      <w:r w:rsidRPr="00243210">
        <w:rPr>
          <w:rFonts w:ascii="Fira Sans" w:hAnsi="Fira Sans" w:cs="Times New Roman"/>
          <w:color w:val="000000" w:themeColor="text1"/>
          <w:sz w:val="19"/>
          <w:szCs w:val="19"/>
        </w:rPr>
        <w:t>P</w:t>
      </w:r>
      <w:r w:rsidR="00E7733F" w:rsidRPr="00243210">
        <w:rPr>
          <w:rFonts w:ascii="Fira Sans" w:hAnsi="Fira Sans" w:cs="Times New Roman"/>
          <w:color w:val="000000" w:themeColor="text1"/>
          <w:sz w:val="19"/>
          <w:szCs w:val="19"/>
        </w:rPr>
        <w:t>olski</w:t>
      </w:r>
      <w:r w:rsidRPr="00243210">
        <w:rPr>
          <w:rFonts w:ascii="Fira Sans" w:hAnsi="Fira Sans" w:cs="Times New Roman"/>
          <w:color w:val="000000" w:themeColor="text1"/>
          <w:sz w:val="19"/>
          <w:szCs w:val="19"/>
        </w:rPr>
        <w:t xml:space="preserve">. GUS zestawia rachunki finansowe </w:t>
      </w: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>dla sektora instyt</w:t>
      </w:r>
      <w:r w:rsidR="009C6645">
        <w:rPr>
          <w:rFonts w:ascii="Fira Sans" w:hAnsi="Fira Sans" w:cs="Times New Roman"/>
          <w:color w:val="000000" w:themeColor="text1"/>
          <w:sz w:val="19"/>
          <w:szCs w:val="19"/>
        </w:rPr>
        <w:t>ucji rządowych i samorządowych,</w:t>
      </w: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 natomiast N</w:t>
      </w:r>
      <w:r w:rsidR="00E7733F"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arodowy </w:t>
      </w: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>B</w:t>
      </w:r>
      <w:r w:rsidR="00E7733F"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ank </w:t>
      </w: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>P</w:t>
      </w:r>
      <w:r w:rsidR="00E7733F" w:rsidRPr="00264F58">
        <w:rPr>
          <w:rFonts w:ascii="Fira Sans" w:hAnsi="Fira Sans" w:cs="Times New Roman"/>
          <w:color w:val="000000" w:themeColor="text1"/>
          <w:sz w:val="19"/>
          <w:szCs w:val="19"/>
        </w:rPr>
        <w:t>olski</w:t>
      </w: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 – roczne i kwartalne rachunki finansowe dla pozostałych sektorów instytucjonalnych.</w:t>
      </w:r>
    </w:p>
    <w:p w:rsidR="00283987" w:rsidRPr="00264F58" w:rsidRDefault="00283987" w:rsidP="005D2473">
      <w:pPr>
        <w:spacing w:before="120" w:after="0" w:line="360" w:lineRule="auto"/>
        <w:ind w:left="284"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</w:p>
    <w:p w:rsidR="000736A6" w:rsidRPr="00C078F2" w:rsidRDefault="000736A6" w:rsidP="005D2473">
      <w:pPr>
        <w:pStyle w:val="Nagwek1"/>
        <w:numPr>
          <w:ilvl w:val="0"/>
          <w:numId w:val="28"/>
        </w:numPr>
      </w:pPr>
      <w:r w:rsidRPr="007222C2">
        <w:t xml:space="preserve">Rewizje w kwartalnych i rocznych rachunkach produktu krajowego brutto </w:t>
      </w:r>
    </w:p>
    <w:p w:rsidR="00420E9F" w:rsidRPr="00264F58" w:rsidRDefault="003D74A1" w:rsidP="005D2473">
      <w:pPr>
        <w:spacing w:before="120" w:after="120" w:line="360" w:lineRule="auto"/>
        <w:ind w:left="284"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>G</w:t>
      </w:r>
      <w:r w:rsidR="00420E9F" w:rsidRPr="00264F58">
        <w:rPr>
          <w:rFonts w:ascii="Fira Sans" w:hAnsi="Fira Sans" w:cs="Times New Roman"/>
          <w:color w:val="000000" w:themeColor="text1"/>
          <w:sz w:val="19"/>
          <w:szCs w:val="19"/>
        </w:rPr>
        <w:t>łębokość rutynowych rewizji</w:t>
      </w: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  <w:r w:rsidR="007222C2">
        <w:rPr>
          <w:rFonts w:ascii="Fira Sans" w:hAnsi="Fira Sans" w:cs="Times New Roman"/>
          <w:color w:val="000000" w:themeColor="text1"/>
          <w:sz w:val="19"/>
          <w:szCs w:val="19"/>
        </w:rPr>
        <w:t>zależy</w:t>
      </w: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 od</w:t>
      </w:r>
      <w:r w:rsidR="00243210"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  <w:r w:rsidR="00264F58"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dostępności źródeł danych oraz </w:t>
      </w:r>
      <w:r w:rsidR="00243210"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zakresu zmian </w:t>
      </w:r>
      <w:r w:rsidR="00264F58"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wprowadzonych do statystyki sektora instytucji rządowych i samorządowych </w:t>
      </w:r>
      <w:r w:rsidR="00C51654">
        <w:rPr>
          <w:rFonts w:ascii="Fira Sans" w:hAnsi="Fira Sans" w:cs="Times New Roman"/>
          <w:color w:val="000000" w:themeColor="text1"/>
          <w:sz w:val="19"/>
          <w:szCs w:val="19"/>
        </w:rPr>
        <w:t>na potrzeby</w:t>
      </w:r>
      <w:r w:rsidR="00C51654"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  <w:r w:rsidR="00264F58" w:rsidRPr="00264F58">
        <w:rPr>
          <w:rFonts w:ascii="Fira Sans" w:hAnsi="Fira Sans" w:cs="Times New Roman"/>
          <w:color w:val="000000" w:themeColor="text1"/>
          <w:sz w:val="19"/>
          <w:szCs w:val="19"/>
        </w:rPr>
        <w:t>notyfikacji procedury nadmiernego deficytu. W ślad za</w:t>
      </w: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 polityką HERP</w:t>
      </w:r>
      <w:r w:rsidR="00C51654">
        <w:rPr>
          <w:rFonts w:ascii="Fira Sans" w:hAnsi="Fira Sans" w:cs="Times New Roman"/>
          <w:color w:val="000000" w:themeColor="text1"/>
          <w:sz w:val="19"/>
          <w:szCs w:val="19"/>
        </w:rPr>
        <w:t>, rewizja</w:t>
      </w: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 w rachunkach kwartalnych </w:t>
      </w:r>
      <w:r w:rsidR="00C51654">
        <w:rPr>
          <w:rFonts w:ascii="Fira Sans" w:hAnsi="Fira Sans" w:cs="Times New Roman"/>
          <w:color w:val="000000" w:themeColor="text1"/>
          <w:sz w:val="19"/>
          <w:szCs w:val="19"/>
        </w:rPr>
        <w:t xml:space="preserve">PKB </w:t>
      </w:r>
      <w:r w:rsidR="00420E9F"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ograniczona </w:t>
      </w: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jest </w:t>
      </w:r>
      <w:r w:rsidR="00420E9F" w:rsidRPr="00264F58">
        <w:rPr>
          <w:rFonts w:ascii="Fira Sans" w:hAnsi="Fira Sans" w:cs="Times New Roman"/>
          <w:color w:val="000000" w:themeColor="text1"/>
          <w:sz w:val="19"/>
          <w:szCs w:val="19"/>
        </w:rPr>
        <w:t>do maksymalnie:</w:t>
      </w:r>
    </w:p>
    <w:p w:rsidR="00420E9F" w:rsidRPr="00264F58" w:rsidRDefault="009F7081" w:rsidP="005D2473">
      <w:pPr>
        <w:pStyle w:val="Akapitzlist"/>
        <w:numPr>
          <w:ilvl w:val="0"/>
          <w:numId w:val="15"/>
        </w:numPr>
        <w:spacing w:before="120" w:after="120" w:line="360" w:lineRule="auto"/>
        <w:ind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>15 kwartałów w I</w:t>
      </w:r>
      <w:r w:rsidR="00420E9F"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 kwartale;</w:t>
      </w:r>
    </w:p>
    <w:p w:rsidR="00420E9F" w:rsidRPr="00264F58" w:rsidRDefault="00420E9F" w:rsidP="005D2473">
      <w:pPr>
        <w:pStyle w:val="Akapitzlist"/>
        <w:numPr>
          <w:ilvl w:val="0"/>
          <w:numId w:val="15"/>
        </w:numPr>
        <w:spacing w:before="120" w:after="120" w:line="360" w:lineRule="auto"/>
        <w:ind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>16 kwartałów w II kwartale;</w:t>
      </w:r>
    </w:p>
    <w:p w:rsidR="00420E9F" w:rsidRPr="00264F58" w:rsidRDefault="00420E9F" w:rsidP="005D2473">
      <w:pPr>
        <w:pStyle w:val="Akapitzlist"/>
        <w:numPr>
          <w:ilvl w:val="0"/>
          <w:numId w:val="15"/>
        </w:numPr>
        <w:spacing w:before="120" w:after="120" w:line="360" w:lineRule="auto"/>
        <w:ind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>nieograniczonej liczby kwartałów w III kwartale;</w:t>
      </w:r>
    </w:p>
    <w:p w:rsidR="00420E9F" w:rsidRPr="00264F58" w:rsidRDefault="00420E9F" w:rsidP="005D2473">
      <w:pPr>
        <w:pStyle w:val="Akapitzlist"/>
        <w:numPr>
          <w:ilvl w:val="0"/>
          <w:numId w:val="15"/>
        </w:numPr>
        <w:spacing w:before="120" w:after="120" w:line="360" w:lineRule="auto"/>
        <w:ind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>18 kwartałów w IV kwartale.</w:t>
      </w:r>
    </w:p>
    <w:p w:rsidR="00420E9F" w:rsidRPr="00264F58" w:rsidRDefault="00247BED" w:rsidP="005D2473">
      <w:pPr>
        <w:spacing w:before="120" w:after="120" w:line="360" w:lineRule="auto"/>
        <w:ind w:left="284"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>W przypadku</w:t>
      </w:r>
      <w:r w:rsidR="00420E9F"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danych </w:t>
      </w:r>
      <w:r w:rsidR="00420E9F"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rocznych </w:t>
      </w: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>głębokość rutynowych rewizji</w:t>
      </w:r>
      <w:r w:rsidR="00420E9F"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 ograniczona </w:t>
      </w: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jest </w:t>
      </w:r>
      <w:r w:rsidR="00420E9F" w:rsidRPr="00264F58">
        <w:rPr>
          <w:rFonts w:ascii="Fira Sans" w:hAnsi="Fira Sans" w:cs="Times New Roman"/>
          <w:color w:val="000000" w:themeColor="text1"/>
          <w:sz w:val="19"/>
          <w:szCs w:val="19"/>
        </w:rPr>
        <w:t>do maksymalnie:</w:t>
      </w:r>
    </w:p>
    <w:p w:rsidR="00420E9F" w:rsidRPr="00264F58" w:rsidRDefault="00420E9F" w:rsidP="005D2473">
      <w:pPr>
        <w:pStyle w:val="Akapitzlist"/>
        <w:numPr>
          <w:ilvl w:val="0"/>
          <w:numId w:val="16"/>
        </w:numPr>
        <w:spacing w:before="120" w:after="120" w:line="360" w:lineRule="auto"/>
        <w:ind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>3</w:t>
      </w:r>
      <w:r w:rsidR="00247BED"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 lat w I kwartale (dane za rok </w:t>
      </w:r>
      <w:r w:rsidR="00D15FCE">
        <w:rPr>
          <w:rFonts w:ascii="Fira Sans" w:hAnsi="Fira Sans" w:cs="Times New Roman"/>
          <w:color w:val="000000" w:themeColor="text1"/>
          <w:sz w:val="19"/>
          <w:szCs w:val="19"/>
        </w:rPr>
        <w:t>N</w:t>
      </w: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>-1 mogą być przekazane po raz pierwszy);</w:t>
      </w:r>
    </w:p>
    <w:p w:rsidR="00420E9F" w:rsidRPr="00264F58" w:rsidRDefault="00420E9F" w:rsidP="005D2473">
      <w:pPr>
        <w:pStyle w:val="Akapitzlist"/>
        <w:numPr>
          <w:ilvl w:val="0"/>
          <w:numId w:val="16"/>
        </w:numPr>
        <w:spacing w:before="120" w:after="120" w:line="360" w:lineRule="auto"/>
        <w:ind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1 roku w II kwartale (z wyłączeniem danych za </w:t>
      </w:r>
      <w:r w:rsidR="00247BED"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rok </w:t>
      </w:r>
      <w:r w:rsidR="00D15FCE">
        <w:rPr>
          <w:rFonts w:ascii="Fira Sans" w:hAnsi="Fira Sans" w:cs="Times New Roman"/>
          <w:color w:val="000000" w:themeColor="text1"/>
          <w:sz w:val="19"/>
          <w:szCs w:val="19"/>
        </w:rPr>
        <w:t>N</w:t>
      </w: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>-1, które mogłyby być przekazane w I kwartale);</w:t>
      </w:r>
    </w:p>
    <w:p w:rsidR="00420E9F" w:rsidRPr="00264F58" w:rsidRDefault="00420E9F" w:rsidP="005D2473">
      <w:pPr>
        <w:pStyle w:val="Akapitzlist"/>
        <w:numPr>
          <w:ilvl w:val="0"/>
          <w:numId w:val="16"/>
        </w:numPr>
        <w:spacing w:before="120" w:after="120" w:line="360" w:lineRule="auto"/>
        <w:ind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>bez ograniczeń w III kwartale;</w:t>
      </w:r>
    </w:p>
    <w:p w:rsidR="00420E9F" w:rsidRPr="00264F58" w:rsidRDefault="00420E9F" w:rsidP="005D2473">
      <w:pPr>
        <w:pStyle w:val="Akapitzlist"/>
        <w:numPr>
          <w:ilvl w:val="0"/>
          <w:numId w:val="16"/>
        </w:numPr>
        <w:spacing w:before="120" w:after="120" w:line="360" w:lineRule="auto"/>
        <w:ind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lastRenderedPageBreak/>
        <w:t>1 roku w I</w:t>
      </w:r>
      <w:r w:rsidR="00247BED"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V kwartale (z wyłączeniem roku </w:t>
      </w:r>
      <w:r w:rsidR="00D15FCE">
        <w:rPr>
          <w:rFonts w:ascii="Fira Sans" w:hAnsi="Fira Sans" w:cs="Times New Roman"/>
          <w:color w:val="000000" w:themeColor="text1"/>
          <w:sz w:val="19"/>
          <w:szCs w:val="19"/>
        </w:rPr>
        <w:t>N</w:t>
      </w: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>-1, który został przekazany (przynajmniej) po raz pierwszy w III kwartale lub wcześniej).</w:t>
      </w:r>
    </w:p>
    <w:p w:rsidR="005A502F" w:rsidRPr="00264F58" w:rsidRDefault="00837D77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b/>
          <w:sz w:val="19"/>
          <w:szCs w:val="19"/>
          <w:lang w:eastAsia="en-US"/>
        </w:rPr>
      </w:pPr>
      <w:r>
        <w:rPr>
          <w:rFonts w:ascii="Fira Sans" w:hAnsi="Fira Sans" w:cs="Times New Roman"/>
          <w:color w:val="000000" w:themeColor="text1"/>
          <w:sz w:val="19"/>
          <w:szCs w:val="19"/>
        </w:rPr>
        <w:t>H</w:t>
      </w:r>
      <w:r w:rsidR="00293065">
        <w:rPr>
          <w:rFonts w:ascii="Fira Sans" w:hAnsi="Fira Sans" w:cs="Times New Roman"/>
          <w:color w:val="000000" w:themeColor="text1"/>
          <w:sz w:val="19"/>
          <w:szCs w:val="19"/>
        </w:rPr>
        <w:t xml:space="preserve">armonogram </w:t>
      </w:r>
      <w:r w:rsid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publikacji regularnych </w:t>
      </w:r>
      <w:r w:rsidR="00293065">
        <w:rPr>
          <w:rFonts w:ascii="Fira Sans" w:hAnsi="Fira Sans" w:cs="Times New Roman"/>
          <w:color w:val="000000" w:themeColor="text1"/>
          <w:sz w:val="19"/>
          <w:szCs w:val="19"/>
        </w:rPr>
        <w:t xml:space="preserve">rewizji </w:t>
      </w:r>
      <w:r w:rsidR="00420E9F">
        <w:rPr>
          <w:rFonts w:ascii="Fira Sans" w:hAnsi="Fira Sans" w:cs="Times New Roman"/>
          <w:color w:val="000000" w:themeColor="text1"/>
          <w:sz w:val="19"/>
          <w:szCs w:val="19"/>
        </w:rPr>
        <w:t>rocznych i kwartalnych rachunków narodowych</w:t>
      </w:r>
      <w:r>
        <w:rPr>
          <w:rFonts w:ascii="Fira Sans" w:hAnsi="Fira Sans" w:cs="Times New Roman"/>
          <w:color w:val="000000" w:themeColor="text1"/>
          <w:sz w:val="19"/>
          <w:szCs w:val="19"/>
        </w:rPr>
        <w:t xml:space="preserve"> przedstawi</w:t>
      </w:r>
      <w:r w:rsidR="00264F58">
        <w:rPr>
          <w:rFonts w:ascii="Fira Sans" w:hAnsi="Fira Sans" w:cs="Times New Roman"/>
          <w:color w:val="000000" w:themeColor="text1"/>
          <w:sz w:val="19"/>
          <w:szCs w:val="19"/>
        </w:rPr>
        <w:t>ono w tabeli</w:t>
      </w:r>
      <w:r>
        <w:rPr>
          <w:rFonts w:ascii="Fira Sans" w:hAnsi="Fira Sans" w:cs="Times New Roman"/>
          <w:color w:val="000000" w:themeColor="text1"/>
          <w:sz w:val="19"/>
          <w:szCs w:val="19"/>
        </w:rPr>
        <w:t xml:space="preserve"> poniżej</w:t>
      </w:r>
      <w:r w:rsidR="00420E9F">
        <w:rPr>
          <w:rFonts w:ascii="Fira Sans" w:hAnsi="Fira Sans" w:cs="Times New Roman"/>
          <w:color w:val="000000" w:themeColor="text1"/>
          <w:sz w:val="19"/>
          <w:szCs w:val="19"/>
        </w:rPr>
        <w:t>:</w:t>
      </w:r>
    </w:p>
    <w:tbl>
      <w:tblPr>
        <w:tblW w:w="9781" w:type="dxa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843"/>
        <w:gridCol w:w="1134"/>
        <w:gridCol w:w="850"/>
        <w:gridCol w:w="284"/>
        <w:gridCol w:w="709"/>
        <w:gridCol w:w="425"/>
        <w:gridCol w:w="567"/>
        <w:gridCol w:w="567"/>
        <w:gridCol w:w="1418"/>
      </w:tblGrid>
      <w:tr w:rsidR="00B74FA0" w:rsidRPr="00DE1E71" w:rsidTr="00264F58">
        <w:trPr>
          <w:trHeight w:val="480"/>
        </w:trPr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Rok referencyjny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Miesiąc publikacji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0F4249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I kw.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0F4249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II kw.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0F4249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III kw.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0F4249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IV kw.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Rok</w:t>
            </w:r>
          </w:p>
        </w:tc>
      </w:tr>
      <w:tr w:rsidR="00B74FA0" w:rsidRPr="00DE1E71" w:rsidTr="00264F58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</w:tr>
      <w:tr w:rsidR="00B74FA0" w:rsidRPr="00DE1E71" w:rsidTr="00264F58">
        <w:trPr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D15FCE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maj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</w:tr>
      <w:tr w:rsidR="00B74FA0" w:rsidRPr="00DE1E71" w:rsidTr="00264F58">
        <w:trPr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sierpień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</w:tr>
      <w:tr w:rsidR="00B74FA0" w:rsidRPr="00DE1E71" w:rsidTr="00264F58">
        <w:trPr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</w:rPr>
              <w:t>październik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</w:tr>
      <w:tr w:rsidR="00B74FA0" w:rsidRPr="00DE1E71" w:rsidTr="00264F58">
        <w:trPr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listopad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</w:tr>
      <w:tr w:rsidR="00B74FA0" w:rsidRPr="00DE1E71" w:rsidTr="00264F58">
        <w:trPr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</w:tr>
      <w:tr w:rsidR="00B74FA0" w:rsidRPr="00DE1E71" w:rsidTr="00264F58">
        <w:trPr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D15FCE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N</w:t>
            </w:r>
            <w:r w:rsidR="005A502F"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-1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styczeń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P</w:t>
            </w: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  <w:vertAlign w:val="superscript"/>
              </w:rPr>
              <w:t>1</w:t>
            </w: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 xml:space="preserve"> (S</w:t>
            </w:r>
            <w:r w:rsidR="000F4249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K</w:t>
            </w: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)</w:t>
            </w:r>
          </w:p>
        </w:tc>
      </w:tr>
      <w:tr w:rsidR="00B74FA0" w:rsidRPr="00DE1E71" w:rsidTr="00264F58">
        <w:trPr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luty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 (S</w:t>
            </w:r>
            <w:r w:rsidR="000F4249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K</w:t>
            </w: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)</w:t>
            </w:r>
          </w:p>
        </w:tc>
      </w:tr>
      <w:tr w:rsidR="00B74FA0" w:rsidRPr="00DE1E71" w:rsidTr="00264F58">
        <w:trPr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kwiecień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 (S</w:t>
            </w:r>
            <w:r w:rsidR="000F4249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K</w:t>
            </w: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)</w:t>
            </w:r>
          </w:p>
        </w:tc>
      </w:tr>
      <w:tr w:rsidR="00B74FA0" w:rsidRPr="00DE1E71" w:rsidTr="00264F58">
        <w:trPr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</w:rPr>
              <w:t>październik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P</w:t>
            </w:r>
          </w:p>
        </w:tc>
      </w:tr>
      <w:tr w:rsidR="00B74FA0" w:rsidRPr="00DE1E71" w:rsidTr="00264F58">
        <w:trPr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</w:tr>
      <w:tr w:rsidR="00B74FA0" w:rsidRPr="00DE1E71" w:rsidTr="00264F58">
        <w:trPr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D15FCE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N</w:t>
            </w:r>
            <w:r w:rsidR="005A502F"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-2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kwiecień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F</w:t>
            </w:r>
          </w:p>
        </w:tc>
      </w:tr>
      <w:tr w:rsidR="00B74FA0" w:rsidRPr="00DE1E71" w:rsidTr="00264F58">
        <w:trPr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</w:rPr>
              <w:t>październik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</w:tr>
      <w:tr w:rsidR="00B74FA0" w:rsidRPr="00DE1E71" w:rsidTr="00264F58">
        <w:trPr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</w:tr>
      <w:tr w:rsidR="00B74FA0" w:rsidRPr="00DE1E71" w:rsidTr="00264F58">
        <w:trPr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D15FCE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N</w:t>
            </w:r>
            <w:r w:rsidR="005A502F"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</w:rPr>
              <w:t>październik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</w:tr>
      <w:tr w:rsidR="00B74FA0" w:rsidRPr="00DE1E71" w:rsidTr="00264F58">
        <w:trPr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</w:p>
        </w:tc>
      </w:tr>
      <w:tr w:rsidR="00B74FA0" w:rsidRPr="00DE1E71" w:rsidTr="00264F58">
        <w:trPr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D15FCE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N</w:t>
            </w:r>
            <w:r w:rsidR="005A502F"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</w:rPr>
              <w:t>październik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R</w:t>
            </w:r>
          </w:p>
        </w:tc>
      </w:tr>
      <w:tr w:rsidR="00B74FA0" w:rsidRPr="00DE1E71" w:rsidTr="00264F58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 </w:t>
            </w:r>
          </w:p>
        </w:tc>
      </w:tr>
      <w:tr w:rsidR="00B74FA0" w:rsidRPr="00DE1E71" w:rsidTr="00264F58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  <w:t>Oznaczenia: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Times New Roman"/>
                <w:sz w:val="16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Times New Roman"/>
                <w:sz w:val="16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Times New Roman"/>
                <w:sz w:val="16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Times New Roman"/>
                <w:sz w:val="16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2F" w:rsidRPr="00264F58" w:rsidRDefault="005A502F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Times New Roman"/>
                <w:sz w:val="16"/>
                <w:szCs w:val="19"/>
              </w:rPr>
            </w:pPr>
          </w:p>
        </w:tc>
      </w:tr>
      <w:tr w:rsidR="00B74FA0" w:rsidRPr="00DE1E71" w:rsidTr="00264F58">
        <w:trPr>
          <w:trHeight w:val="288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A0" w:rsidRPr="00264F58" w:rsidRDefault="00B74FA0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  <w:t xml:space="preserve">P </w:t>
            </w:r>
            <w:r w:rsidR="009C6645" w:rsidRPr="00AA660E">
              <w:rPr>
                <w:rFonts w:ascii="Fira Sans" w:hAnsi="Fira Sans" w:cs="Times New Roman"/>
                <w:sz w:val="19"/>
                <w:szCs w:val="19"/>
              </w:rPr>
              <w:t>–</w:t>
            </w:r>
            <w:r w:rsidRPr="00264F58"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  <w:t xml:space="preserve"> pierwszy szacunek wstępny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A0" w:rsidRPr="00264F58" w:rsidRDefault="00B74FA0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Times New Roman"/>
                <w:sz w:val="16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  <w:t xml:space="preserve">R </w:t>
            </w:r>
            <w:r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  <w:t>–</w:t>
            </w:r>
            <w:r w:rsidRPr="00264F58"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  <w:t xml:space="preserve"> rewizja</w:t>
            </w:r>
            <w:r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A0" w:rsidRPr="00264F58" w:rsidRDefault="00B74FA0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Times New Roman"/>
                <w:sz w:val="16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FA0" w:rsidRPr="00264F58" w:rsidRDefault="00B74FA0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Times New Roman"/>
                <w:sz w:val="16"/>
                <w:szCs w:val="19"/>
              </w:rPr>
            </w:pPr>
          </w:p>
        </w:tc>
      </w:tr>
      <w:tr w:rsidR="00DE1E71" w:rsidRPr="00DE1E71" w:rsidTr="00264F58">
        <w:trPr>
          <w:trHeight w:val="300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71" w:rsidRPr="00264F58" w:rsidRDefault="00DE1E71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  <w:t>S</w:t>
            </w:r>
            <w:r w:rsidR="000F4249"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  <w:t>K</w:t>
            </w:r>
            <w:r w:rsidRPr="00264F58"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  <w:t xml:space="preserve"> </w:t>
            </w:r>
            <w:r w:rsidR="009C6645" w:rsidRPr="00AA660E">
              <w:rPr>
                <w:rFonts w:ascii="Fira Sans" w:hAnsi="Fira Sans" w:cs="Times New Roman"/>
                <w:sz w:val="19"/>
                <w:szCs w:val="19"/>
              </w:rPr>
              <w:t>–</w:t>
            </w:r>
            <w:r w:rsidRPr="00264F58"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  <w:t xml:space="preserve"> suma kwartałów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71" w:rsidRPr="00264F58" w:rsidRDefault="00DE1E71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  <w:t xml:space="preserve">F </w:t>
            </w:r>
            <w:r w:rsidR="009C6645" w:rsidRPr="00AA660E">
              <w:rPr>
                <w:rFonts w:ascii="Fira Sans" w:hAnsi="Fira Sans" w:cs="Times New Roman"/>
                <w:sz w:val="19"/>
                <w:szCs w:val="19"/>
              </w:rPr>
              <w:t>–</w:t>
            </w:r>
            <w:r w:rsidRPr="00264F58"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  <w:t xml:space="preserve"> szacunek ostateczny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71" w:rsidRPr="00264F58" w:rsidRDefault="00DE1E71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  <w:t> </w:t>
            </w:r>
          </w:p>
        </w:tc>
      </w:tr>
      <w:tr w:rsidR="00DE1E71" w:rsidRPr="00DE1E71" w:rsidTr="00264F58">
        <w:trPr>
          <w:trHeight w:val="300"/>
        </w:trPr>
        <w:tc>
          <w:tcPr>
            <w:tcW w:w="382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DE1E71" w:rsidRPr="00264F58" w:rsidRDefault="00DE1E71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</w:pPr>
            <w:r w:rsidRPr="00264F58">
              <w:rPr>
                <w:rFonts w:ascii="Fira Sans" w:eastAsia="Times New Roman" w:hAnsi="Fira Sans" w:cs="Calibri"/>
                <w:color w:val="000000"/>
                <w:sz w:val="16"/>
                <w:szCs w:val="19"/>
                <w:vertAlign w:val="superscript"/>
              </w:rPr>
              <w:t>1</w:t>
            </w:r>
            <w:r w:rsidRPr="00264F58"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  <w:t xml:space="preserve"> </w:t>
            </w:r>
            <w:r w:rsidR="00420E9F"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  <w:t>D</w:t>
            </w:r>
            <w:r w:rsidRPr="00264F58"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  <w:t>ynamika realna</w:t>
            </w:r>
            <w:r w:rsidR="00420E9F"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  <w:t xml:space="preserve"> PKB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DE1E71" w:rsidRPr="00264F58" w:rsidRDefault="00DE1E71" w:rsidP="005D2473">
            <w:pPr>
              <w:spacing w:after="0" w:line="240" w:lineRule="auto"/>
              <w:ind w:left="284" w:right="401"/>
              <w:rPr>
                <w:rFonts w:ascii="Fira Sans" w:eastAsia="Times New Roman" w:hAnsi="Fira Sans" w:cs="Calibri"/>
                <w:color w:val="000000"/>
                <w:sz w:val="16"/>
                <w:szCs w:val="19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DE1E71" w:rsidRPr="00264F58" w:rsidRDefault="00DE1E71" w:rsidP="005D2473">
            <w:pPr>
              <w:spacing w:after="0" w:line="240" w:lineRule="auto"/>
              <w:ind w:left="284" w:right="401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</w:rPr>
            </w:pPr>
          </w:p>
        </w:tc>
      </w:tr>
    </w:tbl>
    <w:p w:rsidR="005A502F" w:rsidRPr="00264F58" w:rsidRDefault="005A502F" w:rsidP="005D2473">
      <w:pPr>
        <w:autoSpaceDE w:val="0"/>
        <w:autoSpaceDN w:val="0"/>
        <w:adjustRightInd w:val="0"/>
        <w:spacing w:after="0" w:line="360" w:lineRule="auto"/>
        <w:ind w:left="284" w:right="401"/>
        <w:rPr>
          <w:rFonts w:ascii="Fira Sans" w:eastAsiaTheme="minorHAnsi" w:hAnsi="Fira Sans" w:cs="Times New Roman"/>
          <w:b/>
          <w:bCs/>
          <w:sz w:val="19"/>
          <w:szCs w:val="19"/>
          <w:lang w:eastAsia="en-US"/>
        </w:rPr>
      </w:pPr>
    </w:p>
    <w:p w:rsidR="000736A6" w:rsidRPr="000736A6" w:rsidRDefault="00C078F2" w:rsidP="005D2473">
      <w:pPr>
        <w:pStyle w:val="Nagwek2"/>
        <w:numPr>
          <w:ilvl w:val="1"/>
          <w:numId w:val="27"/>
        </w:numPr>
        <w:rPr>
          <w:rFonts w:eastAsiaTheme="minorHAnsi"/>
          <w:lang w:eastAsia="en-US"/>
        </w:rPr>
      </w:pPr>
      <w:r>
        <w:t>K</w:t>
      </w:r>
      <w:r w:rsidRPr="00EC582C">
        <w:t>wartaln</w:t>
      </w:r>
      <w:r>
        <w:t>e</w:t>
      </w:r>
      <w:r w:rsidRPr="00EC582C">
        <w:t xml:space="preserve"> </w:t>
      </w:r>
      <w:r>
        <w:t>rachunki</w:t>
      </w:r>
      <w:r w:rsidRPr="00EC582C">
        <w:t xml:space="preserve"> produktu krajowego brutto</w:t>
      </w:r>
    </w:p>
    <w:p w:rsidR="001F2B3B" w:rsidRPr="00264F58" w:rsidRDefault="001F2B3B" w:rsidP="005D2473">
      <w:pPr>
        <w:autoSpaceDE w:val="0"/>
        <w:autoSpaceDN w:val="0"/>
        <w:adjustRightInd w:val="0"/>
        <w:spacing w:after="0" w:line="240" w:lineRule="auto"/>
        <w:ind w:left="284" w:right="401"/>
        <w:rPr>
          <w:rFonts w:ascii="Fira Sans" w:eastAsiaTheme="minorHAnsi" w:hAnsi="Fira Sans" w:cs="Times New Roman"/>
          <w:b/>
          <w:bCs/>
          <w:i/>
          <w:sz w:val="19"/>
          <w:szCs w:val="19"/>
          <w:lang w:eastAsia="en-US"/>
        </w:rPr>
      </w:pPr>
    </w:p>
    <w:p w:rsidR="001F2B3B" w:rsidRPr="00264F58" w:rsidRDefault="001F2B3B" w:rsidP="005D2473">
      <w:pPr>
        <w:spacing w:before="120" w:after="0" w:line="360" w:lineRule="auto"/>
        <w:ind w:left="284" w:right="401"/>
        <w:rPr>
          <w:rFonts w:ascii="Fira Sans" w:hAnsi="Fira Sans" w:cs="Times New Roman"/>
          <w:color w:val="000000" w:themeColor="text1"/>
          <w:sz w:val="19"/>
          <w:szCs w:val="19"/>
        </w:rPr>
      </w:pPr>
      <w:r w:rsidRPr="00264F58">
        <w:rPr>
          <w:rFonts w:ascii="Fira Sans" w:hAnsi="Fira Sans" w:cs="Times New Roman"/>
          <w:b/>
          <w:color w:val="000000" w:themeColor="text1"/>
          <w:sz w:val="19"/>
          <w:szCs w:val="19"/>
        </w:rPr>
        <w:t>Kwartalne szacunki PKB</w:t>
      </w: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 publikowane</w:t>
      </w:r>
      <w:r w:rsidR="00741A39">
        <w:rPr>
          <w:rFonts w:ascii="Fira Sans" w:hAnsi="Fira Sans" w:cs="Times New Roman"/>
          <w:color w:val="000000" w:themeColor="text1"/>
          <w:sz w:val="19"/>
          <w:szCs w:val="19"/>
        </w:rPr>
        <w:t xml:space="preserve"> są</w:t>
      </w:r>
      <w:r w:rsid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 w następujących terminach</w:t>
      </w:r>
      <w:r w:rsidRPr="00264F58">
        <w:rPr>
          <w:rFonts w:ascii="Fira Sans" w:hAnsi="Fira Sans" w:cs="Times New Roman"/>
          <w:color w:val="000000" w:themeColor="text1"/>
          <w:sz w:val="19"/>
          <w:szCs w:val="19"/>
        </w:rPr>
        <w:t>:</w:t>
      </w:r>
    </w:p>
    <w:p w:rsidR="00AE6C77" w:rsidRPr="005D2473" w:rsidRDefault="005D2473" w:rsidP="005D247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right="401"/>
        <w:rPr>
          <w:rFonts w:ascii="Fira Sans" w:hAnsi="Fira Sans" w:cs="Times New Roman"/>
          <w:color w:val="000000" w:themeColor="text1"/>
          <w:sz w:val="19"/>
          <w:szCs w:val="19"/>
        </w:rPr>
      </w:pPr>
      <w:r>
        <w:rPr>
          <w:rFonts w:ascii="Fira Sans" w:hAnsi="Fira Sans" w:cs="Times New Roman"/>
          <w:color w:val="000000" w:themeColor="text1"/>
          <w:sz w:val="19"/>
          <w:szCs w:val="19"/>
        </w:rPr>
        <w:t>s</w:t>
      </w:r>
      <w:r w:rsidR="00741A39" w:rsidRPr="005D2473">
        <w:rPr>
          <w:rFonts w:ascii="Fira Sans" w:hAnsi="Fira Sans" w:cs="Times New Roman"/>
          <w:color w:val="000000" w:themeColor="text1"/>
          <w:sz w:val="19"/>
          <w:szCs w:val="19"/>
        </w:rPr>
        <w:t>zybki szacunek PKB</w:t>
      </w:r>
      <w:r w:rsidR="00741A39" w:rsidRPr="005D2473" w:rsidDel="00F74BC3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  <w:r w:rsidR="009C6645" w:rsidRPr="005D2473">
        <w:rPr>
          <w:rFonts w:ascii="Fira Sans" w:hAnsi="Fira Sans" w:cs="Times New Roman"/>
          <w:sz w:val="19"/>
          <w:szCs w:val="19"/>
        </w:rPr>
        <w:t>–</w:t>
      </w:r>
      <w:r w:rsidR="00741A39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 45 dni po zakończeniu badanego kwartału, </w:t>
      </w:r>
    </w:p>
    <w:p w:rsidR="00741A39" w:rsidRPr="005D2473" w:rsidRDefault="005D2473" w:rsidP="005D247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right="401"/>
        <w:rPr>
          <w:rFonts w:ascii="Fira Sans" w:hAnsi="Fira Sans" w:cs="Times New Roman"/>
          <w:color w:val="000000" w:themeColor="text1"/>
          <w:sz w:val="19"/>
          <w:szCs w:val="19"/>
        </w:rPr>
      </w:pPr>
      <w:r>
        <w:rPr>
          <w:rFonts w:ascii="Fira Sans" w:hAnsi="Fira Sans" w:cs="Times New Roman"/>
          <w:color w:val="000000" w:themeColor="text1"/>
          <w:sz w:val="19"/>
          <w:szCs w:val="19"/>
        </w:rPr>
        <w:t>w</w:t>
      </w:r>
      <w:r w:rsidR="00741A39" w:rsidRPr="005D2473">
        <w:rPr>
          <w:rFonts w:ascii="Fira Sans" w:hAnsi="Fira Sans" w:cs="Times New Roman"/>
          <w:color w:val="000000" w:themeColor="text1"/>
          <w:sz w:val="19"/>
          <w:szCs w:val="19"/>
        </w:rPr>
        <w:t>stępny szacunek PKB</w:t>
      </w:r>
      <w:r w:rsidR="009C6645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  <w:r w:rsidR="009C6645" w:rsidRPr="005D2473">
        <w:rPr>
          <w:rFonts w:ascii="Fira Sans" w:hAnsi="Fira Sans" w:cs="Times New Roman"/>
          <w:sz w:val="19"/>
          <w:szCs w:val="19"/>
        </w:rPr>
        <w:t>–</w:t>
      </w:r>
      <w:r w:rsidR="00741A39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 2 miesiące po zakończeniu badanego kwartału</w:t>
      </w:r>
      <w:r w:rsidR="00006600" w:rsidRPr="005D2473">
        <w:rPr>
          <w:rFonts w:ascii="Fira Sans" w:hAnsi="Fira Sans" w:cs="Times New Roman"/>
          <w:color w:val="000000" w:themeColor="text1"/>
          <w:sz w:val="19"/>
          <w:szCs w:val="19"/>
        </w:rPr>
        <w:t>.</w:t>
      </w:r>
    </w:p>
    <w:p w:rsidR="001F2B3B" w:rsidRPr="00264F58" w:rsidRDefault="001F2B3B" w:rsidP="005D2473">
      <w:pPr>
        <w:pStyle w:val="Akapitzlist"/>
        <w:tabs>
          <w:tab w:val="left" w:pos="284"/>
        </w:tabs>
        <w:spacing w:after="0" w:line="360" w:lineRule="auto"/>
        <w:ind w:left="284" w:right="401"/>
        <w:rPr>
          <w:rFonts w:ascii="Fira Sans" w:hAnsi="Fira Sans" w:cs="Times New Roman"/>
          <w:color w:val="000000" w:themeColor="text1"/>
          <w:sz w:val="19"/>
          <w:szCs w:val="19"/>
        </w:rPr>
      </w:pPr>
    </w:p>
    <w:p w:rsidR="001F2B3B" w:rsidRPr="00264F58" w:rsidRDefault="001F2B3B" w:rsidP="005D2473">
      <w:pPr>
        <w:pStyle w:val="Akapitzlist"/>
        <w:autoSpaceDE w:val="0"/>
        <w:autoSpaceDN w:val="0"/>
        <w:adjustRightInd w:val="0"/>
        <w:spacing w:after="0" w:line="360" w:lineRule="auto"/>
        <w:ind w:left="284" w:right="401"/>
        <w:rPr>
          <w:rFonts w:ascii="Fira Sans" w:hAnsi="Fira Sans" w:cs="Times New Roman"/>
          <w:sz w:val="19"/>
          <w:szCs w:val="19"/>
        </w:rPr>
      </w:pPr>
      <w:r w:rsidRPr="00264F58">
        <w:rPr>
          <w:rFonts w:ascii="Fira Sans" w:hAnsi="Fira Sans" w:cs="Times New Roman"/>
          <w:b/>
          <w:bCs/>
          <w:i/>
          <w:iCs/>
          <w:sz w:val="19"/>
          <w:szCs w:val="19"/>
        </w:rPr>
        <w:t xml:space="preserve">Rewizje rutynowe </w:t>
      </w:r>
    </w:p>
    <w:p w:rsidR="001F2B3B" w:rsidRPr="00071DF9" w:rsidRDefault="00283987" w:rsidP="005D2473">
      <w:pPr>
        <w:pStyle w:val="Akapitzlist"/>
        <w:spacing w:after="0" w:line="360" w:lineRule="auto"/>
        <w:ind w:left="284"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>
        <w:rPr>
          <w:rFonts w:ascii="Fira Sans" w:hAnsi="Fira Sans" w:cs="Times New Roman"/>
          <w:color w:val="000000" w:themeColor="text1"/>
          <w:sz w:val="19"/>
          <w:szCs w:val="19"/>
        </w:rPr>
        <w:t xml:space="preserve">Opracowanie nowych </w:t>
      </w:r>
      <w:r w:rsidR="001F2B3B" w:rsidRPr="00264F58">
        <w:rPr>
          <w:rFonts w:ascii="Fira Sans" w:hAnsi="Fira Sans" w:cs="Times New Roman"/>
          <w:color w:val="000000" w:themeColor="text1"/>
          <w:sz w:val="19"/>
          <w:szCs w:val="19"/>
        </w:rPr>
        <w:t>kwartaln</w:t>
      </w:r>
      <w:r w:rsidR="00006600">
        <w:rPr>
          <w:rFonts w:ascii="Fira Sans" w:hAnsi="Fira Sans" w:cs="Times New Roman"/>
          <w:color w:val="000000" w:themeColor="text1"/>
          <w:sz w:val="19"/>
          <w:szCs w:val="19"/>
        </w:rPr>
        <w:t>ych</w:t>
      </w:r>
      <w:r w:rsidR="001F2B3B" w:rsidRPr="00264F58">
        <w:rPr>
          <w:rFonts w:ascii="Fira Sans" w:hAnsi="Fira Sans" w:cs="Times New Roman"/>
          <w:color w:val="000000" w:themeColor="text1"/>
          <w:sz w:val="19"/>
          <w:szCs w:val="19"/>
        </w:rPr>
        <w:t xml:space="preserve"> rachunk</w:t>
      </w:r>
      <w:r>
        <w:rPr>
          <w:rFonts w:ascii="Fira Sans" w:hAnsi="Fira Sans" w:cs="Times New Roman"/>
          <w:color w:val="000000" w:themeColor="text1"/>
          <w:sz w:val="19"/>
          <w:szCs w:val="19"/>
        </w:rPr>
        <w:t>ów</w:t>
      </w:r>
      <w:r w:rsidR="001F2B3B" w:rsidRPr="00071DF9">
        <w:rPr>
          <w:rFonts w:ascii="Fira Sans" w:hAnsi="Fira Sans" w:cs="Times New Roman"/>
          <w:color w:val="000000" w:themeColor="text1"/>
          <w:sz w:val="19"/>
          <w:szCs w:val="19"/>
        </w:rPr>
        <w:t xml:space="preserve"> narodow</w:t>
      </w:r>
      <w:r w:rsidR="00006600">
        <w:rPr>
          <w:rFonts w:ascii="Fira Sans" w:hAnsi="Fira Sans" w:cs="Times New Roman"/>
          <w:color w:val="000000" w:themeColor="text1"/>
          <w:sz w:val="19"/>
          <w:szCs w:val="19"/>
        </w:rPr>
        <w:t>ych</w:t>
      </w:r>
      <w:r w:rsidR="001F2B3B" w:rsidRPr="00071DF9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  <w:r>
        <w:rPr>
          <w:rFonts w:ascii="Fira Sans" w:hAnsi="Fira Sans" w:cs="Times New Roman"/>
          <w:color w:val="000000" w:themeColor="text1"/>
          <w:sz w:val="19"/>
          <w:szCs w:val="19"/>
        </w:rPr>
        <w:t>uwarunkowane jest następującymi czynnikami:</w:t>
      </w:r>
      <w:r w:rsidR="00C51654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</w:p>
    <w:p w:rsidR="00006600" w:rsidRPr="005D2473" w:rsidRDefault="00C51654" w:rsidP="005D2473">
      <w:pPr>
        <w:pStyle w:val="Akapitzlist"/>
        <w:numPr>
          <w:ilvl w:val="0"/>
          <w:numId w:val="39"/>
        </w:numPr>
        <w:spacing w:after="0" w:line="360" w:lineRule="auto"/>
        <w:ind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5D2473">
        <w:rPr>
          <w:rFonts w:ascii="Fira Sans" w:hAnsi="Fira Sans" w:cs="Times New Roman"/>
          <w:color w:val="000000" w:themeColor="text1"/>
          <w:sz w:val="19"/>
          <w:szCs w:val="19"/>
        </w:rPr>
        <w:t>dostępność</w:t>
      </w:r>
      <w:r w:rsidR="001F2B3B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 bardziej szczegółow</w:t>
      </w:r>
      <w:r w:rsidRPr="005D2473">
        <w:rPr>
          <w:rFonts w:ascii="Fira Sans" w:hAnsi="Fira Sans" w:cs="Times New Roman"/>
          <w:color w:val="000000" w:themeColor="text1"/>
          <w:sz w:val="19"/>
          <w:szCs w:val="19"/>
        </w:rPr>
        <w:t>ych</w:t>
      </w:r>
      <w:r w:rsidR="001F2B3B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 i aktualn</w:t>
      </w:r>
      <w:r w:rsidRPr="005D2473">
        <w:rPr>
          <w:rFonts w:ascii="Fira Sans" w:hAnsi="Fira Sans" w:cs="Times New Roman"/>
          <w:color w:val="000000" w:themeColor="text1"/>
          <w:sz w:val="19"/>
          <w:szCs w:val="19"/>
        </w:rPr>
        <w:t>ych</w:t>
      </w:r>
      <w:r w:rsidR="001F2B3B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 źród</w:t>
      </w:r>
      <w:r w:rsidRPr="005D2473">
        <w:rPr>
          <w:rFonts w:ascii="Fira Sans" w:hAnsi="Fira Sans" w:cs="Times New Roman"/>
          <w:color w:val="000000" w:themeColor="text1"/>
          <w:sz w:val="19"/>
          <w:szCs w:val="19"/>
        </w:rPr>
        <w:t>eł</w:t>
      </w:r>
      <w:r w:rsidR="001F2B3B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 informacji </w:t>
      </w:r>
      <w:r w:rsidR="00006600" w:rsidRPr="005D2473">
        <w:rPr>
          <w:rFonts w:ascii="Fira Sans" w:hAnsi="Fira Sans" w:cs="Times New Roman"/>
          <w:color w:val="000000" w:themeColor="text1"/>
          <w:sz w:val="19"/>
          <w:szCs w:val="19"/>
        </w:rPr>
        <w:t>w ciągu roku badanego, kiedy dan</w:t>
      </w:r>
      <w:r w:rsidR="008F023B" w:rsidRPr="005D2473">
        <w:rPr>
          <w:rFonts w:ascii="Fira Sans" w:hAnsi="Fira Sans" w:cs="Times New Roman"/>
          <w:color w:val="000000" w:themeColor="text1"/>
          <w:sz w:val="19"/>
          <w:szCs w:val="19"/>
        </w:rPr>
        <w:t>e roczne nie są jeszcze</w:t>
      </w:r>
      <w:r w:rsidR="00241CBD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  <w:r w:rsidR="008F023B" w:rsidRPr="005D2473">
        <w:rPr>
          <w:rFonts w:ascii="Fira Sans" w:hAnsi="Fira Sans" w:cs="Times New Roman"/>
          <w:color w:val="000000" w:themeColor="text1"/>
          <w:sz w:val="19"/>
          <w:szCs w:val="19"/>
        </w:rPr>
        <w:t>opracowane</w:t>
      </w:r>
      <w:r w:rsidR="00CF6892" w:rsidRPr="005D2473">
        <w:rPr>
          <w:rFonts w:ascii="Fira Sans" w:hAnsi="Fira Sans" w:cs="Times New Roman"/>
          <w:color w:val="000000" w:themeColor="text1"/>
          <w:sz w:val="19"/>
          <w:szCs w:val="19"/>
        </w:rPr>
        <w:t>;</w:t>
      </w:r>
    </w:p>
    <w:p w:rsidR="00283987" w:rsidRPr="005D2473" w:rsidRDefault="00C51654" w:rsidP="005D2473">
      <w:pPr>
        <w:pStyle w:val="Akapitzlist"/>
        <w:numPr>
          <w:ilvl w:val="0"/>
          <w:numId w:val="39"/>
        </w:numPr>
        <w:spacing w:after="0" w:line="360" w:lineRule="auto"/>
        <w:ind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5D2473">
        <w:rPr>
          <w:rFonts w:ascii="Fira Sans" w:hAnsi="Fira Sans" w:cs="Times New Roman"/>
          <w:color w:val="000000" w:themeColor="text1"/>
          <w:sz w:val="19"/>
          <w:szCs w:val="19"/>
        </w:rPr>
        <w:t>dostępność</w:t>
      </w:r>
      <w:r w:rsidR="00CF6892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 wstępn</w:t>
      </w:r>
      <w:r w:rsidRPr="005D2473">
        <w:rPr>
          <w:rFonts w:ascii="Fira Sans" w:hAnsi="Fira Sans" w:cs="Times New Roman"/>
          <w:color w:val="000000" w:themeColor="text1"/>
          <w:sz w:val="19"/>
          <w:szCs w:val="19"/>
        </w:rPr>
        <w:t>ych</w:t>
      </w:r>
      <w:r w:rsidR="00CF6892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 oraz ostateczn</w:t>
      </w:r>
      <w:r w:rsidRPr="005D2473">
        <w:rPr>
          <w:rFonts w:ascii="Fira Sans" w:hAnsi="Fira Sans" w:cs="Times New Roman"/>
          <w:color w:val="000000" w:themeColor="text1"/>
          <w:sz w:val="19"/>
          <w:szCs w:val="19"/>
        </w:rPr>
        <w:t>ych</w:t>
      </w:r>
      <w:r w:rsidR="00CF6892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 szacunk</w:t>
      </w:r>
      <w:r w:rsidRPr="005D2473">
        <w:rPr>
          <w:rFonts w:ascii="Fira Sans" w:hAnsi="Fira Sans" w:cs="Times New Roman"/>
          <w:color w:val="000000" w:themeColor="text1"/>
          <w:sz w:val="19"/>
          <w:szCs w:val="19"/>
        </w:rPr>
        <w:t>ó</w:t>
      </w:r>
      <w:r w:rsidR="00283987" w:rsidRPr="005D2473">
        <w:rPr>
          <w:rFonts w:ascii="Fira Sans" w:hAnsi="Fira Sans" w:cs="Times New Roman"/>
          <w:color w:val="000000" w:themeColor="text1"/>
          <w:sz w:val="19"/>
          <w:szCs w:val="19"/>
        </w:rPr>
        <w:t>w</w:t>
      </w:r>
      <w:r w:rsidR="00CF6892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 roczn</w:t>
      </w:r>
      <w:r w:rsidRPr="005D2473">
        <w:rPr>
          <w:rFonts w:ascii="Fira Sans" w:hAnsi="Fira Sans" w:cs="Times New Roman"/>
          <w:color w:val="000000" w:themeColor="text1"/>
          <w:sz w:val="19"/>
          <w:szCs w:val="19"/>
        </w:rPr>
        <w:t>ych</w:t>
      </w:r>
      <w:r w:rsidR="009C6645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  <w:r w:rsidR="009C6645" w:rsidRPr="005D2473">
        <w:rPr>
          <w:rFonts w:ascii="Fira Sans" w:hAnsi="Fira Sans" w:cs="Times New Roman"/>
          <w:sz w:val="19"/>
          <w:szCs w:val="19"/>
        </w:rPr>
        <w:t>–</w:t>
      </w:r>
      <w:r w:rsidR="00283987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  <w:r w:rsidR="00283987" w:rsidRPr="005D2473">
        <w:rPr>
          <w:rFonts w:ascii="Fira Sans" w:hAnsi="Fira Sans" w:cs="Times New Roman"/>
          <w:sz w:val="19"/>
          <w:szCs w:val="19"/>
        </w:rPr>
        <w:t>dostosowania danych kwartalnych do danych rocznych</w:t>
      </w:r>
      <w:r w:rsidR="00283987" w:rsidRPr="005D2473">
        <w:rPr>
          <w:rFonts w:ascii="Fira Sans" w:hAnsi="Fira Sans" w:cs="Times New Roman"/>
          <w:color w:val="000000" w:themeColor="text1"/>
          <w:sz w:val="19"/>
          <w:szCs w:val="19"/>
        </w:rPr>
        <w:t>;</w:t>
      </w:r>
    </w:p>
    <w:p w:rsidR="001F2B3B" w:rsidRPr="005D2473" w:rsidRDefault="00283987" w:rsidP="005D2473">
      <w:pPr>
        <w:pStyle w:val="Akapitzlist"/>
        <w:numPr>
          <w:ilvl w:val="0"/>
          <w:numId w:val="39"/>
        </w:numPr>
        <w:spacing w:line="360" w:lineRule="auto"/>
        <w:ind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5D2473">
        <w:rPr>
          <w:rFonts w:ascii="Fira Sans" w:hAnsi="Fira Sans" w:cs="Times New Roman"/>
          <w:color w:val="000000" w:themeColor="text1"/>
          <w:sz w:val="19"/>
          <w:szCs w:val="19"/>
        </w:rPr>
        <w:t>dostępność zrewidowanych szacunków rocznych</w:t>
      </w:r>
      <w:r w:rsidR="001F2B3B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 </w:t>
      </w:r>
      <w:r w:rsidR="009C6645" w:rsidRPr="005D2473">
        <w:rPr>
          <w:rFonts w:ascii="Fira Sans" w:hAnsi="Fira Sans" w:cs="Times New Roman"/>
          <w:sz w:val="19"/>
          <w:szCs w:val="19"/>
        </w:rPr>
        <w:t>–</w:t>
      </w:r>
      <w:r w:rsidRPr="005D2473">
        <w:rPr>
          <w:rFonts w:ascii="Fira Sans" w:hAnsi="Fira Sans" w:cs="Times New Roman"/>
          <w:sz w:val="19"/>
          <w:szCs w:val="19"/>
        </w:rPr>
        <w:t xml:space="preserve"> </w:t>
      </w:r>
      <w:r w:rsidR="008F023B" w:rsidRPr="005D2473">
        <w:rPr>
          <w:rFonts w:ascii="Fira Sans" w:hAnsi="Fira Sans" w:cs="Times New Roman"/>
          <w:sz w:val="19"/>
          <w:szCs w:val="19"/>
        </w:rPr>
        <w:t>dostosowani</w:t>
      </w:r>
      <w:r w:rsidRPr="005D2473">
        <w:rPr>
          <w:rFonts w:ascii="Fira Sans" w:hAnsi="Fira Sans" w:cs="Times New Roman"/>
          <w:sz w:val="19"/>
          <w:szCs w:val="19"/>
        </w:rPr>
        <w:t>e</w:t>
      </w:r>
      <w:r w:rsidR="008F023B" w:rsidRPr="005D2473">
        <w:rPr>
          <w:rFonts w:ascii="Fira Sans" w:hAnsi="Fira Sans" w:cs="Times New Roman"/>
          <w:sz w:val="19"/>
          <w:szCs w:val="19"/>
        </w:rPr>
        <w:t xml:space="preserve"> </w:t>
      </w:r>
      <w:r w:rsidRPr="005D2473">
        <w:rPr>
          <w:rFonts w:ascii="Fira Sans" w:hAnsi="Fira Sans" w:cs="Times New Roman"/>
          <w:sz w:val="19"/>
          <w:szCs w:val="19"/>
        </w:rPr>
        <w:t xml:space="preserve">danych </w:t>
      </w:r>
      <w:r w:rsidR="008F023B" w:rsidRPr="005D2473">
        <w:rPr>
          <w:rFonts w:ascii="Fira Sans" w:hAnsi="Fira Sans" w:cs="Times New Roman"/>
          <w:sz w:val="19"/>
          <w:szCs w:val="19"/>
        </w:rPr>
        <w:t>kwartalnych do danych rocznych</w:t>
      </w:r>
      <w:r w:rsidRPr="005D2473">
        <w:rPr>
          <w:rFonts w:ascii="Fira Sans" w:hAnsi="Fira Sans" w:cs="Times New Roman"/>
          <w:color w:val="000000" w:themeColor="text1"/>
          <w:sz w:val="19"/>
          <w:szCs w:val="19"/>
        </w:rPr>
        <w:t>;</w:t>
      </w:r>
    </w:p>
    <w:p w:rsidR="00283987" w:rsidRPr="005D2473" w:rsidRDefault="001F2B3B" w:rsidP="005D2473">
      <w:pPr>
        <w:pStyle w:val="Akapitzlist"/>
        <w:numPr>
          <w:ilvl w:val="0"/>
          <w:numId w:val="39"/>
        </w:numPr>
        <w:spacing w:line="360" w:lineRule="auto"/>
        <w:ind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5D2473">
        <w:rPr>
          <w:rFonts w:ascii="Fira Sans" w:hAnsi="Fira Sans" w:cs="Times New Roman"/>
          <w:sz w:val="19"/>
          <w:szCs w:val="19"/>
        </w:rPr>
        <w:t>zmian</w:t>
      </w:r>
      <w:r w:rsidR="00283987" w:rsidRPr="005D2473">
        <w:rPr>
          <w:rFonts w:ascii="Fira Sans" w:hAnsi="Fira Sans" w:cs="Times New Roman"/>
          <w:sz w:val="19"/>
          <w:szCs w:val="19"/>
        </w:rPr>
        <w:t>a</w:t>
      </w:r>
      <w:r w:rsidRPr="005D2473">
        <w:rPr>
          <w:rFonts w:ascii="Fira Sans" w:hAnsi="Fira Sans" w:cs="Times New Roman"/>
          <w:sz w:val="19"/>
          <w:szCs w:val="19"/>
        </w:rPr>
        <w:t xml:space="preserve"> roku odniesienia przy danych nawiązanych łańcuchowo – przeważnie co 5 lat</w:t>
      </w:r>
      <w:r w:rsidR="00283987" w:rsidRPr="005D2473">
        <w:rPr>
          <w:rFonts w:ascii="Fira Sans" w:hAnsi="Fira Sans" w:cs="Times New Roman"/>
          <w:sz w:val="19"/>
          <w:szCs w:val="19"/>
        </w:rPr>
        <w:t xml:space="preserve">, przy okazji </w:t>
      </w:r>
      <w:r w:rsidR="00283987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tzw. </w:t>
      </w:r>
      <w:r w:rsidR="00283987" w:rsidRPr="005D2473">
        <w:rPr>
          <w:rFonts w:ascii="Fira Sans" w:hAnsi="Fira Sans" w:cs="Times New Roman"/>
          <w:sz w:val="19"/>
          <w:szCs w:val="19"/>
        </w:rPr>
        <w:t>rewizji benchmarkingowych</w:t>
      </w:r>
      <w:r w:rsidRPr="005D2473">
        <w:rPr>
          <w:rFonts w:ascii="Fira Sans" w:hAnsi="Fira Sans" w:cs="Times New Roman"/>
          <w:sz w:val="19"/>
          <w:szCs w:val="19"/>
        </w:rPr>
        <w:t xml:space="preserve">. </w:t>
      </w:r>
    </w:p>
    <w:p w:rsidR="00F2202E" w:rsidRPr="00283987" w:rsidRDefault="00F2202E" w:rsidP="005D2473">
      <w:pPr>
        <w:pStyle w:val="Akapitzlist"/>
        <w:spacing w:line="360" w:lineRule="auto"/>
        <w:ind w:left="284"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</w:p>
    <w:p w:rsidR="00283987" w:rsidRPr="00071DF9" w:rsidRDefault="00283987" w:rsidP="005D2473">
      <w:pPr>
        <w:pStyle w:val="Akapitzlist"/>
        <w:spacing w:line="360" w:lineRule="auto"/>
        <w:ind w:left="284"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7222C2">
        <w:rPr>
          <w:rFonts w:ascii="Fira Sans" w:hAnsi="Fira Sans" w:cs="Times New Roman"/>
          <w:color w:val="000000" w:themeColor="text1"/>
          <w:sz w:val="19"/>
          <w:szCs w:val="19"/>
        </w:rPr>
        <w:t>Ponadto rewizji podlegają dane wyrównane sezonowo</w:t>
      </w:r>
      <w:r w:rsidRPr="00283987">
        <w:rPr>
          <w:rFonts w:ascii="Fira Sans" w:hAnsi="Fira Sans" w:cs="Times New Roman"/>
          <w:color w:val="000000" w:themeColor="text1"/>
          <w:sz w:val="19"/>
          <w:szCs w:val="19"/>
        </w:rPr>
        <w:t>, gdy zmieniane są dane niewyrównane sezonowo, po dodaniu kolejnej obserwacji (kwartału) do szeregu czasowego oraz po zmianie modelu analizy szeregów czasowych</w:t>
      </w:r>
      <w:r w:rsidRPr="00071DF9">
        <w:rPr>
          <w:rFonts w:ascii="Fira Sans" w:hAnsi="Fira Sans" w:cs="Times New Roman"/>
          <w:color w:val="000000" w:themeColor="text1"/>
          <w:sz w:val="19"/>
          <w:szCs w:val="19"/>
        </w:rPr>
        <w:t xml:space="preserve"> celem lepszego dopasowania do bieżącego wzorca sezonowości</w:t>
      </w:r>
      <w:r>
        <w:rPr>
          <w:rFonts w:ascii="Fira Sans" w:hAnsi="Fira Sans" w:cs="Times New Roman"/>
          <w:color w:val="000000" w:themeColor="text1"/>
          <w:sz w:val="19"/>
          <w:szCs w:val="19"/>
        </w:rPr>
        <w:t>.</w:t>
      </w:r>
    </w:p>
    <w:p w:rsidR="00AA7FC1" w:rsidRPr="00746AF9" w:rsidRDefault="00AA7FC1" w:rsidP="005D2473">
      <w:pPr>
        <w:autoSpaceDE w:val="0"/>
        <w:autoSpaceDN w:val="0"/>
        <w:adjustRightInd w:val="0"/>
        <w:spacing w:after="120" w:line="360" w:lineRule="auto"/>
        <w:ind w:left="284" w:right="401"/>
        <w:jc w:val="both"/>
        <w:rPr>
          <w:rFonts w:ascii="Fira Sans" w:hAnsi="Fira Sans" w:cs="Times New Roman"/>
          <w:sz w:val="19"/>
          <w:szCs w:val="19"/>
        </w:rPr>
      </w:pPr>
      <w:r w:rsidRPr="00071DF9">
        <w:rPr>
          <w:rFonts w:ascii="Fira Sans" w:hAnsi="Fira Sans" w:cs="Times New Roman"/>
          <w:sz w:val="19"/>
          <w:szCs w:val="19"/>
        </w:rPr>
        <w:t xml:space="preserve">Harmonogram rewizji </w:t>
      </w:r>
      <w:r w:rsidR="009C252E">
        <w:rPr>
          <w:rFonts w:ascii="Fira Sans" w:hAnsi="Fira Sans" w:cs="Times New Roman"/>
          <w:sz w:val="19"/>
          <w:szCs w:val="19"/>
        </w:rPr>
        <w:t>rutynowych</w:t>
      </w:r>
      <w:r w:rsidR="00283987">
        <w:rPr>
          <w:rFonts w:ascii="Fira Sans" w:hAnsi="Fira Sans" w:cs="Times New Roman"/>
          <w:sz w:val="19"/>
          <w:szCs w:val="19"/>
        </w:rPr>
        <w:t xml:space="preserve"> przewiduje opracowanie </w:t>
      </w:r>
      <w:r w:rsidR="006727E2">
        <w:rPr>
          <w:rFonts w:ascii="Fira Sans" w:hAnsi="Fira Sans" w:cs="Times New Roman"/>
          <w:sz w:val="19"/>
          <w:szCs w:val="19"/>
        </w:rPr>
        <w:t xml:space="preserve">szybkiego szacunku PKB oraz wstępnego szacunku PKB </w:t>
      </w:r>
      <w:r w:rsidR="006727E2" w:rsidRPr="007222C2">
        <w:rPr>
          <w:rFonts w:ascii="Fira Sans" w:hAnsi="Fira Sans" w:cs="Times New Roman"/>
          <w:sz w:val="19"/>
          <w:szCs w:val="19"/>
        </w:rPr>
        <w:t>w następujących miesiącach</w:t>
      </w:r>
      <w:r w:rsidR="009C252E" w:rsidRPr="00746AF9">
        <w:rPr>
          <w:rFonts w:ascii="Fira Sans" w:hAnsi="Fira Sans" w:cs="Times New Roman"/>
          <w:sz w:val="19"/>
          <w:szCs w:val="19"/>
        </w:rPr>
        <w:t>:</w:t>
      </w:r>
    </w:p>
    <w:p w:rsidR="00AA7FC1" w:rsidRPr="005D2473" w:rsidRDefault="005300FD" w:rsidP="005D2473">
      <w:pPr>
        <w:pStyle w:val="Akapitzlist"/>
        <w:numPr>
          <w:ilvl w:val="0"/>
          <w:numId w:val="40"/>
        </w:numPr>
        <w:spacing w:after="0" w:line="360" w:lineRule="auto"/>
        <w:ind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5D2473">
        <w:rPr>
          <w:rFonts w:ascii="Fira Sans" w:hAnsi="Fira Sans" w:cs="Times New Roman"/>
          <w:color w:val="000000" w:themeColor="text1"/>
          <w:sz w:val="19"/>
          <w:szCs w:val="19"/>
        </w:rPr>
        <w:t>l</w:t>
      </w:r>
      <w:r w:rsidR="00AA7FC1" w:rsidRPr="005D2473">
        <w:rPr>
          <w:rFonts w:ascii="Fira Sans" w:hAnsi="Fira Sans" w:cs="Times New Roman"/>
          <w:color w:val="000000" w:themeColor="text1"/>
          <w:sz w:val="19"/>
          <w:szCs w:val="19"/>
        </w:rPr>
        <w:t>uty –</w:t>
      </w:r>
      <w:r w:rsidR="00283987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  </w:t>
      </w:r>
      <w:r w:rsidR="00463C69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szybki </w:t>
      </w:r>
      <w:r w:rsidR="00AA7FC1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szacunek dla kwartału IV roku </w:t>
      </w:r>
      <w:r w:rsidR="00D15FCE" w:rsidRPr="005D2473">
        <w:rPr>
          <w:rFonts w:ascii="Fira Sans" w:hAnsi="Fira Sans" w:cs="Times New Roman"/>
          <w:color w:val="000000" w:themeColor="text1"/>
          <w:sz w:val="19"/>
          <w:szCs w:val="19"/>
        </w:rPr>
        <w:t>N</w:t>
      </w:r>
      <w:r w:rsidR="00AA7FC1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-1 oraz wstępny szacunek dla kwartału IV roku </w:t>
      </w:r>
      <w:r w:rsidR="00D15FCE" w:rsidRPr="005D2473">
        <w:rPr>
          <w:rFonts w:ascii="Fira Sans" w:hAnsi="Fira Sans" w:cs="Times New Roman"/>
          <w:color w:val="000000" w:themeColor="text1"/>
          <w:sz w:val="19"/>
          <w:szCs w:val="19"/>
        </w:rPr>
        <w:t>N</w:t>
      </w:r>
      <w:r w:rsidR="00AA7FC1" w:rsidRPr="005D2473">
        <w:rPr>
          <w:rFonts w:ascii="Fira Sans" w:hAnsi="Fira Sans" w:cs="Times New Roman"/>
          <w:color w:val="000000" w:themeColor="text1"/>
          <w:sz w:val="19"/>
          <w:szCs w:val="19"/>
        </w:rPr>
        <w:t>-1;</w:t>
      </w:r>
    </w:p>
    <w:p w:rsidR="00AA7FC1" w:rsidRPr="005D2473" w:rsidRDefault="005300FD" w:rsidP="005D2473">
      <w:pPr>
        <w:pStyle w:val="Akapitzlist"/>
        <w:numPr>
          <w:ilvl w:val="0"/>
          <w:numId w:val="40"/>
        </w:numPr>
        <w:spacing w:after="0" w:line="360" w:lineRule="auto"/>
        <w:ind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5D2473">
        <w:rPr>
          <w:rFonts w:ascii="Fira Sans" w:hAnsi="Fira Sans" w:cs="Times New Roman"/>
          <w:color w:val="000000" w:themeColor="text1"/>
          <w:sz w:val="19"/>
          <w:szCs w:val="19"/>
        </w:rPr>
        <w:t>k</w:t>
      </w:r>
      <w:r w:rsidR="00AA7FC1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wiecień – rewizja kwartałów I-IV dla roku </w:t>
      </w:r>
      <w:r w:rsidR="00D15FCE" w:rsidRPr="005D2473">
        <w:rPr>
          <w:rFonts w:ascii="Fira Sans" w:hAnsi="Fira Sans" w:cs="Times New Roman"/>
          <w:color w:val="000000" w:themeColor="text1"/>
          <w:sz w:val="19"/>
          <w:szCs w:val="19"/>
        </w:rPr>
        <w:t>N</w:t>
      </w:r>
      <w:r w:rsidR="00AA7FC1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-2 oraz I-IV dla roku </w:t>
      </w:r>
      <w:r w:rsidR="00D15FCE" w:rsidRPr="005D2473">
        <w:rPr>
          <w:rFonts w:ascii="Fira Sans" w:hAnsi="Fira Sans" w:cs="Times New Roman"/>
          <w:color w:val="000000" w:themeColor="text1"/>
          <w:sz w:val="19"/>
          <w:szCs w:val="19"/>
        </w:rPr>
        <w:t>N</w:t>
      </w:r>
      <w:r w:rsidR="00AA7FC1" w:rsidRPr="005D2473">
        <w:rPr>
          <w:rFonts w:ascii="Fira Sans" w:hAnsi="Fira Sans" w:cs="Times New Roman"/>
          <w:color w:val="000000" w:themeColor="text1"/>
          <w:sz w:val="19"/>
          <w:szCs w:val="19"/>
        </w:rPr>
        <w:t>-1;</w:t>
      </w:r>
    </w:p>
    <w:p w:rsidR="00AA7FC1" w:rsidRPr="005D2473" w:rsidRDefault="005300FD" w:rsidP="005D2473">
      <w:pPr>
        <w:pStyle w:val="Akapitzlist"/>
        <w:numPr>
          <w:ilvl w:val="0"/>
          <w:numId w:val="40"/>
        </w:numPr>
        <w:spacing w:after="0" w:line="360" w:lineRule="auto"/>
        <w:ind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5D2473">
        <w:rPr>
          <w:rFonts w:ascii="Fira Sans" w:hAnsi="Fira Sans" w:cs="Times New Roman"/>
          <w:color w:val="000000" w:themeColor="text1"/>
          <w:sz w:val="19"/>
          <w:szCs w:val="19"/>
        </w:rPr>
        <w:lastRenderedPageBreak/>
        <w:t>m</w:t>
      </w:r>
      <w:r w:rsidR="00AA7FC1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aj - szybki szacunek dla kwartału I roku </w:t>
      </w:r>
      <w:r w:rsidR="00D15FCE" w:rsidRPr="005D2473">
        <w:rPr>
          <w:rFonts w:ascii="Fira Sans" w:hAnsi="Fira Sans" w:cs="Times New Roman"/>
          <w:color w:val="000000" w:themeColor="text1"/>
          <w:sz w:val="19"/>
          <w:szCs w:val="19"/>
        </w:rPr>
        <w:t>N</w:t>
      </w:r>
      <w:r w:rsidR="00AA7FC1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 oraz wstępny szacunek dla kwartału I roku </w:t>
      </w:r>
      <w:r w:rsidR="00D15FCE" w:rsidRPr="005D2473">
        <w:rPr>
          <w:rFonts w:ascii="Fira Sans" w:hAnsi="Fira Sans" w:cs="Times New Roman"/>
          <w:color w:val="000000" w:themeColor="text1"/>
          <w:sz w:val="19"/>
          <w:szCs w:val="19"/>
        </w:rPr>
        <w:t>N</w:t>
      </w:r>
      <w:r w:rsidR="00AA7FC1" w:rsidRPr="005D2473">
        <w:rPr>
          <w:rFonts w:ascii="Fira Sans" w:hAnsi="Fira Sans" w:cs="Times New Roman"/>
          <w:color w:val="000000" w:themeColor="text1"/>
          <w:sz w:val="19"/>
          <w:szCs w:val="19"/>
        </w:rPr>
        <w:t>;</w:t>
      </w:r>
    </w:p>
    <w:p w:rsidR="00AA7FC1" w:rsidRPr="005D2473" w:rsidRDefault="005300FD" w:rsidP="005D2473">
      <w:pPr>
        <w:pStyle w:val="Akapitzlist"/>
        <w:numPr>
          <w:ilvl w:val="0"/>
          <w:numId w:val="40"/>
        </w:numPr>
        <w:spacing w:after="0" w:line="360" w:lineRule="auto"/>
        <w:ind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5D2473">
        <w:rPr>
          <w:rFonts w:ascii="Fira Sans" w:hAnsi="Fira Sans" w:cs="Times New Roman"/>
          <w:color w:val="000000" w:themeColor="text1"/>
          <w:sz w:val="19"/>
          <w:szCs w:val="19"/>
        </w:rPr>
        <w:t>s</w:t>
      </w:r>
      <w:r w:rsidR="00AA7FC1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ierpień - szybki szacunek dla kwartału II roku </w:t>
      </w:r>
      <w:r w:rsidR="00D15FCE" w:rsidRPr="005D2473">
        <w:rPr>
          <w:rFonts w:ascii="Fira Sans" w:hAnsi="Fira Sans" w:cs="Times New Roman"/>
          <w:color w:val="000000" w:themeColor="text1"/>
          <w:sz w:val="19"/>
          <w:szCs w:val="19"/>
        </w:rPr>
        <w:t>N</w:t>
      </w:r>
      <w:r w:rsidR="00AA7FC1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 oraz wstępny szacunek dla kwartału II roku </w:t>
      </w:r>
      <w:r w:rsidR="00D15FCE" w:rsidRPr="005D2473">
        <w:rPr>
          <w:rFonts w:ascii="Fira Sans" w:hAnsi="Fira Sans" w:cs="Times New Roman"/>
          <w:color w:val="000000" w:themeColor="text1"/>
          <w:sz w:val="19"/>
          <w:szCs w:val="19"/>
        </w:rPr>
        <w:t>N</w:t>
      </w:r>
      <w:r w:rsidR="00AA7FC1" w:rsidRPr="005D2473">
        <w:rPr>
          <w:rFonts w:ascii="Fira Sans" w:hAnsi="Fira Sans" w:cs="Times New Roman"/>
          <w:color w:val="000000" w:themeColor="text1"/>
          <w:sz w:val="19"/>
          <w:szCs w:val="19"/>
        </w:rPr>
        <w:t>;</w:t>
      </w:r>
    </w:p>
    <w:p w:rsidR="00AA7FC1" w:rsidRPr="005D2473" w:rsidRDefault="005300FD" w:rsidP="005D2473">
      <w:pPr>
        <w:pStyle w:val="Akapitzlist"/>
        <w:numPr>
          <w:ilvl w:val="0"/>
          <w:numId w:val="40"/>
        </w:numPr>
        <w:spacing w:after="0" w:line="360" w:lineRule="auto"/>
        <w:ind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5D2473">
        <w:rPr>
          <w:rFonts w:ascii="Fira Sans" w:hAnsi="Fira Sans" w:cs="Times New Roman"/>
          <w:color w:val="000000" w:themeColor="text1"/>
          <w:sz w:val="19"/>
          <w:szCs w:val="19"/>
        </w:rPr>
        <w:t>p</w:t>
      </w:r>
      <w:r w:rsidR="00AA7FC1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aździernik – rewizja kwartałów I-IV dla roku </w:t>
      </w:r>
      <w:r w:rsidR="00D15FCE" w:rsidRPr="005D2473">
        <w:rPr>
          <w:rFonts w:ascii="Fira Sans" w:hAnsi="Fira Sans" w:cs="Times New Roman"/>
          <w:color w:val="000000" w:themeColor="text1"/>
          <w:sz w:val="19"/>
          <w:szCs w:val="19"/>
        </w:rPr>
        <w:t>N</w:t>
      </w:r>
      <w:r w:rsidR="00AA7FC1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-1 oraz kwartałów I-II dla roku </w:t>
      </w:r>
      <w:r w:rsidR="00D15FCE" w:rsidRPr="005D2473">
        <w:rPr>
          <w:rFonts w:ascii="Fira Sans" w:hAnsi="Fira Sans" w:cs="Times New Roman"/>
          <w:color w:val="000000" w:themeColor="text1"/>
          <w:sz w:val="19"/>
          <w:szCs w:val="19"/>
        </w:rPr>
        <w:t>N</w:t>
      </w:r>
      <w:r w:rsidR="00AA7FC1" w:rsidRPr="005D2473">
        <w:rPr>
          <w:rFonts w:ascii="Fira Sans" w:hAnsi="Fira Sans" w:cs="Times New Roman"/>
          <w:color w:val="000000" w:themeColor="text1"/>
          <w:sz w:val="19"/>
          <w:szCs w:val="19"/>
        </w:rPr>
        <w:t>;</w:t>
      </w:r>
    </w:p>
    <w:p w:rsidR="00AA7FC1" w:rsidRPr="005D2473" w:rsidRDefault="005300FD" w:rsidP="005D2473">
      <w:pPr>
        <w:pStyle w:val="Akapitzlist"/>
        <w:numPr>
          <w:ilvl w:val="0"/>
          <w:numId w:val="40"/>
        </w:numPr>
        <w:spacing w:after="0" w:line="360" w:lineRule="auto"/>
        <w:ind w:right="401"/>
        <w:jc w:val="both"/>
        <w:rPr>
          <w:rFonts w:ascii="Fira Sans" w:hAnsi="Fira Sans" w:cs="Times New Roman"/>
          <w:color w:val="000000" w:themeColor="text1"/>
          <w:sz w:val="19"/>
          <w:szCs w:val="19"/>
        </w:rPr>
      </w:pPr>
      <w:r w:rsidRPr="005D2473">
        <w:rPr>
          <w:rFonts w:ascii="Fira Sans" w:hAnsi="Fira Sans" w:cs="Times New Roman"/>
          <w:color w:val="000000" w:themeColor="text1"/>
          <w:sz w:val="19"/>
          <w:szCs w:val="19"/>
        </w:rPr>
        <w:t>l</w:t>
      </w:r>
      <w:r w:rsidR="00AA7FC1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istopad - szybki szacunek dla kwartału III roku </w:t>
      </w:r>
      <w:r w:rsidR="00D15FCE" w:rsidRPr="005D2473">
        <w:rPr>
          <w:rFonts w:ascii="Fira Sans" w:hAnsi="Fira Sans" w:cs="Times New Roman"/>
          <w:color w:val="000000" w:themeColor="text1"/>
          <w:sz w:val="19"/>
          <w:szCs w:val="19"/>
        </w:rPr>
        <w:t>N</w:t>
      </w:r>
      <w:r w:rsidR="00AA7FC1" w:rsidRPr="005D2473">
        <w:rPr>
          <w:rFonts w:ascii="Fira Sans" w:hAnsi="Fira Sans" w:cs="Times New Roman"/>
          <w:color w:val="000000" w:themeColor="text1"/>
          <w:sz w:val="19"/>
          <w:szCs w:val="19"/>
        </w:rPr>
        <w:t xml:space="preserve"> oraz wstępny szacunek dla kwartału III roku </w:t>
      </w:r>
      <w:r w:rsidR="00D15FCE" w:rsidRPr="005D2473">
        <w:rPr>
          <w:rFonts w:ascii="Fira Sans" w:hAnsi="Fira Sans" w:cs="Times New Roman"/>
          <w:color w:val="000000" w:themeColor="text1"/>
          <w:sz w:val="19"/>
          <w:szCs w:val="19"/>
        </w:rPr>
        <w:t>N</w:t>
      </w:r>
      <w:r w:rsidR="00AA7FC1" w:rsidRPr="005D2473">
        <w:rPr>
          <w:rFonts w:ascii="Fira Sans" w:hAnsi="Fira Sans" w:cs="Times New Roman"/>
          <w:color w:val="000000" w:themeColor="text1"/>
          <w:sz w:val="19"/>
          <w:szCs w:val="19"/>
        </w:rPr>
        <w:t>.</w:t>
      </w:r>
    </w:p>
    <w:p w:rsidR="00AA7FC1" w:rsidRPr="00071DF9" w:rsidRDefault="00AA7FC1" w:rsidP="005D2473">
      <w:pPr>
        <w:pStyle w:val="Akapitzlist"/>
        <w:autoSpaceDE w:val="0"/>
        <w:autoSpaceDN w:val="0"/>
        <w:adjustRightInd w:val="0"/>
        <w:spacing w:after="120" w:line="360" w:lineRule="auto"/>
        <w:ind w:left="284" w:right="401"/>
        <w:contextualSpacing w:val="0"/>
        <w:jc w:val="both"/>
        <w:rPr>
          <w:rFonts w:ascii="Fira Sans" w:hAnsi="Fira Sans" w:cs="Times New Roman"/>
          <w:sz w:val="19"/>
          <w:szCs w:val="19"/>
        </w:rPr>
      </w:pPr>
    </w:p>
    <w:p w:rsidR="001F2B3B" w:rsidRPr="007222C2" w:rsidRDefault="001F2B3B" w:rsidP="005D2473">
      <w:pPr>
        <w:autoSpaceDE w:val="0"/>
        <w:autoSpaceDN w:val="0"/>
        <w:adjustRightInd w:val="0"/>
        <w:spacing w:after="0" w:line="360" w:lineRule="auto"/>
        <w:ind w:left="284" w:right="401"/>
        <w:rPr>
          <w:rFonts w:ascii="Fira Sans" w:eastAsiaTheme="minorHAnsi" w:hAnsi="Fira Sans" w:cs="Times New Roman"/>
          <w:b/>
          <w:bCs/>
          <w:i/>
          <w:iCs/>
          <w:sz w:val="19"/>
          <w:szCs w:val="19"/>
          <w:lang w:eastAsia="en-US"/>
        </w:rPr>
      </w:pPr>
      <w:r w:rsidRPr="007222C2">
        <w:rPr>
          <w:rFonts w:ascii="Fira Sans" w:eastAsiaTheme="minorHAnsi" w:hAnsi="Fira Sans" w:cs="Times New Roman"/>
          <w:b/>
          <w:bCs/>
          <w:i/>
          <w:iCs/>
          <w:sz w:val="19"/>
          <w:szCs w:val="19"/>
          <w:lang w:eastAsia="en-US"/>
        </w:rPr>
        <w:t xml:space="preserve">Rewizje główne </w:t>
      </w:r>
    </w:p>
    <w:p w:rsidR="00ED4C4F" w:rsidRPr="007222C2" w:rsidRDefault="001F4AC7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</w:pPr>
      <w:r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 xml:space="preserve">Rewizje główne dotyczą zmian w opublikowanych danych </w:t>
      </w:r>
      <w:r w:rsidR="006727E2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 xml:space="preserve">i </w:t>
      </w:r>
      <w:r w:rsidR="00ED4C4F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 xml:space="preserve">wynikają z </w:t>
      </w:r>
      <w:r w:rsidR="006727E2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 xml:space="preserve">wprowadzonych zmian koncepcyjnych, definicji, klasyfikacji stosowanych w rachunkach narodowych oraz zmian w aktach prawnych, a także z </w:t>
      </w:r>
      <w:r w:rsidR="00ED4C4F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>dostępności nowych źródeł danych</w:t>
      </w:r>
      <w:r w:rsidR="006727E2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>, w tym danych ze spisów.</w:t>
      </w:r>
      <w:r w:rsidR="00ED4C4F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 xml:space="preserve"> </w:t>
      </w:r>
      <w:r w:rsidR="006727E2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>Rewizje główne, zarówno danych rocznych jak i kwartalnych,</w:t>
      </w:r>
      <w:r w:rsidR="008E7807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 xml:space="preserve"> </w:t>
      </w:r>
      <w:r w:rsidR="006727E2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>o</w:t>
      </w:r>
      <w:r w:rsidR="008E7807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 xml:space="preserve">bejmują </w:t>
      </w:r>
      <w:r w:rsidR="006727E2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 xml:space="preserve">pełen szereg czasowy lub jego znacząca część. </w:t>
      </w:r>
    </w:p>
    <w:p w:rsidR="0012118E" w:rsidRPr="007222C2" w:rsidRDefault="0012118E" w:rsidP="005D2473">
      <w:pPr>
        <w:autoSpaceDE w:val="0"/>
        <w:autoSpaceDN w:val="0"/>
        <w:adjustRightInd w:val="0"/>
        <w:spacing w:after="0" w:line="360" w:lineRule="auto"/>
        <w:ind w:left="284" w:right="401"/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</w:pPr>
    </w:p>
    <w:p w:rsidR="001F2B3B" w:rsidRPr="007222C2" w:rsidRDefault="00BB23BE" w:rsidP="005D2473">
      <w:pPr>
        <w:pStyle w:val="Nagwek2"/>
        <w:rPr>
          <w:rFonts w:eastAsiaTheme="minorHAnsi" w:cs="Times New Roman"/>
          <w:szCs w:val="19"/>
          <w:lang w:eastAsia="en-US"/>
        </w:rPr>
      </w:pPr>
      <w:r>
        <w:rPr>
          <w:rFonts w:eastAsiaTheme="minorHAnsi" w:cs="Times New Roman"/>
          <w:szCs w:val="19"/>
          <w:lang w:eastAsia="en-US"/>
        </w:rPr>
        <w:t xml:space="preserve">1.2 </w:t>
      </w:r>
      <w:r w:rsidR="00BB71AA">
        <w:rPr>
          <w:rFonts w:eastAsiaTheme="minorHAnsi" w:cs="Times New Roman"/>
          <w:szCs w:val="19"/>
          <w:lang w:eastAsia="en-US"/>
        </w:rPr>
        <w:t>Roczne</w:t>
      </w:r>
      <w:r w:rsidR="00C078F2" w:rsidRPr="007222C2">
        <w:rPr>
          <w:rFonts w:eastAsiaTheme="minorHAnsi" w:cs="Times New Roman"/>
          <w:szCs w:val="19"/>
          <w:lang w:eastAsia="en-US"/>
        </w:rPr>
        <w:t xml:space="preserve"> rachunk</w:t>
      </w:r>
      <w:r w:rsidR="00BB71AA">
        <w:rPr>
          <w:rFonts w:eastAsiaTheme="minorHAnsi" w:cs="Times New Roman"/>
          <w:szCs w:val="19"/>
          <w:lang w:eastAsia="en-US"/>
        </w:rPr>
        <w:t>i</w:t>
      </w:r>
      <w:r w:rsidR="00C078F2" w:rsidRPr="007222C2">
        <w:rPr>
          <w:rFonts w:eastAsiaTheme="minorHAnsi" w:cs="Times New Roman"/>
          <w:szCs w:val="19"/>
          <w:lang w:eastAsia="en-US"/>
        </w:rPr>
        <w:t xml:space="preserve"> </w:t>
      </w:r>
      <w:r w:rsidR="00BB71AA">
        <w:rPr>
          <w:rFonts w:eastAsiaTheme="minorHAnsi" w:cs="Times New Roman"/>
          <w:szCs w:val="19"/>
          <w:lang w:eastAsia="en-US"/>
        </w:rPr>
        <w:t>produktu krajowego brutto</w:t>
      </w:r>
    </w:p>
    <w:p w:rsidR="001F2B3B" w:rsidRPr="007222C2" w:rsidRDefault="001F2B3B" w:rsidP="005D2473">
      <w:pPr>
        <w:autoSpaceDE w:val="0"/>
        <w:autoSpaceDN w:val="0"/>
        <w:adjustRightInd w:val="0"/>
        <w:spacing w:before="120" w:after="120" w:line="360" w:lineRule="auto"/>
        <w:ind w:left="284" w:right="401"/>
        <w:jc w:val="both"/>
        <w:rPr>
          <w:rFonts w:ascii="Fira Sans" w:eastAsiaTheme="minorHAnsi" w:hAnsi="Fira Sans" w:cs="Times New Roman"/>
          <w:sz w:val="19"/>
          <w:szCs w:val="19"/>
          <w:lang w:eastAsia="en-US"/>
        </w:rPr>
      </w:pPr>
      <w:r w:rsidRPr="007222C2">
        <w:rPr>
          <w:rFonts w:ascii="Fira Sans" w:eastAsiaTheme="minorHAnsi" w:hAnsi="Fira Sans" w:cs="Times New Roman"/>
          <w:b/>
          <w:bCs/>
          <w:i/>
          <w:iCs/>
          <w:sz w:val="19"/>
          <w:szCs w:val="19"/>
          <w:lang w:eastAsia="en-US"/>
        </w:rPr>
        <w:t xml:space="preserve">Rewizje rutynowe </w:t>
      </w:r>
    </w:p>
    <w:p w:rsidR="001F2B3B" w:rsidRPr="007222C2" w:rsidRDefault="001F2B3B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sz w:val="19"/>
          <w:szCs w:val="19"/>
          <w:lang w:eastAsia="en-US"/>
        </w:rPr>
      </w:pPr>
      <w:r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>W rocznych rachunkach narodowych dla PKB rew</w:t>
      </w:r>
      <w:r w:rsidR="00726E2A">
        <w:rPr>
          <w:rFonts w:ascii="Fira Sans" w:eastAsiaTheme="minorHAnsi" w:hAnsi="Fira Sans" w:cs="Times New Roman"/>
          <w:sz w:val="19"/>
          <w:szCs w:val="19"/>
          <w:lang w:eastAsia="en-US"/>
        </w:rPr>
        <w:t>izje rutynowe dokonywane są cztery</w:t>
      </w:r>
      <w:r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razy. </w:t>
      </w:r>
    </w:p>
    <w:p w:rsidR="001F2B3B" w:rsidRPr="007222C2" w:rsidRDefault="001F2B3B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sz w:val="19"/>
          <w:szCs w:val="19"/>
          <w:lang w:eastAsia="en-US"/>
        </w:rPr>
      </w:pPr>
      <w:r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Po raz pierwszy roczna wartość PKB dla roku </w:t>
      </w:r>
      <w:r w:rsidR="00D15FCE">
        <w:rPr>
          <w:rFonts w:ascii="Fira Sans" w:eastAsiaTheme="minorHAnsi" w:hAnsi="Fira Sans" w:cs="Times New Roman"/>
          <w:sz w:val="19"/>
          <w:szCs w:val="19"/>
          <w:lang w:eastAsia="en-US"/>
        </w:rPr>
        <w:t>N</w:t>
      </w:r>
      <w:r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-1, </w:t>
      </w:r>
      <w:r w:rsidR="00CB04ED">
        <w:rPr>
          <w:rFonts w:ascii="Fira Sans" w:eastAsiaTheme="minorHAnsi" w:hAnsi="Fira Sans" w:cs="Times New Roman"/>
          <w:sz w:val="19"/>
          <w:szCs w:val="19"/>
          <w:lang w:eastAsia="en-US"/>
        </w:rPr>
        <w:t>publikowana</w:t>
      </w:r>
      <w:r w:rsidR="00CB04ED"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</w:t>
      </w:r>
      <w:r w:rsidR="00CB04ED">
        <w:rPr>
          <w:rFonts w:ascii="Fira Sans" w:eastAsiaTheme="minorHAnsi" w:hAnsi="Fira Sans" w:cs="Times New Roman"/>
          <w:sz w:val="19"/>
          <w:szCs w:val="19"/>
          <w:lang w:eastAsia="en-US"/>
        </w:rPr>
        <w:t>na</w:t>
      </w:r>
      <w:r w:rsidR="00CB04ED"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</w:t>
      </w:r>
      <w:r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koniec stycznia roku </w:t>
      </w:r>
      <w:r w:rsidR="00CB321B">
        <w:rPr>
          <w:rFonts w:ascii="Fira Sans" w:eastAsiaTheme="minorHAnsi" w:hAnsi="Fira Sans" w:cs="Times New Roman"/>
          <w:sz w:val="19"/>
          <w:szCs w:val="19"/>
          <w:lang w:eastAsia="en-US"/>
        </w:rPr>
        <w:t>N</w:t>
      </w:r>
      <w:r w:rsidR="00CB04ED">
        <w:rPr>
          <w:rFonts w:ascii="Fira Sans" w:eastAsiaTheme="minorHAnsi" w:hAnsi="Fira Sans" w:cs="Times New Roman"/>
          <w:sz w:val="19"/>
          <w:szCs w:val="19"/>
          <w:lang w:eastAsia="en-US"/>
        </w:rPr>
        <w:t>,</w:t>
      </w:r>
      <w:r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opracowywana jest na podstawie wyników kwartalnego PKB. </w:t>
      </w:r>
    </w:p>
    <w:p w:rsidR="001F2B3B" w:rsidRPr="007222C2" w:rsidRDefault="001F2B3B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sz w:val="19"/>
          <w:szCs w:val="19"/>
          <w:lang w:eastAsia="en-US"/>
        </w:rPr>
      </w:pPr>
      <w:r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Następnie dokonywane są następujące rewizje: </w:t>
      </w:r>
    </w:p>
    <w:p w:rsidR="002628B1" w:rsidRPr="005D2473" w:rsidRDefault="002628B1" w:rsidP="005D247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14" w:line="360" w:lineRule="auto"/>
        <w:ind w:right="401"/>
        <w:jc w:val="both"/>
        <w:rPr>
          <w:rFonts w:ascii="Fira Sans" w:hAnsi="Fira Sans" w:cs="Times New Roman"/>
          <w:sz w:val="19"/>
          <w:szCs w:val="19"/>
        </w:rPr>
      </w:pPr>
      <w:r w:rsidRPr="005D2473">
        <w:rPr>
          <w:rFonts w:ascii="Fira Sans" w:hAnsi="Fira Sans" w:cs="Times New Roman"/>
          <w:sz w:val="19"/>
          <w:szCs w:val="19"/>
        </w:rPr>
        <w:t>drugi wstępny roczny szacunek PKB d</w:t>
      </w:r>
      <w:r w:rsidR="00CB04ED" w:rsidRPr="005D2473">
        <w:rPr>
          <w:rFonts w:ascii="Fira Sans" w:hAnsi="Fira Sans" w:cs="Times New Roman"/>
          <w:sz w:val="19"/>
          <w:szCs w:val="19"/>
        </w:rPr>
        <w:t>l</w:t>
      </w:r>
      <w:r w:rsidRPr="005D2473">
        <w:rPr>
          <w:rFonts w:ascii="Fira Sans" w:hAnsi="Fira Sans" w:cs="Times New Roman"/>
          <w:sz w:val="19"/>
          <w:szCs w:val="19"/>
        </w:rPr>
        <w:t xml:space="preserve">a roku </w:t>
      </w:r>
      <w:r w:rsidR="00D15FCE" w:rsidRPr="005D2473">
        <w:rPr>
          <w:rFonts w:ascii="Fira Sans" w:hAnsi="Fira Sans" w:cs="Times New Roman"/>
          <w:sz w:val="19"/>
          <w:szCs w:val="19"/>
        </w:rPr>
        <w:t>N</w:t>
      </w:r>
      <w:r w:rsidRPr="005D2473">
        <w:rPr>
          <w:rFonts w:ascii="Fira Sans" w:hAnsi="Fira Sans" w:cs="Times New Roman"/>
          <w:sz w:val="19"/>
          <w:szCs w:val="19"/>
        </w:rPr>
        <w:t>-1 (na podstawie wyników kwartalnego PKB)</w:t>
      </w:r>
      <w:r w:rsidR="00BB71AA" w:rsidRPr="005D2473">
        <w:rPr>
          <w:rFonts w:ascii="Fira Sans" w:hAnsi="Fira Sans" w:cs="Times New Roman"/>
          <w:sz w:val="19"/>
          <w:szCs w:val="19"/>
        </w:rPr>
        <w:t>;</w:t>
      </w:r>
    </w:p>
    <w:p w:rsidR="001F2B3B" w:rsidRPr="005D2473" w:rsidRDefault="002628B1" w:rsidP="005D247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14" w:line="360" w:lineRule="auto"/>
        <w:ind w:right="401"/>
        <w:jc w:val="both"/>
        <w:rPr>
          <w:rFonts w:ascii="Fira Sans" w:hAnsi="Fira Sans" w:cs="Times New Roman"/>
          <w:sz w:val="19"/>
          <w:szCs w:val="19"/>
        </w:rPr>
      </w:pPr>
      <w:r w:rsidRPr="005D2473">
        <w:rPr>
          <w:rFonts w:ascii="Fira Sans" w:hAnsi="Fira Sans" w:cs="Times New Roman"/>
          <w:sz w:val="19"/>
          <w:szCs w:val="19"/>
        </w:rPr>
        <w:lastRenderedPageBreak/>
        <w:t xml:space="preserve">trzeci 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wstępny roczny szacunek PKB da roku </w:t>
      </w:r>
      <w:r w:rsidR="00D15FCE" w:rsidRPr="005D2473">
        <w:rPr>
          <w:rFonts w:ascii="Fira Sans" w:hAnsi="Fira Sans" w:cs="Times New Roman"/>
          <w:sz w:val="19"/>
          <w:szCs w:val="19"/>
        </w:rPr>
        <w:t>N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-1 </w:t>
      </w:r>
      <w:r w:rsidR="00804D7A" w:rsidRPr="005D2473">
        <w:rPr>
          <w:rFonts w:ascii="Fira Sans" w:hAnsi="Fira Sans" w:cs="Times New Roman"/>
          <w:sz w:val="19"/>
          <w:szCs w:val="19"/>
        </w:rPr>
        <w:t xml:space="preserve">(na podstawie wyników kwartalnego PKB) </w:t>
      </w:r>
      <w:r w:rsidR="009C6645" w:rsidRPr="005D2473">
        <w:rPr>
          <w:rFonts w:ascii="Fira Sans" w:hAnsi="Fira Sans" w:cs="Times New Roman"/>
          <w:sz w:val="19"/>
          <w:szCs w:val="19"/>
        </w:rPr>
        <w:t>–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 opracowany na </w:t>
      </w:r>
      <w:r w:rsidR="00CB04ED" w:rsidRPr="005D2473">
        <w:rPr>
          <w:rFonts w:ascii="Fira Sans" w:hAnsi="Fira Sans" w:cs="Times New Roman"/>
          <w:sz w:val="19"/>
          <w:szCs w:val="19"/>
        </w:rPr>
        <w:t xml:space="preserve">podstawie </w:t>
      </w:r>
      <w:r w:rsidR="001F2B3B" w:rsidRPr="005D2473">
        <w:rPr>
          <w:rFonts w:ascii="Fira Sans" w:hAnsi="Fira Sans" w:cs="Times New Roman"/>
          <w:sz w:val="19"/>
          <w:szCs w:val="19"/>
        </w:rPr>
        <w:t>dostępnych, ograniczonych źródłach danych</w:t>
      </w:r>
      <w:r w:rsidR="00CB04ED" w:rsidRPr="005D2473">
        <w:rPr>
          <w:rFonts w:ascii="Fira Sans" w:hAnsi="Fira Sans" w:cs="Times New Roman"/>
          <w:sz w:val="19"/>
          <w:szCs w:val="19"/>
        </w:rPr>
        <w:t xml:space="preserve"> o rocznych wynikach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 przedsiębi</w:t>
      </w:r>
      <w:r w:rsidR="00497A7D">
        <w:rPr>
          <w:rFonts w:ascii="Fira Sans" w:hAnsi="Fira Sans" w:cs="Times New Roman"/>
          <w:sz w:val="19"/>
          <w:szCs w:val="19"/>
        </w:rPr>
        <w:t>orstw niefinansowych</w:t>
      </w:r>
      <w:r w:rsidR="001F2B3B" w:rsidRPr="005D2473">
        <w:rPr>
          <w:rFonts w:ascii="Fira Sans" w:hAnsi="Fira Sans" w:cs="Times New Roman"/>
          <w:sz w:val="19"/>
          <w:szCs w:val="19"/>
        </w:rPr>
        <w:t>, rocznych danych dla sektora instytucji rządowych i samorządowych oraz roczny</w:t>
      </w:r>
      <w:r w:rsidR="00DD43B7">
        <w:rPr>
          <w:rFonts w:ascii="Fira Sans" w:hAnsi="Fira Sans" w:cs="Times New Roman"/>
          <w:sz w:val="19"/>
          <w:szCs w:val="19"/>
        </w:rPr>
        <w:t>ch obrotów handlu zagranicznego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 (</w:t>
      </w:r>
      <w:r w:rsidR="00CB04ED" w:rsidRPr="005D2473">
        <w:rPr>
          <w:rFonts w:ascii="Fira Sans" w:hAnsi="Fira Sans" w:cs="Times New Roman"/>
          <w:sz w:val="19"/>
          <w:szCs w:val="19"/>
        </w:rPr>
        <w:t>publikacja danych: N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otatka informacyjna </w:t>
      </w:r>
      <w:r w:rsidR="009C6645" w:rsidRPr="005D2473">
        <w:rPr>
          <w:rFonts w:ascii="Fira Sans" w:hAnsi="Fira Sans" w:cs="Times New Roman"/>
          <w:sz w:val="19"/>
          <w:szCs w:val="19"/>
        </w:rPr>
        <w:t>–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 </w:t>
      </w:r>
      <w:r w:rsidR="00247BED" w:rsidRPr="005D2473">
        <w:rPr>
          <w:rFonts w:ascii="Fira Sans" w:hAnsi="Fira Sans" w:cs="Times New Roman"/>
          <w:sz w:val="19"/>
          <w:szCs w:val="19"/>
        </w:rPr>
        <w:t>kwiecień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, </w:t>
      </w:r>
      <w:r w:rsidR="00CB04ED" w:rsidRPr="005D2473">
        <w:rPr>
          <w:rFonts w:ascii="Fira Sans" w:hAnsi="Fira Sans" w:cs="Times New Roman"/>
          <w:sz w:val="19"/>
          <w:szCs w:val="19"/>
        </w:rPr>
        <w:t>N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otyfikacja deficytu i długu sektora instytucji rządowych i samorządowych </w:t>
      </w:r>
      <w:r w:rsidR="009C6645" w:rsidRPr="005D2473">
        <w:rPr>
          <w:rFonts w:ascii="Fira Sans" w:hAnsi="Fira Sans" w:cs="Times New Roman"/>
          <w:sz w:val="19"/>
          <w:szCs w:val="19"/>
        </w:rPr>
        <w:t>–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 kwiecień oraz </w:t>
      </w:r>
      <w:r w:rsidR="001F2B3B" w:rsidRPr="005D2473">
        <w:rPr>
          <w:rFonts w:ascii="Fira Sans" w:hAnsi="Fira Sans" w:cs="Times New Roman"/>
          <w:i/>
          <w:iCs/>
          <w:sz w:val="19"/>
          <w:szCs w:val="19"/>
        </w:rPr>
        <w:t xml:space="preserve">Mały Rocznik Statystyczny Polski </w:t>
      </w:r>
      <w:r w:rsidR="009C6645" w:rsidRPr="005D2473">
        <w:rPr>
          <w:rFonts w:ascii="Fira Sans" w:hAnsi="Fira Sans" w:cs="Times New Roman"/>
          <w:sz w:val="19"/>
          <w:szCs w:val="19"/>
        </w:rPr>
        <w:t>–</w:t>
      </w:r>
      <w:r w:rsidR="001F2B3B" w:rsidRPr="005D2473">
        <w:rPr>
          <w:rFonts w:ascii="Fira Sans" w:hAnsi="Fira Sans" w:cs="Times New Roman"/>
          <w:i/>
          <w:iCs/>
          <w:sz w:val="19"/>
          <w:szCs w:val="19"/>
        </w:rPr>
        <w:t xml:space="preserve"> </w:t>
      </w:r>
      <w:r w:rsidR="001F2B3B" w:rsidRPr="005D2473">
        <w:rPr>
          <w:rFonts w:ascii="Fira Sans" w:hAnsi="Fira Sans" w:cs="Times New Roman"/>
          <w:sz w:val="19"/>
          <w:szCs w:val="19"/>
        </w:rPr>
        <w:t>lipiec)</w:t>
      </w:r>
      <w:r w:rsidR="00BB71AA" w:rsidRPr="005D2473">
        <w:rPr>
          <w:rFonts w:ascii="Fira Sans" w:hAnsi="Fira Sans" w:cs="Times New Roman"/>
          <w:sz w:val="19"/>
          <w:szCs w:val="19"/>
        </w:rPr>
        <w:t xml:space="preserve">; </w:t>
      </w:r>
    </w:p>
    <w:p w:rsidR="001F2B3B" w:rsidRPr="005D2473" w:rsidRDefault="002628B1" w:rsidP="005D247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right="401"/>
        <w:jc w:val="both"/>
        <w:rPr>
          <w:rFonts w:ascii="Fira Sans" w:hAnsi="Fira Sans" w:cs="Times New Roman"/>
          <w:sz w:val="19"/>
          <w:szCs w:val="19"/>
        </w:rPr>
      </w:pPr>
      <w:r w:rsidRPr="005D2473">
        <w:rPr>
          <w:rFonts w:ascii="Fira Sans" w:hAnsi="Fira Sans" w:cs="Times New Roman"/>
          <w:sz w:val="19"/>
          <w:szCs w:val="19"/>
        </w:rPr>
        <w:t>pierwsz</w:t>
      </w:r>
      <w:r w:rsidR="00CB04ED" w:rsidRPr="005D2473">
        <w:rPr>
          <w:rFonts w:ascii="Fira Sans" w:hAnsi="Fira Sans" w:cs="Times New Roman"/>
          <w:sz w:val="19"/>
          <w:szCs w:val="19"/>
        </w:rPr>
        <w:t>y</w:t>
      </w:r>
      <w:r w:rsidRPr="005D2473">
        <w:rPr>
          <w:rFonts w:ascii="Fira Sans" w:hAnsi="Fira Sans" w:cs="Times New Roman"/>
          <w:sz w:val="19"/>
          <w:szCs w:val="19"/>
        </w:rPr>
        <w:t xml:space="preserve"> </w:t>
      </w:r>
      <w:r w:rsidR="001F2B3B" w:rsidRPr="005D2473">
        <w:rPr>
          <w:rFonts w:ascii="Fira Sans" w:hAnsi="Fira Sans" w:cs="Times New Roman"/>
          <w:sz w:val="19"/>
          <w:szCs w:val="19"/>
        </w:rPr>
        <w:t>roczn</w:t>
      </w:r>
      <w:r w:rsidR="00CB04ED" w:rsidRPr="005D2473">
        <w:rPr>
          <w:rFonts w:ascii="Fira Sans" w:hAnsi="Fira Sans" w:cs="Times New Roman"/>
          <w:sz w:val="19"/>
          <w:szCs w:val="19"/>
        </w:rPr>
        <w:t>y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 szacun</w:t>
      </w:r>
      <w:r w:rsidR="00CB04ED" w:rsidRPr="005D2473">
        <w:rPr>
          <w:rFonts w:ascii="Fira Sans" w:hAnsi="Fira Sans" w:cs="Times New Roman"/>
          <w:sz w:val="19"/>
          <w:szCs w:val="19"/>
        </w:rPr>
        <w:t>ek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 PKB dla roku </w:t>
      </w:r>
      <w:r w:rsidR="00D15FCE" w:rsidRPr="005D2473">
        <w:rPr>
          <w:rFonts w:ascii="Fira Sans" w:hAnsi="Fira Sans" w:cs="Times New Roman"/>
          <w:sz w:val="19"/>
          <w:szCs w:val="19"/>
        </w:rPr>
        <w:t>N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-1 </w:t>
      </w:r>
      <w:r w:rsidR="00CB04ED" w:rsidRPr="005D2473">
        <w:rPr>
          <w:rFonts w:ascii="Fira Sans" w:hAnsi="Fira Sans" w:cs="Times New Roman"/>
          <w:sz w:val="19"/>
          <w:szCs w:val="19"/>
        </w:rPr>
        <w:t>–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 </w:t>
      </w:r>
      <w:r w:rsidR="00CB04ED" w:rsidRPr="005D2473">
        <w:rPr>
          <w:rFonts w:ascii="Fira Sans" w:hAnsi="Fira Sans" w:cs="Times New Roman"/>
          <w:sz w:val="19"/>
          <w:szCs w:val="19"/>
        </w:rPr>
        <w:t xml:space="preserve">opracowany na podstawie danych rocznych pozyskanych ze </w:t>
      </w:r>
      <w:r w:rsidR="001F2B3B" w:rsidRPr="005D2473">
        <w:rPr>
          <w:rFonts w:ascii="Fira Sans" w:hAnsi="Fira Sans" w:cs="Times New Roman"/>
          <w:sz w:val="19"/>
          <w:szCs w:val="19"/>
        </w:rPr>
        <w:t>sprawozdań statystycznych, sprawozdań instytucji zewnętrznych, ostatecznych danych dla sektora instytucji rządowych i samorządowych (</w:t>
      </w:r>
      <w:r w:rsidR="00CB04ED" w:rsidRPr="005D2473">
        <w:rPr>
          <w:rFonts w:ascii="Fira Sans" w:hAnsi="Fira Sans" w:cs="Times New Roman"/>
          <w:sz w:val="19"/>
          <w:szCs w:val="19"/>
        </w:rPr>
        <w:t xml:space="preserve"> publikacja danych:  N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otatka informacyjna GUS dotycząca </w:t>
      </w:r>
      <w:r w:rsidR="00CB04ED" w:rsidRPr="005D2473">
        <w:rPr>
          <w:rFonts w:ascii="Fira Sans" w:hAnsi="Fira Sans" w:cs="Times New Roman"/>
          <w:sz w:val="19"/>
          <w:szCs w:val="19"/>
        </w:rPr>
        <w:t>produktu krajowego brutto (</w:t>
      </w:r>
      <w:r w:rsidR="001F2B3B" w:rsidRPr="005D2473">
        <w:rPr>
          <w:rFonts w:ascii="Fira Sans" w:hAnsi="Fira Sans" w:cs="Times New Roman"/>
          <w:sz w:val="19"/>
          <w:szCs w:val="19"/>
        </w:rPr>
        <w:t>PKB</w:t>
      </w:r>
      <w:r w:rsidR="00CB04ED" w:rsidRPr="005D2473">
        <w:rPr>
          <w:rFonts w:ascii="Fira Sans" w:hAnsi="Fira Sans" w:cs="Times New Roman"/>
          <w:sz w:val="19"/>
          <w:szCs w:val="19"/>
        </w:rPr>
        <w:t>)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 i </w:t>
      </w:r>
      <w:r w:rsidR="00CB04ED" w:rsidRPr="005D2473">
        <w:rPr>
          <w:rFonts w:ascii="Fira Sans" w:hAnsi="Fira Sans" w:cs="Times New Roman"/>
          <w:sz w:val="19"/>
          <w:szCs w:val="19"/>
        </w:rPr>
        <w:t>dochodu narodowego brutto (</w:t>
      </w:r>
      <w:r w:rsidR="001F2B3B" w:rsidRPr="005D2473">
        <w:rPr>
          <w:rFonts w:ascii="Fira Sans" w:hAnsi="Fira Sans" w:cs="Times New Roman"/>
          <w:sz w:val="19"/>
          <w:szCs w:val="19"/>
        </w:rPr>
        <w:t>DNB</w:t>
      </w:r>
      <w:r w:rsidR="00CB04ED" w:rsidRPr="005D2473">
        <w:rPr>
          <w:rFonts w:ascii="Fira Sans" w:hAnsi="Fira Sans" w:cs="Times New Roman"/>
          <w:sz w:val="19"/>
          <w:szCs w:val="19"/>
        </w:rPr>
        <w:t>)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 oraz </w:t>
      </w:r>
      <w:r w:rsidR="00CB04ED" w:rsidRPr="005D2473">
        <w:rPr>
          <w:rFonts w:ascii="Fira Sans" w:hAnsi="Fira Sans" w:cs="Times New Roman"/>
          <w:sz w:val="19"/>
          <w:szCs w:val="19"/>
        </w:rPr>
        <w:t>N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otyfikacja deficytu i długu sektora instytucji rządowych i samorządowych – październik, </w:t>
      </w:r>
      <w:r w:rsidR="001F2B3B" w:rsidRPr="005D2473">
        <w:rPr>
          <w:rFonts w:ascii="Fira Sans" w:hAnsi="Fira Sans" w:cs="Times New Roman"/>
          <w:i/>
          <w:iCs/>
          <w:sz w:val="19"/>
          <w:szCs w:val="19"/>
        </w:rPr>
        <w:t xml:space="preserve">Rocznik Statystyczny RP </w:t>
      </w:r>
      <w:r w:rsidR="009C6645" w:rsidRPr="005D2473">
        <w:rPr>
          <w:rFonts w:ascii="Fira Sans" w:hAnsi="Fira Sans" w:cs="Times New Roman"/>
          <w:sz w:val="19"/>
          <w:szCs w:val="19"/>
        </w:rPr>
        <w:t>–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 grudzień)</w:t>
      </w:r>
      <w:r w:rsidR="00BB71AA" w:rsidRPr="005D2473">
        <w:rPr>
          <w:rFonts w:ascii="Fira Sans" w:hAnsi="Fira Sans" w:cs="Times New Roman"/>
          <w:sz w:val="19"/>
          <w:szCs w:val="19"/>
        </w:rPr>
        <w:t>;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 </w:t>
      </w:r>
    </w:p>
    <w:p w:rsidR="001F2B3B" w:rsidRPr="005D2473" w:rsidRDefault="001F2B3B" w:rsidP="005D247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right="401"/>
        <w:jc w:val="both"/>
        <w:rPr>
          <w:rFonts w:ascii="Fira Sans" w:hAnsi="Fira Sans" w:cs="Times New Roman"/>
          <w:sz w:val="19"/>
          <w:szCs w:val="19"/>
        </w:rPr>
      </w:pPr>
      <w:r w:rsidRPr="005D2473">
        <w:rPr>
          <w:rFonts w:ascii="Fira Sans" w:hAnsi="Fira Sans" w:cs="Times New Roman"/>
          <w:sz w:val="19"/>
          <w:szCs w:val="19"/>
        </w:rPr>
        <w:t>ostateczn</w:t>
      </w:r>
      <w:r w:rsidR="00CB04ED" w:rsidRPr="005D2473">
        <w:rPr>
          <w:rFonts w:ascii="Fira Sans" w:hAnsi="Fira Sans" w:cs="Times New Roman"/>
          <w:sz w:val="19"/>
          <w:szCs w:val="19"/>
        </w:rPr>
        <w:t>y</w:t>
      </w:r>
      <w:r w:rsidRPr="005D2473">
        <w:rPr>
          <w:rFonts w:ascii="Fira Sans" w:hAnsi="Fira Sans" w:cs="Times New Roman"/>
          <w:sz w:val="19"/>
          <w:szCs w:val="19"/>
        </w:rPr>
        <w:t xml:space="preserve"> roczn</w:t>
      </w:r>
      <w:r w:rsidR="00CB04ED" w:rsidRPr="005D2473">
        <w:rPr>
          <w:rFonts w:ascii="Fira Sans" w:hAnsi="Fira Sans" w:cs="Times New Roman"/>
          <w:sz w:val="19"/>
          <w:szCs w:val="19"/>
        </w:rPr>
        <w:t>y</w:t>
      </w:r>
      <w:r w:rsidRPr="005D2473">
        <w:rPr>
          <w:rFonts w:ascii="Fira Sans" w:hAnsi="Fira Sans" w:cs="Times New Roman"/>
          <w:sz w:val="19"/>
          <w:szCs w:val="19"/>
        </w:rPr>
        <w:t xml:space="preserve"> szacun</w:t>
      </w:r>
      <w:r w:rsidR="00CB04ED" w:rsidRPr="005D2473">
        <w:rPr>
          <w:rFonts w:ascii="Fira Sans" w:hAnsi="Fira Sans" w:cs="Times New Roman"/>
          <w:sz w:val="19"/>
          <w:szCs w:val="19"/>
        </w:rPr>
        <w:t>ek</w:t>
      </w:r>
      <w:r w:rsidRPr="005D2473">
        <w:rPr>
          <w:rFonts w:ascii="Fira Sans" w:hAnsi="Fira Sans" w:cs="Times New Roman"/>
          <w:sz w:val="19"/>
          <w:szCs w:val="19"/>
        </w:rPr>
        <w:t xml:space="preserve"> PKB dla roku </w:t>
      </w:r>
      <w:r w:rsidR="00D15FCE" w:rsidRPr="005D2473">
        <w:rPr>
          <w:rFonts w:ascii="Fira Sans" w:hAnsi="Fira Sans" w:cs="Times New Roman"/>
          <w:sz w:val="19"/>
          <w:szCs w:val="19"/>
        </w:rPr>
        <w:t>N</w:t>
      </w:r>
      <w:r w:rsidRPr="005D2473">
        <w:rPr>
          <w:rFonts w:ascii="Fira Sans" w:hAnsi="Fira Sans" w:cs="Times New Roman"/>
          <w:sz w:val="19"/>
          <w:szCs w:val="19"/>
        </w:rPr>
        <w:t xml:space="preserve">-2 – </w:t>
      </w:r>
      <w:r w:rsidR="00CB04ED" w:rsidRPr="005D2473">
        <w:rPr>
          <w:rFonts w:ascii="Fira Sans" w:hAnsi="Fira Sans" w:cs="Times New Roman"/>
          <w:sz w:val="19"/>
          <w:szCs w:val="19"/>
        </w:rPr>
        <w:t>opracowany na podstawie danych ze</w:t>
      </w:r>
      <w:r w:rsidRPr="005D2473">
        <w:rPr>
          <w:rFonts w:ascii="Fira Sans" w:hAnsi="Fira Sans" w:cs="Times New Roman"/>
          <w:sz w:val="19"/>
          <w:szCs w:val="19"/>
        </w:rPr>
        <w:t xml:space="preserve"> sprawozdań statystycznych i źródeł administracyjnych</w:t>
      </w:r>
      <w:r w:rsidR="00BB71AA" w:rsidRPr="005D2473">
        <w:rPr>
          <w:rFonts w:ascii="Fira Sans" w:hAnsi="Fira Sans" w:cs="Times New Roman"/>
          <w:sz w:val="19"/>
          <w:szCs w:val="19"/>
        </w:rPr>
        <w:t>,</w:t>
      </w:r>
      <w:r w:rsidRPr="005D2473">
        <w:rPr>
          <w:rFonts w:ascii="Fira Sans" w:hAnsi="Fira Sans" w:cs="Times New Roman"/>
          <w:sz w:val="19"/>
          <w:szCs w:val="19"/>
        </w:rPr>
        <w:t xml:space="preserve"> (</w:t>
      </w:r>
      <w:r w:rsidR="00CB04ED" w:rsidRPr="005D2473">
        <w:rPr>
          <w:rFonts w:ascii="Fira Sans" w:hAnsi="Fira Sans" w:cs="Times New Roman"/>
          <w:sz w:val="19"/>
          <w:szCs w:val="19"/>
        </w:rPr>
        <w:t xml:space="preserve">publikacja danych: </w:t>
      </w:r>
      <w:r w:rsidRPr="005D2473">
        <w:rPr>
          <w:rFonts w:ascii="Fira Sans" w:hAnsi="Fira Sans" w:cs="Times New Roman"/>
          <w:i/>
          <w:iCs/>
          <w:sz w:val="19"/>
          <w:szCs w:val="19"/>
        </w:rPr>
        <w:t xml:space="preserve">Mały Rocznik Statystyczny Polski </w:t>
      </w:r>
      <w:r w:rsidRPr="005D2473">
        <w:rPr>
          <w:rFonts w:ascii="Fira Sans" w:hAnsi="Fira Sans" w:cs="Times New Roman"/>
          <w:sz w:val="19"/>
          <w:szCs w:val="19"/>
        </w:rPr>
        <w:t xml:space="preserve">– lipiec, publikacja </w:t>
      </w:r>
      <w:r w:rsidRPr="005D2473">
        <w:rPr>
          <w:rFonts w:ascii="Fira Sans" w:hAnsi="Fira Sans" w:cs="Times New Roman"/>
          <w:i/>
          <w:iCs/>
          <w:sz w:val="19"/>
          <w:szCs w:val="19"/>
        </w:rPr>
        <w:t xml:space="preserve">Rachunki narodowe według sektorów i podsektorów instytucjonalnych </w:t>
      </w:r>
      <w:r w:rsidRPr="005D2473">
        <w:rPr>
          <w:rFonts w:ascii="Fira Sans" w:hAnsi="Fira Sans" w:cs="Times New Roman"/>
          <w:sz w:val="19"/>
          <w:szCs w:val="19"/>
        </w:rPr>
        <w:t xml:space="preserve">– sierpień). </w:t>
      </w:r>
    </w:p>
    <w:p w:rsidR="001F2B3B" w:rsidRPr="007222C2" w:rsidRDefault="001F2B3B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sz w:val="19"/>
          <w:szCs w:val="19"/>
          <w:lang w:eastAsia="en-US"/>
        </w:rPr>
      </w:pPr>
    </w:p>
    <w:p w:rsidR="001F2B3B" w:rsidRDefault="001F2B3B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i/>
          <w:iCs/>
          <w:sz w:val="19"/>
          <w:szCs w:val="19"/>
          <w:lang w:eastAsia="en-US"/>
        </w:rPr>
      </w:pPr>
      <w:r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>Każdorazowo po przeprowadzonej rewizji dane publikowane są na stronach internetowych GUS</w:t>
      </w:r>
      <w:r w:rsidR="00CB04ED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, </w:t>
      </w:r>
      <w:r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m.in. w Dziedzinowej Bazie Wiedzy </w:t>
      </w:r>
      <w:r w:rsidR="009C6645" w:rsidRPr="00AA660E">
        <w:rPr>
          <w:rFonts w:ascii="Fira Sans" w:hAnsi="Fira Sans" w:cs="Times New Roman"/>
          <w:sz w:val="19"/>
          <w:szCs w:val="19"/>
        </w:rPr>
        <w:t>–</w:t>
      </w:r>
      <w:r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DBW, </w:t>
      </w:r>
      <w:r w:rsidR="00247BED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Banku Danych Makroekonomicznych </w:t>
      </w:r>
      <w:r w:rsidR="009C6645" w:rsidRPr="00AA660E">
        <w:rPr>
          <w:rFonts w:ascii="Fira Sans" w:hAnsi="Fira Sans" w:cs="Times New Roman"/>
          <w:sz w:val="19"/>
          <w:szCs w:val="19"/>
        </w:rPr>
        <w:t>–</w:t>
      </w:r>
      <w:r w:rsidR="00247BED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BDM</w:t>
      </w:r>
      <w:r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>, Banku Da</w:t>
      </w:r>
      <w:r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lastRenderedPageBreak/>
        <w:t xml:space="preserve">nych Lokalnych </w:t>
      </w:r>
      <w:r w:rsidR="00CB04ED">
        <w:rPr>
          <w:rFonts w:ascii="Fira Sans" w:eastAsiaTheme="minorHAnsi" w:hAnsi="Fira Sans" w:cs="Times New Roman"/>
          <w:sz w:val="19"/>
          <w:szCs w:val="19"/>
          <w:lang w:eastAsia="en-US"/>
        </w:rPr>
        <w:t>–</w:t>
      </w:r>
      <w:r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BDL</w:t>
      </w:r>
      <w:r w:rsidR="00CB04ED">
        <w:rPr>
          <w:rFonts w:ascii="Fira Sans" w:eastAsiaTheme="minorHAnsi" w:hAnsi="Fira Sans" w:cs="Times New Roman"/>
          <w:sz w:val="19"/>
          <w:szCs w:val="19"/>
          <w:lang w:eastAsia="en-US"/>
        </w:rPr>
        <w:t>, Wskaźnikach Makroekonomicznych</w:t>
      </w:r>
      <w:r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. </w:t>
      </w:r>
      <w:r w:rsidR="00BB23BE">
        <w:rPr>
          <w:rFonts w:ascii="Fira Sans" w:eastAsiaTheme="minorHAnsi" w:hAnsi="Fira Sans" w:cs="Times New Roman"/>
          <w:sz w:val="19"/>
          <w:szCs w:val="19"/>
          <w:lang w:eastAsia="en-US"/>
        </w:rPr>
        <w:t>U</w:t>
      </w:r>
      <w:r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żytkownicy </w:t>
      </w:r>
      <w:r w:rsidR="00BB23BE" w:rsidRPr="0051691E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są </w:t>
      </w:r>
      <w:r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informowani o dokonanych zmianach w </w:t>
      </w:r>
      <w:r w:rsidRPr="007222C2">
        <w:rPr>
          <w:rFonts w:ascii="Fira Sans" w:eastAsiaTheme="minorHAnsi" w:hAnsi="Fira Sans" w:cs="Times New Roman"/>
          <w:i/>
          <w:iCs/>
          <w:sz w:val="19"/>
          <w:szCs w:val="19"/>
          <w:lang w:eastAsia="en-US"/>
        </w:rPr>
        <w:t xml:space="preserve">Roczniku Statystycznym Rzeczypospolitej Polskiej (uwagi ogólne do działu Rachunki Narodowe), Małym Roczniku Statystycznym Polski </w:t>
      </w:r>
      <w:r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oraz publikacji </w:t>
      </w:r>
      <w:r w:rsidRPr="007222C2">
        <w:rPr>
          <w:rFonts w:ascii="Fira Sans" w:eastAsiaTheme="minorHAnsi" w:hAnsi="Fira Sans" w:cs="Times New Roman"/>
          <w:i/>
          <w:iCs/>
          <w:sz w:val="19"/>
          <w:szCs w:val="19"/>
          <w:lang w:eastAsia="en-US"/>
        </w:rPr>
        <w:t xml:space="preserve">Rachunki narodowe według sektorów i podsektorów instytucjonalnych. </w:t>
      </w:r>
    </w:p>
    <w:p w:rsidR="009F7081" w:rsidRDefault="009F7081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i/>
          <w:iCs/>
          <w:sz w:val="19"/>
          <w:szCs w:val="19"/>
          <w:lang w:eastAsia="en-US"/>
        </w:rPr>
      </w:pPr>
    </w:p>
    <w:p w:rsidR="006C537E" w:rsidRPr="007222C2" w:rsidRDefault="009F7081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sz w:val="19"/>
          <w:szCs w:val="19"/>
          <w:lang w:eastAsia="en-US"/>
        </w:rPr>
      </w:pPr>
      <w:r w:rsidRPr="002839E8">
        <w:rPr>
          <w:rFonts w:ascii="Fira Sans" w:eastAsiaTheme="minorHAnsi" w:hAnsi="Fira Sans" w:cs="Times New Roman"/>
          <w:b/>
          <w:bCs/>
          <w:i/>
          <w:iCs/>
          <w:sz w:val="19"/>
          <w:szCs w:val="19"/>
          <w:lang w:eastAsia="en-US"/>
        </w:rPr>
        <w:t>Rewizje główne</w:t>
      </w:r>
      <w:r w:rsidR="00293065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</w:t>
      </w:r>
      <w:r w:rsidR="005F273A"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>dotyczą</w:t>
      </w:r>
      <w:r w:rsidR="00293065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</w:t>
      </w:r>
      <w:r w:rsidR="005F273A" w:rsidRPr="005F273A">
        <w:rPr>
          <w:rFonts w:ascii="Fira Sans" w:eastAsiaTheme="minorHAnsi" w:hAnsi="Fira Sans" w:cs="Times New Roman"/>
          <w:sz w:val="19"/>
          <w:szCs w:val="19"/>
          <w:lang w:eastAsia="en-US"/>
        </w:rPr>
        <w:t>istotnych modyfikacji</w:t>
      </w:r>
      <w:r w:rsidR="00293065"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opublikowanych danych </w:t>
      </w:r>
      <w:r w:rsidR="005F273A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w wyniku </w:t>
      </w:r>
      <w:r w:rsidR="005F273A" w:rsidRPr="005F273A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zmian </w:t>
      </w:r>
      <w:r w:rsidR="005F273A" w:rsidRPr="00837D77">
        <w:rPr>
          <w:rFonts w:ascii="Fira Sans" w:eastAsiaTheme="minorHAnsi" w:hAnsi="Fira Sans" w:cs="Times New Roman"/>
          <w:sz w:val="19"/>
          <w:szCs w:val="19"/>
          <w:lang w:eastAsia="en-US"/>
        </w:rPr>
        <w:t>koncepcyjnych</w:t>
      </w:r>
      <w:r w:rsidR="00BB23BE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(metodologicznych)</w:t>
      </w:r>
      <w:r w:rsidR="005F273A" w:rsidRPr="00837D77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, </w:t>
      </w:r>
      <w:r w:rsidR="005F273A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zmian w stosowanych </w:t>
      </w:r>
      <w:r w:rsidR="005F273A" w:rsidRPr="005F273A">
        <w:rPr>
          <w:rFonts w:ascii="Fira Sans" w:eastAsiaTheme="minorHAnsi" w:hAnsi="Fira Sans" w:cs="Times New Roman"/>
          <w:sz w:val="19"/>
          <w:szCs w:val="19"/>
          <w:lang w:eastAsia="en-US"/>
        </w:rPr>
        <w:t>klasyfikacjach</w:t>
      </w:r>
      <w:r w:rsidR="005F273A">
        <w:rPr>
          <w:rFonts w:ascii="Fira Sans" w:eastAsiaTheme="minorHAnsi" w:hAnsi="Fira Sans" w:cs="Times New Roman"/>
          <w:sz w:val="19"/>
          <w:szCs w:val="19"/>
          <w:lang w:eastAsia="en-US"/>
        </w:rPr>
        <w:t>, podstawowych źród</w:t>
      </w:r>
      <w:r w:rsidR="00BB23BE">
        <w:rPr>
          <w:rFonts w:ascii="Fira Sans" w:eastAsiaTheme="minorHAnsi" w:hAnsi="Fira Sans" w:cs="Times New Roman"/>
          <w:sz w:val="19"/>
          <w:szCs w:val="19"/>
          <w:lang w:eastAsia="en-US"/>
        </w:rPr>
        <w:t>łach</w:t>
      </w:r>
      <w:r w:rsidR="005F273A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danych</w:t>
      </w:r>
      <w:r w:rsidR="00DA3E0A">
        <w:rPr>
          <w:rFonts w:ascii="Fira Sans" w:eastAsiaTheme="minorHAnsi" w:hAnsi="Fira Sans" w:cs="Times New Roman"/>
          <w:sz w:val="19"/>
          <w:szCs w:val="19"/>
          <w:lang w:eastAsia="en-US"/>
        </w:rPr>
        <w:t>, definicjach</w:t>
      </w:r>
      <w:r w:rsidR="00BB23BE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i</w:t>
      </w:r>
      <w:r w:rsidR="00DA3E0A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aktach prawnych</w:t>
      </w:r>
      <w:r w:rsidR="00BB23BE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. Rewizją objęty jest pełen lub duża część </w:t>
      </w:r>
      <w:r w:rsidR="00293065"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>szereg</w:t>
      </w:r>
      <w:r w:rsidR="00BB23BE">
        <w:rPr>
          <w:rFonts w:ascii="Fira Sans" w:eastAsiaTheme="minorHAnsi" w:hAnsi="Fira Sans" w:cs="Times New Roman"/>
          <w:sz w:val="19"/>
          <w:szCs w:val="19"/>
          <w:lang w:eastAsia="en-US"/>
        </w:rPr>
        <w:t>u</w:t>
      </w:r>
      <w:r w:rsidR="00293065" w:rsidRPr="007222C2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czasow</w:t>
      </w:r>
      <w:r w:rsidR="00BB23BE">
        <w:rPr>
          <w:rFonts w:ascii="Fira Sans" w:eastAsiaTheme="minorHAnsi" w:hAnsi="Fira Sans" w:cs="Times New Roman"/>
          <w:sz w:val="19"/>
          <w:szCs w:val="19"/>
          <w:lang w:eastAsia="en-US"/>
        </w:rPr>
        <w:t>ego, zarówno w cenach bieżących jak i cenach stałych</w:t>
      </w:r>
      <w:r w:rsidR="005F273A">
        <w:rPr>
          <w:rFonts w:ascii="Fira Sans" w:eastAsiaTheme="minorHAnsi" w:hAnsi="Fira Sans" w:cs="Times New Roman"/>
          <w:sz w:val="19"/>
          <w:szCs w:val="19"/>
          <w:lang w:eastAsia="en-US"/>
        </w:rPr>
        <w:t>.</w:t>
      </w:r>
    </w:p>
    <w:p w:rsidR="00293065" w:rsidRDefault="00293065" w:rsidP="005D2473">
      <w:pPr>
        <w:autoSpaceDE w:val="0"/>
        <w:autoSpaceDN w:val="0"/>
        <w:adjustRightInd w:val="0"/>
        <w:spacing w:after="0" w:line="360" w:lineRule="auto"/>
        <w:ind w:left="284" w:right="401"/>
        <w:rPr>
          <w:rFonts w:ascii="Fira Sans" w:eastAsiaTheme="minorHAnsi" w:hAnsi="Fira Sans" w:cs="Times New Roman"/>
          <w:bCs/>
          <w:i/>
          <w:szCs w:val="19"/>
          <w:lang w:eastAsia="en-US"/>
        </w:rPr>
      </w:pPr>
    </w:p>
    <w:p w:rsidR="00756150" w:rsidRPr="005300FD" w:rsidRDefault="00756150" w:rsidP="005D2473">
      <w:pPr>
        <w:pStyle w:val="Nagwek1"/>
        <w:numPr>
          <w:ilvl w:val="0"/>
          <w:numId w:val="28"/>
        </w:numPr>
      </w:pPr>
      <w:r w:rsidRPr="005300FD">
        <w:t>Rewizje kwartalnych i rocznych rachunków według sektorów instytucjonalnych</w:t>
      </w:r>
    </w:p>
    <w:p w:rsidR="00756150" w:rsidRPr="00184490" w:rsidRDefault="00756150" w:rsidP="005D2473">
      <w:pPr>
        <w:autoSpaceDE w:val="0"/>
        <w:autoSpaceDN w:val="0"/>
        <w:adjustRightInd w:val="0"/>
        <w:spacing w:before="120" w:after="0" w:line="360" w:lineRule="auto"/>
        <w:ind w:left="284" w:right="401"/>
        <w:jc w:val="both"/>
        <w:rPr>
          <w:rFonts w:ascii="Fira Sans" w:eastAsiaTheme="minorHAnsi" w:hAnsi="Fira Sans" w:cs="Times New Roman"/>
          <w:b/>
          <w:bCs/>
          <w:i/>
          <w:iCs/>
          <w:sz w:val="19"/>
          <w:szCs w:val="19"/>
          <w:lang w:eastAsia="en-US"/>
        </w:rPr>
      </w:pPr>
      <w:r w:rsidRPr="00184490">
        <w:rPr>
          <w:rFonts w:ascii="Fira Sans" w:eastAsiaTheme="minorHAnsi" w:hAnsi="Fira Sans" w:cs="Times New Roman"/>
          <w:b/>
          <w:bCs/>
          <w:i/>
          <w:iCs/>
          <w:sz w:val="19"/>
          <w:szCs w:val="19"/>
          <w:lang w:eastAsia="en-US"/>
        </w:rPr>
        <w:t>Rewizje rutynowe</w:t>
      </w:r>
    </w:p>
    <w:p w:rsidR="00756150" w:rsidRPr="00184490" w:rsidRDefault="00756150" w:rsidP="005D2473">
      <w:pPr>
        <w:autoSpaceDE w:val="0"/>
        <w:autoSpaceDN w:val="0"/>
        <w:adjustRightInd w:val="0"/>
        <w:spacing w:line="360" w:lineRule="auto"/>
        <w:ind w:left="284" w:right="401"/>
        <w:jc w:val="both"/>
        <w:rPr>
          <w:rFonts w:ascii="Fira Sans" w:eastAsiaTheme="minorHAnsi" w:hAnsi="Fira Sans" w:cs="Times New Roman"/>
          <w:iCs/>
          <w:sz w:val="19"/>
          <w:szCs w:val="19"/>
          <w:lang w:eastAsia="en-US"/>
        </w:rPr>
      </w:pPr>
      <w:r>
        <w:rPr>
          <w:rFonts w:ascii="Fira Sans" w:eastAsiaTheme="minorHAnsi" w:hAnsi="Fira Sans" w:cs="Times New Roman"/>
          <w:iCs/>
          <w:sz w:val="19"/>
          <w:szCs w:val="19"/>
          <w:lang w:eastAsia="en-US"/>
        </w:rPr>
        <w:t>Harmonogram opracowywania kwartalnych i rocznych rachunków sektorowych (odpowiednio 3 miesiące i 9 miesięcy po okresie referencyjnym) wynika z zapisów Rozporządzenia ESA 2010. Rewizja rutynowa</w:t>
      </w:r>
      <w:r w:rsidRPr="00184490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 xml:space="preserve"> </w:t>
      </w:r>
      <w:r>
        <w:rPr>
          <w:rFonts w:ascii="Fira Sans" w:eastAsiaTheme="minorHAnsi" w:hAnsi="Fira Sans" w:cs="Times New Roman"/>
          <w:iCs/>
          <w:sz w:val="19"/>
          <w:szCs w:val="19"/>
          <w:lang w:eastAsia="en-US"/>
        </w:rPr>
        <w:t xml:space="preserve">danych kwartalnych </w:t>
      </w:r>
      <w:r w:rsidRPr="00184490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 xml:space="preserve">jest bezpośrednio </w:t>
      </w:r>
      <w:r>
        <w:rPr>
          <w:rFonts w:ascii="Fira Sans" w:eastAsiaTheme="minorHAnsi" w:hAnsi="Fira Sans" w:cs="Times New Roman"/>
          <w:iCs/>
          <w:sz w:val="19"/>
          <w:szCs w:val="19"/>
          <w:lang w:eastAsia="en-US"/>
        </w:rPr>
        <w:t>związana z</w:t>
      </w:r>
      <w:r w:rsidRPr="00E04A59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 xml:space="preserve"> </w:t>
      </w:r>
      <w:r>
        <w:rPr>
          <w:rFonts w:ascii="Fira Sans" w:eastAsiaTheme="minorHAnsi" w:hAnsi="Fira Sans" w:cs="Times New Roman"/>
          <w:iCs/>
          <w:sz w:val="19"/>
          <w:szCs w:val="19"/>
          <w:lang w:eastAsia="en-US"/>
        </w:rPr>
        <w:t>aktualizacją</w:t>
      </w:r>
      <w:r w:rsidRPr="00184490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 xml:space="preserve"> </w:t>
      </w:r>
      <w:r>
        <w:rPr>
          <w:rFonts w:ascii="Fira Sans" w:eastAsiaTheme="minorHAnsi" w:hAnsi="Fira Sans" w:cs="Times New Roman"/>
          <w:iCs/>
          <w:sz w:val="19"/>
          <w:szCs w:val="19"/>
          <w:lang w:eastAsia="en-US"/>
        </w:rPr>
        <w:t>głównych agregatów (</w:t>
      </w:r>
      <w:r w:rsidRPr="00184490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 xml:space="preserve">rocznych </w:t>
      </w:r>
      <w:r>
        <w:rPr>
          <w:rFonts w:ascii="Fira Sans" w:eastAsiaTheme="minorHAnsi" w:hAnsi="Fira Sans" w:cs="Times New Roman"/>
          <w:iCs/>
          <w:sz w:val="19"/>
          <w:szCs w:val="19"/>
          <w:lang w:eastAsia="en-US"/>
        </w:rPr>
        <w:t>i kwartalnych danych o PKB),</w:t>
      </w:r>
      <w:r w:rsidRPr="00184490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 xml:space="preserve"> kwartalnych </w:t>
      </w:r>
      <w:r>
        <w:rPr>
          <w:rFonts w:ascii="Fira Sans" w:eastAsiaTheme="minorHAnsi" w:hAnsi="Fira Sans" w:cs="Times New Roman"/>
          <w:iCs/>
          <w:sz w:val="19"/>
          <w:szCs w:val="19"/>
          <w:lang w:eastAsia="en-US"/>
        </w:rPr>
        <w:t xml:space="preserve">i rocznych </w:t>
      </w:r>
      <w:r w:rsidRPr="00184490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>rachunków sektora instytucji rządowych i samorządowych</w:t>
      </w:r>
      <w:r>
        <w:rPr>
          <w:rFonts w:ascii="Fira Sans" w:eastAsiaTheme="minorHAnsi" w:hAnsi="Fira Sans" w:cs="Times New Roman"/>
          <w:iCs/>
          <w:sz w:val="19"/>
          <w:szCs w:val="19"/>
          <w:lang w:eastAsia="en-US"/>
        </w:rPr>
        <w:t xml:space="preserve"> oraz kwartalnych i rocznych danych z bilansu płatniczego. Dane te publikowane są w kwietniu oraz październiku w ogólnodostępnych bazach GUS oraz cyklicznych publikacjach GUS.</w:t>
      </w:r>
    </w:p>
    <w:p w:rsidR="00756150" w:rsidRPr="00184490" w:rsidRDefault="00756150" w:rsidP="005D2473">
      <w:pPr>
        <w:autoSpaceDE w:val="0"/>
        <w:autoSpaceDN w:val="0"/>
        <w:adjustRightInd w:val="0"/>
        <w:spacing w:line="360" w:lineRule="auto"/>
        <w:ind w:left="284" w:right="401"/>
        <w:jc w:val="both"/>
        <w:rPr>
          <w:rFonts w:ascii="Fira Sans" w:eastAsiaTheme="minorHAnsi" w:hAnsi="Fira Sans" w:cs="Times New Roman"/>
          <w:iCs/>
          <w:sz w:val="19"/>
          <w:szCs w:val="19"/>
          <w:lang w:eastAsia="en-US"/>
        </w:rPr>
      </w:pPr>
      <w:r w:rsidRPr="00184490">
        <w:rPr>
          <w:rFonts w:ascii="Fira Sans" w:eastAsiaTheme="minorHAnsi" w:hAnsi="Fira Sans" w:cs="Times New Roman"/>
          <w:iCs/>
          <w:sz w:val="19"/>
          <w:szCs w:val="19"/>
          <w:lang w:eastAsia="en-US"/>
        </w:rPr>
        <w:lastRenderedPageBreak/>
        <w:t>Dane dotyczące sektora instytucji rządowych i samorządowych są rutynowo rewidowane dwa razy w roku w trakcie opracowywania notyfikacji deficytu i długu (w kwietniu i październiku). Rewizje te zazwyczaj związane są ze zmianą zakresu podmiotowego sektora, nowych wytycznych metodologicznych (tj. aktualizacją Podręcznika deficytu i długu sektora instytucji rządowych i samorządowych) oraz rekomendacji Eurostatu. Rewizje rutynowe dotyczą trzech ostatnich lat tj. lat objętych notyfikacją fiskalną.</w:t>
      </w:r>
    </w:p>
    <w:p w:rsidR="00756150" w:rsidRDefault="00756150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sz w:val="19"/>
          <w:szCs w:val="19"/>
          <w:lang w:eastAsia="en-US"/>
        </w:rPr>
      </w:pPr>
      <w:r w:rsidRPr="004157FA">
        <w:rPr>
          <w:rFonts w:ascii="Fira Sans" w:eastAsiaTheme="minorHAnsi" w:hAnsi="Fira Sans" w:cs="Times New Roman"/>
          <w:b/>
          <w:bCs/>
          <w:i/>
          <w:iCs/>
          <w:sz w:val="19"/>
          <w:szCs w:val="19"/>
          <w:lang w:eastAsia="en-US"/>
        </w:rPr>
        <w:t>Rewizje główne</w:t>
      </w:r>
      <w:r>
        <w:rPr>
          <w:rFonts w:ascii="Fira Sans" w:eastAsiaTheme="minorHAnsi" w:hAnsi="Fira Sans" w:cs="Times New Roman"/>
          <w:b/>
          <w:bCs/>
          <w:i/>
          <w:iCs/>
          <w:sz w:val="19"/>
          <w:szCs w:val="19"/>
          <w:lang w:eastAsia="en-US"/>
        </w:rPr>
        <w:t xml:space="preserve"> </w:t>
      </w:r>
      <w:r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 xml:space="preserve">niefinansowych rachunków sektorowych, podobnie jak w przypadku rewizji rutynowych, są następstwem zmian wprowadzonych w głównych agregatach PKB, danych sektora instytucji rządowych i samorządowych oraz statystyce bilansu płatniczego. Zmiany te </w:t>
      </w:r>
      <w:r w:rsidRPr="006B4CE2">
        <w:rPr>
          <w:rFonts w:ascii="Fira Sans" w:eastAsiaTheme="minorHAnsi" w:hAnsi="Fira Sans" w:cs="Times New Roman"/>
          <w:sz w:val="19"/>
          <w:szCs w:val="19"/>
          <w:lang w:eastAsia="en-US"/>
        </w:rPr>
        <w:t>dotyczą</w:t>
      </w:r>
      <w:r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</w:t>
      </w:r>
      <w:r w:rsidRPr="005F273A">
        <w:rPr>
          <w:rFonts w:ascii="Fira Sans" w:eastAsiaTheme="minorHAnsi" w:hAnsi="Fira Sans" w:cs="Times New Roman"/>
          <w:sz w:val="19"/>
          <w:szCs w:val="19"/>
          <w:lang w:eastAsia="en-US"/>
        </w:rPr>
        <w:t>istotnych modyfikacji</w:t>
      </w:r>
      <w:r w:rsidRPr="006B4CE2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opublikowanych danych </w:t>
      </w:r>
      <w:r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w wyniku </w:t>
      </w:r>
      <w:r w:rsidRPr="005F273A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zmian </w:t>
      </w:r>
      <w:r w:rsidRPr="00837D77">
        <w:rPr>
          <w:rFonts w:ascii="Fira Sans" w:eastAsiaTheme="minorHAnsi" w:hAnsi="Fira Sans" w:cs="Times New Roman"/>
          <w:sz w:val="19"/>
          <w:szCs w:val="19"/>
          <w:lang w:eastAsia="en-US"/>
        </w:rPr>
        <w:t>koncepcyjnych</w:t>
      </w:r>
      <w:r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(metodologicznych)</w:t>
      </w:r>
      <w:r w:rsidRPr="00837D77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, </w:t>
      </w:r>
      <w:r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zmian w stosowanych </w:t>
      </w:r>
      <w:r w:rsidRPr="005F273A">
        <w:rPr>
          <w:rFonts w:ascii="Fira Sans" w:eastAsiaTheme="minorHAnsi" w:hAnsi="Fira Sans" w:cs="Times New Roman"/>
          <w:sz w:val="19"/>
          <w:szCs w:val="19"/>
          <w:lang w:eastAsia="en-US"/>
        </w:rPr>
        <w:t>klasyfikacjach</w:t>
      </w:r>
      <w:r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, podstawowych źródłach danych, definicjach i aktach prawnych. </w:t>
      </w:r>
      <w:r w:rsidRPr="00BB23BE">
        <w:rPr>
          <w:rFonts w:ascii="Fira Sans" w:eastAsiaTheme="minorHAnsi" w:hAnsi="Fira Sans" w:cs="Times New Roman"/>
          <w:sz w:val="19"/>
          <w:szCs w:val="19"/>
          <w:lang w:eastAsia="en-US"/>
        </w:rPr>
        <w:t>Rewizje główne, zarówno danych rocznych jak i kwartalnych, obejmują pełen szereg czasowy lub jego znacząca część.</w:t>
      </w:r>
      <w:r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</w:t>
      </w:r>
    </w:p>
    <w:p w:rsidR="00756150" w:rsidRPr="00184490" w:rsidRDefault="00756150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b/>
          <w:bCs/>
          <w:i/>
          <w:iCs/>
          <w:sz w:val="19"/>
          <w:szCs w:val="19"/>
          <w:lang w:eastAsia="en-US"/>
        </w:rPr>
      </w:pPr>
    </w:p>
    <w:p w:rsidR="00756150" w:rsidRPr="005300FD" w:rsidRDefault="00756150" w:rsidP="005D2473">
      <w:pPr>
        <w:pStyle w:val="Nagwek1"/>
        <w:numPr>
          <w:ilvl w:val="0"/>
          <w:numId w:val="28"/>
        </w:numPr>
      </w:pPr>
      <w:r w:rsidRPr="005300FD">
        <w:t>Rewizje w rachunkach regionalnych</w:t>
      </w:r>
    </w:p>
    <w:p w:rsidR="00756150" w:rsidRPr="004157FA" w:rsidRDefault="00756150" w:rsidP="005D2473">
      <w:pPr>
        <w:autoSpaceDE w:val="0"/>
        <w:autoSpaceDN w:val="0"/>
        <w:adjustRightInd w:val="0"/>
        <w:spacing w:before="120" w:after="0" w:line="360" w:lineRule="auto"/>
        <w:ind w:left="284" w:right="401"/>
        <w:jc w:val="both"/>
        <w:rPr>
          <w:rFonts w:ascii="Fira Sans" w:eastAsiaTheme="minorHAnsi" w:hAnsi="Fira Sans" w:cs="Times New Roman"/>
          <w:b/>
          <w:i/>
          <w:iCs/>
          <w:sz w:val="19"/>
          <w:szCs w:val="19"/>
          <w:lang w:eastAsia="en-US"/>
        </w:rPr>
      </w:pPr>
      <w:r w:rsidRPr="004157FA">
        <w:rPr>
          <w:rFonts w:ascii="Fira Sans" w:eastAsiaTheme="minorHAnsi" w:hAnsi="Fira Sans" w:cs="Times New Roman"/>
          <w:b/>
          <w:i/>
          <w:iCs/>
          <w:sz w:val="19"/>
          <w:szCs w:val="19"/>
          <w:lang w:eastAsia="en-US"/>
        </w:rPr>
        <w:t>Rewizje rutynowe</w:t>
      </w:r>
    </w:p>
    <w:p w:rsidR="009C6645" w:rsidRPr="008439ED" w:rsidRDefault="009C6645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</w:pPr>
      <w:r w:rsidRPr="008439ED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>W rachunkach regionalnych rewizje rutynowe dokonywane są dwa razy</w:t>
      </w:r>
      <w:r w:rsidR="009B1339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 xml:space="preserve"> w roku</w:t>
      </w:r>
      <w:r w:rsidRPr="008439ED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>.</w:t>
      </w:r>
    </w:p>
    <w:p w:rsidR="00F16999" w:rsidRDefault="009C6645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</w:pPr>
      <w:r w:rsidRPr="008439ED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 xml:space="preserve">Wstępne szacunki w zakresie produktu krajowego brutto (PKB) i wartości dodanej brutto (WDB) ogółem </w:t>
      </w:r>
      <w:r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br/>
      </w:r>
      <w:r w:rsidRPr="008439ED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>na poziomie NUTS 2 opracowywane są za rok N-1</w:t>
      </w:r>
      <w:r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 xml:space="preserve"> i</w:t>
      </w:r>
      <w:r w:rsidRPr="008439ED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 xml:space="preserve"> bilansowane z danymi z rocznych rachunków narodowych – pierwszym rocznym </w:t>
      </w:r>
      <w:r w:rsidRPr="008439ED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lastRenderedPageBreak/>
        <w:t>szacunkiem PKB (publikacja danych: szacunki wstępne publikowane są w informacji sygnalnej</w:t>
      </w:r>
      <w:r w:rsidR="00F15E7E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 xml:space="preserve"> </w:t>
      </w:r>
      <w:r w:rsidR="00463C69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 xml:space="preserve"> </w:t>
      </w:r>
      <w:r w:rsidRPr="00F15E7E">
        <w:rPr>
          <w:rFonts w:ascii="Fira Sans" w:eastAsiaTheme="minorHAnsi" w:hAnsi="Fira Sans" w:cs="Times New Roman"/>
          <w:bCs/>
          <w:i/>
          <w:iCs/>
          <w:sz w:val="19"/>
          <w:szCs w:val="19"/>
          <w:lang w:eastAsia="en-US"/>
        </w:rPr>
        <w:t>Wstępne szacunki produktu krajowego brutto w przekroju regionów</w:t>
      </w:r>
      <w:r w:rsidRPr="008439ED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 xml:space="preserve"> – grudzień).</w:t>
      </w:r>
    </w:p>
    <w:p w:rsidR="00F16999" w:rsidRDefault="009C6645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</w:pPr>
      <w:r w:rsidRPr="008439ED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>Następnie dokonywane są następujące rewizje:</w:t>
      </w:r>
    </w:p>
    <w:p w:rsidR="00F16999" w:rsidRPr="005D2473" w:rsidRDefault="00F16999" w:rsidP="005D247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0" w:line="360" w:lineRule="auto"/>
        <w:ind w:right="403"/>
        <w:jc w:val="both"/>
        <w:rPr>
          <w:rFonts w:ascii="Fira Sans" w:eastAsiaTheme="minorHAnsi" w:hAnsi="Fira Sans" w:cs="Times New Roman"/>
          <w:iCs/>
          <w:sz w:val="19"/>
          <w:szCs w:val="19"/>
          <w:lang w:eastAsia="en-US"/>
        </w:rPr>
      </w:pPr>
      <w:r w:rsidRPr="005D2473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 xml:space="preserve">dane ostateczne (we wrześniu za rok N-2), w zakresie PKB i WDB według sekcji NACE na poziomie NUTS 2 – wstępne szacunki korygowane są ze względu na dostępność bardziej kompleksowych danych oraz bilansowane z danymi z rocznych rachunków narodowych (publikacja danych: dane ostateczne publikowane są w informacji sygnalnej </w:t>
      </w:r>
      <w:r w:rsidRPr="005D2473">
        <w:rPr>
          <w:rFonts w:ascii="Fira Sans" w:eastAsiaTheme="minorHAnsi" w:hAnsi="Fira Sans" w:cs="Times New Roman"/>
          <w:i/>
          <w:iCs/>
          <w:sz w:val="19"/>
          <w:szCs w:val="19"/>
          <w:lang w:eastAsia="en-US"/>
        </w:rPr>
        <w:t>Produkt krajowy brutto i wartość dodana brutto w przekroju regionów</w:t>
      </w:r>
      <w:r w:rsidRPr="005D2473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 xml:space="preserve"> – wrzesień);</w:t>
      </w:r>
    </w:p>
    <w:p w:rsidR="00F16999" w:rsidRPr="005D2473" w:rsidRDefault="00F16999" w:rsidP="005D247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right="403"/>
        <w:jc w:val="both"/>
        <w:rPr>
          <w:rFonts w:ascii="Fira Sans" w:eastAsiaTheme="minorHAnsi" w:hAnsi="Fira Sans" w:cs="Times New Roman"/>
          <w:iCs/>
          <w:sz w:val="19"/>
          <w:szCs w:val="19"/>
          <w:lang w:eastAsia="en-US"/>
        </w:rPr>
      </w:pPr>
      <w:r w:rsidRPr="005D2473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>dane zrewidowane (w listopadzie za rok N-2)</w:t>
      </w:r>
      <w:r w:rsidR="009B1339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 xml:space="preserve"> PKB i WDB dotyczące</w:t>
      </w:r>
      <w:r w:rsidRPr="005D2473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 xml:space="preserve"> obszern</w:t>
      </w:r>
      <w:r w:rsidR="009B1339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>ego</w:t>
      </w:r>
      <w:r w:rsidRPr="005D2473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 xml:space="preserve"> zestaw</w:t>
      </w:r>
      <w:r w:rsidR="009B1339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>u</w:t>
      </w:r>
      <w:r w:rsidRPr="005D2473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 xml:space="preserve"> danych z rachunków regionalnych na poziomach NUTS 1, NUTS 2 i NUTS 3 – uwzględniają zmiany wprowadzone w rocznych rachunkach narodowych przy notyfikacji deficytu i długu sektora instytucji rządowych i samorządowych (tzw. październikowa notyfikacja EDP), (publikacja danych: dane zrewidowane publikowane są w opracowaniu </w:t>
      </w:r>
      <w:r w:rsidRPr="005D2473">
        <w:rPr>
          <w:rFonts w:ascii="Fira Sans" w:eastAsiaTheme="minorHAnsi" w:hAnsi="Fira Sans" w:cs="Times New Roman"/>
          <w:i/>
          <w:iCs/>
          <w:sz w:val="19"/>
          <w:szCs w:val="19"/>
          <w:lang w:eastAsia="en-US"/>
        </w:rPr>
        <w:t xml:space="preserve">Produkt krajowy brutto </w:t>
      </w:r>
      <w:r w:rsidRPr="004157FA">
        <w:rPr>
          <w:rFonts w:eastAsiaTheme="minorHAnsi"/>
          <w:i/>
          <w:lang w:eastAsia="en-US"/>
        </w:rPr>
        <w:sym w:font="Symbol" w:char="F02D"/>
      </w:r>
      <w:r w:rsidRPr="005D2473">
        <w:rPr>
          <w:rFonts w:ascii="Fira Sans" w:eastAsiaTheme="minorHAnsi" w:hAnsi="Fira Sans" w:cs="Times New Roman"/>
          <w:i/>
          <w:iCs/>
          <w:sz w:val="19"/>
          <w:szCs w:val="19"/>
          <w:lang w:eastAsia="en-US"/>
        </w:rPr>
        <w:t xml:space="preserve"> rachunki regionalne </w:t>
      </w:r>
      <w:r w:rsidRPr="005D2473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>–</w:t>
      </w:r>
      <w:r w:rsidRPr="005D2473">
        <w:rPr>
          <w:rFonts w:ascii="Fira Sans" w:eastAsiaTheme="minorHAnsi" w:hAnsi="Fira Sans" w:cs="Times New Roman"/>
          <w:i/>
          <w:iCs/>
          <w:sz w:val="19"/>
          <w:szCs w:val="19"/>
          <w:lang w:eastAsia="en-US"/>
        </w:rPr>
        <w:t xml:space="preserve"> </w:t>
      </w:r>
      <w:r w:rsidRPr="005D2473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>grudzień).</w:t>
      </w:r>
    </w:p>
    <w:p w:rsidR="00756150" w:rsidRPr="004157FA" w:rsidRDefault="00756150" w:rsidP="005D2473">
      <w:pPr>
        <w:autoSpaceDE w:val="0"/>
        <w:autoSpaceDN w:val="0"/>
        <w:adjustRightInd w:val="0"/>
        <w:spacing w:before="120" w:after="0" w:line="360" w:lineRule="auto"/>
        <w:ind w:left="284" w:right="401"/>
        <w:jc w:val="both"/>
        <w:rPr>
          <w:rFonts w:ascii="Fira Sans" w:eastAsiaTheme="minorHAnsi" w:hAnsi="Fira Sans" w:cs="Times New Roman"/>
          <w:b/>
          <w:bCs/>
          <w:i/>
          <w:iCs/>
          <w:sz w:val="19"/>
          <w:szCs w:val="19"/>
          <w:lang w:eastAsia="en-US"/>
        </w:rPr>
      </w:pPr>
      <w:r w:rsidRPr="004157FA">
        <w:rPr>
          <w:rFonts w:ascii="Fira Sans" w:eastAsiaTheme="minorHAnsi" w:hAnsi="Fira Sans" w:cs="Times New Roman"/>
          <w:b/>
          <w:bCs/>
          <w:i/>
          <w:iCs/>
          <w:sz w:val="19"/>
          <w:szCs w:val="19"/>
          <w:lang w:eastAsia="en-US"/>
        </w:rPr>
        <w:t>Rewizje główne</w:t>
      </w:r>
    </w:p>
    <w:p w:rsidR="00F16999" w:rsidRPr="004157FA" w:rsidRDefault="00F16999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iCs/>
          <w:sz w:val="19"/>
          <w:szCs w:val="19"/>
          <w:lang w:eastAsia="en-US"/>
        </w:rPr>
      </w:pPr>
      <w:r w:rsidRPr="004157FA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>W rachunkach regionalnych rewizje główne są konsekwencją zmian wdrożonych w rocznych rachunkach narodowych.</w:t>
      </w:r>
    </w:p>
    <w:p w:rsidR="00F16999" w:rsidRPr="004157FA" w:rsidRDefault="00F16999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iCs/>
          <w:sz w:val="19"/>
          <w:szCs w:val="19"/>
          <w:lang w:eastAsia="en-US"/>
        </w:rPr>
      </w:pPr>
      <w:r w:rsidRPr="004157FA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>Główne rewizje w rachunkach regionalnych są przeprowadzane z następujących powodów:</w:t>
      </w:r>
    </w:p>
    <w:p w:rsidR="00F16999" w:rsidRPr="005D2473" w:rsidRDefault="00F16999" w:rsidP="005D2473">
      <w:pPr>
        <w:pStyle w:val="Akapitzlist"/>
        <w:numPr>
          <w:ilvl w:val="0"/>
          <w:numId w:val="43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right="401"/>
        <w:jc w:val="both"/>
        <w:rPr>
          <w:rFonts w:ascii="Fira Sans" w:eastAsiaTheme="minorHAnsi" w:hAnsi="Fira Sans" w:cs="Times New Roman"/>
          <w:iCs/>
          <w:sz w:val="19"/>
          <w:szCs w:val="19"/>
          <w:lang w:eastAsia="en-US"/>
        </w:rPr>
      </w:pPr>
      <w:r w:rsidRPr="005D2473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>dostępność nowych źródeł danych i/lub nowych metod,</w:t>
      </w:r>
    </w:p>
    <w:p w:rsidR="00F16999" w:rsidRPr="005D2473" w:rsidRDefault="00F16999" w:rsidP="005D2473">
      <w:pPr>
        <w:pStyle w:val="Akapitzlist"/>
        <w:numPr>
          <w:ilvl w:val="0"/>
          <w:numId w:val="43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right="401"/>
        <w:jc w:val="both"/>
        <w:rPr>
          <w:rFonts w:ascii="Fira Sans" w:eastAsiaTheme="minorHAnsi" w:hAnsi="Fira Sans" w:cs="Times New Roman"/>
          <w:iCs/>
          <w:sz w:val="19"/>
          <w:szCs w:val="19"/>
          <w:lang w:eastAsia="en-US"/>
        </w:rPr>
      </w:pPr>
      <w:r w:rsidRPr="005D2473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>zmiana definicji i klasyfikacji stosowanych do zestawiania rachunków narodowych i regionalnych,</w:t>
      </w:r>
    </w:p>
    <w:p w:rsidR="00F16999" w:rsidRPr="005D2473" w:rsidRDefault="00F16999" w:rsidP="005D2473">
      <w:pPr>
        <w:pStyle w:val="Akapitzlist"/>
        <w:numPr>
          <w:ilvl w:val="0"/>
          <w:numId w:val="43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right="401"/>
        <w:jc w:val="both"/>
        <w:rPr>
          <w:rFonts w:ascii="Fira Sans" w:eastAsiaTheme="minorHAnsi" w:hAnsi="Fira Sans" w:cs="Times New Roman"/>
          <w:iCs/>
          <w:sz w:val="19"/>
          <w:szCs w:val="19"/>
          <w:lang w:eastAsia="en-US"/>
        </w:rPr>
      </w:pPr>
      <w:r w:rsidRPr="005D2473">
        <w:rPr>
          <w:rFonts w:ascii="Fira Sans" w:eastAsiaTheme="minorHAnsi" w:hAnsi="Fira Sans" w:cs="Times New Roman"/>
          <w:iCs/>
          <w:sz w:val="19"/>
          <w:szCs w:val="19"/>
          <w:lang w:eastAsia="en-US"/>
        </w:rPr>
        <w:lastRenderedPageBreak/>
        <w:t>wprowadzenie nowych aktów prawnych,</w:t>
      </w:r>
    </w:p>
    <w:p w:rsidR="00F16999" w:rsidRPr="005D2473" w:rsidRDefault="00F16999" w:rsidP="005D2473">
      <w:pPr>
        <w:pStyle w:val="Akapitzlist"/>
        <w:numPr>
          <w:ilvl w:val="0"/>
          <w:numId w:val="43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right="401"/>
        <w:jc w:val="both"/>
        <w:rPr>
          <w:rFonts w:ascii="Fira Sans" w:eastAsiaTheme="minorHAnsi" w:hAnsi="Fira Sans" w:cs="Times New Roman"/>
          <w:iCs/>
          <w:sz w:val="19"/>
          <w:szCs w:val="19"/>
          <w:lang w:eastAsia="en-US"/>
        </w:rPr>
      </w:pPr>
      <w:r w:rsidRPr="005D2473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>wdrożenie lub zmiana rozporządzenia Unii Europejskiej w sprawie ustalenia wspólnej Klasyfikacji Jednostek Terytorialnych do Celów Statystycznych (NUTS).</w:t>
      </w:r>
    </w:p>
    <w:p w:rsidR="00F16999" w:rsidRDefault="00F16999" w:rsidP="005D2473">
      <w:pPr>
        <w:autoSpaceDE w:val="0"/>
        <w:autoSpaceDN w:val="0"/>
        <w:adjustRightInd w:val="0"/>
        <w:spacing w:before="120" w:after="0" w:line="360" w:lineRule="auto"/>
        <w:ind w:left="284" w:right="401"/>
        <w:jc w:val="both"/>
        <w:rPr>
          <w:rFonts w:ascii="Fira Sans" w:eastAsiaTheme="minorHAnsi" w:hAnsi="Fira Sans" w:cs="Times New Roman"/>
          <w:iCs/>
          <w:sz w:val="19"/>
          <w:szCs w:val="19"/>
          <w:lang w:eastAsia="en-US"/>
        </w:rPr>
      </w:pPr>
      <w:r w:rsidRPr="004157FA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 xml:space="preserve">Każdorazowo po przeprowadzonej rewizji dane publikowane są na stronach internetowych GUS (m.in. </w:t>
      </w:r>
      <w:r w:rsidRPr="004157FA">
        <w:rPr>
          <w:rFonts w:ascii="Fira Sans" w:eastAsiaTheme="minorHAnsi" w:hAnsi="Fira Sans" w:cs="Times New Roman"/>
          <w:iCs/>
          <w:sz w:val="19"/>
          <w:szCs w:val="19"/>
          <w:lang w:eastAsia="en-US"/>
        </w:rPr>
        <w:br/>
        <w:t xml:space="preserve">w Banku Danych Lokalnych – BDL, Dziedzinowej Bazie Wiedzy – DBW). W przypadku dokonania rewizji użytkownicy informowani są o dokonanych zmianach w </w:t>
      </w:r>
      <w:r w:rsidRPr="004157FA">
        <w:rPr>
          <w:rFonts w:ascii="Fira Sans" w:eastAsiaTheme="minorHAnsi" w:hAnsi="Fira Sans" w:cs="Times New Roman"/>
          <w:i/>
          <w:iCs/>
          <w:sz w:val="19"/>
          <w:szCs w:val="19"/>
          <w:lang w:eastAsia="en-US"/>
        </w:rPr>
        <w:t>Roczniku Statystycznym Województw</w:t>
      </w:r>
      <w:r w:rsidRPr="004157FA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 xml:space="preserve"> (uwagi ogólne do działu </w:t>
      </w:r>
      <w:r w:rsidRPr="004157FA">
        <w:rPr>
          <w:rFonts w:ascii="Fira Sans" w:eastAsiaTheme="minorHAnsi" w:hAnsi="Fira Sans" w:cs="Times New Roman"/>
          <w:i/>
          <w:iCs/>
          <w:sz w:val="19"/>
          <w:szCs w:val="19"/>
          <w:lang w:eastAsia="en-US"/>
        </w:rPr>
        <w:t>Rachunki regionalne</w:t>
      </w:r>
      <w:r w:rsidRPr="004157FA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 xml:space="preserve">) oraz publikacji </w:t>
      </w:r>
      <w:r w:rsidRPr="004157FA">
        <w:rPr>
          <w:rFonts w:ascii="Fira Sans" w:eastAsiaTheme="minorHAnsi" w:hAnsi="Fira Sans" w:cs="Times New Roman"/>
          <w:i/>
          <w:iCs/>
          <w:sz w:val="19"/>
          <w:szCs w:val="19"/>
          <w:lang w:eastAsia="en-US"/>
        </w:rPr>
        <w:t>Produkt krajowy brutto – rachunki regionalne</w:t>
      </w:r>
      <w:r w:rsidRPr="004157FA">
        <w:rPr>
          <w:rFonts w:ascii="Fira Sans" w:eastAsiaTheme="minorHAnsi" w:hAnsi="Fira Sans" w:cs="Times New Roman"/>
          <w:iCs/>
          <w:sz w:val="19"/>
          <w:szCs w:val="19"/>
          <w:lang w:eastAsia="en-US"/>
        </w:rPr>
        <w:t xml:space="preserve">. </w:t>
      </w:r>
    </w:p>
    <w:p w:rsidR="001F2B3B" w:rsidRPr="00746AF9" w:rsidRDefault="00BB71AA" w:rsidP="005D2473">
      <w:pPr>
        <w:pStyle w:val="Nagwek1"/>
        <w:numPr>
          <w:ilvl w:val="0"/>
          <w:numId w:val="28"/>
        </w:numPr>
      </w:pPr>
      <w:r w:rsidRPr="00746AF9">
        <w:t xml:space="preserve">Rewizje w tablicach podaży i wykorzystania oraz w bilansie przepływów międzygałęziowych </w:t>
      </w:r>
    </w:p>
    <w:p w:rsidR="001F2B3B" w:rsidRPr="00746AF9" w:rsidRDefault="001F2B3B" w:rsidP="005D2473">
      <w:pPr>
        <w:autoSpaceDE w:val="0"/>
        <w:autoSpaceDN w:val="0"/>
        <w:adjustRightInd w:val="0"/>
        <w:spacing w:before="240" w:after="0" w:line="360" w:lineRule="auto"/>
        <w:ind w:left="284" w:right="401"/>
        <w:jc w:val="both"/>
        <w:rPr>
          <w:rFonts w:ascii="Fira Sans" w:eastAsiaTheme="minorHAnsi" w:hAnsi="Fira Sans" w:cs="Times New Roman"/>
          <w:sz w:val="19"/>
          <w:szCs w:val="19"/>
          <w:lang w:eastAsia="en-US"/>
        </w:rPr>
      </w:pPr>
      <w:r w:rsidRPr="00746AF9">
        <w:rPr>
          <w:rFonts w:ascii="Fira Sans" w:eastAsiaTheme="minorHAnsi" w:hAnsi="Fira Sans" w:cs="Times New Roman"/>
          <w:b/>
          <w:bCs/>
          <w:i/>
          <w:iCs/>
          <w:sz w:val="19"/>
          <w:szCs w:val="19"/>
          <w:lang w:eastAsia="en-US"/>
        </w:rPr>
        <w:t xml:space="preserve">Rewizje rutynowe </w:t>
      </w:r>
      <w:r w:rsidR="00BB23BE">
        <w:rPr>
          <w:rFonts w:ascii="Fira Sans" w:eastAsiaTheme="minorHAnsi" w:hAnsi="Fira Sans" w:cs="Times New Roman"/>
          <w:bCs/>
          <w:iCs/>
          <w:sz w:val="19"/>
          <w:szCs w:val="19"/>
          <w:lang w:eastAsia="en-US"/>
        </w:rPr>
        <w:t xml:space="preserve">w zakresie tablic podaży i wykorzystania oraz bilansu przepływów międzygałęziowych </w:t>
      </w:r>
      <w:r w:rsidR="00BB23BE">
        <w:rPr>
          <w:rFonts w:ascii="Fira Sans" w:eastAsiaTheme="minorHAnsi" w:hAnsi="Fira Sans" w:cs="Times New Roman"/>
          <w:sz w:val="19"/>
          <w:szCs w:val="19"/>
          <w:lang w:eastAsia="en-US"/>
        </w:rPr>
        <w:t>ograniczone są do jednego</w:t>
      </w:r>
      <w:r w:rsidRPr="00746AF9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opracowani</w:t>
      </w:r>
      <w:r w:rsidR="00BB23BE">
        <w:rPr>
          <w:rFonts w:ascii="Fira Sans" w:eastAsiaTheme="minorHAnsi" w:hAnsi="Fira Sans" w:cs="Times New Roman"/>
          <w:sz w:val="19"/>
          <w:szCs w:val="19"/>
          <w:lang w:eastAsia="en-US"/>
        </w:rPr>
        <w:t>a</w:t>
      </w:r>
      <w:r w:rsidRPr="00746AF9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zawierające</w:t>
      </w:r>
      <w:r w:rsidR="00746AF9">
        <w:rPr>
          <w:rFonts w:ascii="Fira Sans" w:eastAsiaTheme="minorHAnsi" w:hAnsi="Fira Sans" w:cs="Times New Roman"/>
          <w:sz w:val="19"/>
          <w:szCs w:val="19"/>
          <w:lang w:eastAsia="en-US"/>
        </w:rPr>
        <w:t>go</w:t>
      </w:r>
      <w:r w:rsidRPr="00746AF9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dane z ostatecznej wersji rocznego szacunku PKB, dla roku </w:t>
      </w:r>
      <w:r w:rsidR="00D15FCE">
        <w:rPr>
          <w:rFonts w:ascii="Fira Sans" w:eastAsiaTheme="minorHAnsi" w:hAnsi="Fira Sans" w:cs="Times New Roman"/>
          <w:sz w:val="19"/>
          <w:szCs w:val="19"/>
          <w:lang w:eastAsia="en-US"/>
        </w:rPr>
        <w:t>N</w:t>
      </w:r>
      <w:r w:rsidR="00746AF9">
        <w:rPr>
          <w:rFonts w:ascii="Fira Sans" w:eastAsiaTheme="minorHAnsi" w:hAnsi="Fira Sans" w:cs="Times New Roman"/>
          <w:sz w:val="19"/>
          <w:szCs w:val="19"/>
          <w:lang w:eastAsia="en-US"/>
        </w:rPr>
        <w:t>-3</w:t>
      </w:r>
      <w:r w:rsidR="004157FA">
        <w:rPr>
          <w:rFonts w:ascii="Fira Sans" w:eastAsiaTheme="minorHAnsi" w:hAnsi="Fira Sans" w:cs="Times New Roman"/>
          <w:sz w:val="19"/>
          <w:szCs w:val="19"/>
          <w:lang w:eastAsia="en-US"/>
        </w:rPr>
        <w:t>. O</w:t>
      </w:r>
      <w:r w:rsidRPr="00746AF9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pracowania wykonywane są z następującą częstotliwością: </w:t>
      </w:r>
    </w:p>
    <w:p w:rsidR="001F2B3B" w:rsidRPr="005D2473" w:rsidRDefault="001F2B3B" w:rsidP="005D247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right="401"/>
        <w:jc w:val="both"/>
        <w:rPr>
          <w:rFonts w:ascii="Fira Sans" w:hAnsi="Fira Sans" w:cs="Times New Roman"/>
          <w:sz w:val="19"/>
          <w:szCs w:val="19"/>
        </w:rPr>
      </w:pPr>
      <w:r w:rsidRPr="005D2473">
        <w:rPr>
          <w:rFonts w:ascii="Fira Sans" w:hAnsi="Fira Sans" w:cs="Times New Roman"/>
          <w:sz w:val="19"/>
          <w:szCs w:val="19"/>
        </w:rPr>
        <w:t xml:space="preserve">tablice podaży i wykorzystania </w:t>
      </w:r>
      <w:r w:rsidR="009C6645" w:rsidRPr="005D2473">
        <w:rPr>
          <w:rFonts w:ascii="Fira Sans" w:hAnsi="Fira Sans" w:cs="Times New Roman"/>
          <w:sz w:val="19"/>
          <w:szCs w:val="19"/>
        </w:rPr>
        <w:t>–</w:t>
      </w:r>
      <w:r w:rsidR="00BB23BE" w:rsidRPr="005D2473">
        <w:rPr>
          <w:rFonts w:ascii="Fira Sans" w:hAnsi="Fira Sans" w:cs="Times New Roman"/>
          <w:sz w:val="19"/>
          <w:szCs w:val="19"/>
        </w:rPr>
        <w:t xml:space="preserve"> </w:t>
      </w:r>
      <w:r w:rsidRPr="005D2473">
        <w:rPr>
          <w:rFonts w:ascii="Fira Sans" w:hAnsi="Fira Sans" w:cs="Times New Roman"/>
          <w:sz w:val="19"/>
          <w:szCs w:val="19"/>
        </w:rPr>
        <w:t xml:space="preserve">corocznie, </w:t>
      </w:r>
    </w:p>
    <w:p w:rsidR="001F2B3B" w:rsidRPr="005D2473" w:rsidRDefault="001F2B3B" w:rsidP="005D247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right="401"/>
        <w:jc w:val="both"/>
        <w:rPr>
          <w:rFonts w:ascii="Fira Sans" w:hAnsi="Fira Sans" w:cs="Times New Roman"/>
          <w:sz w:val="19"/>
          <w:szCs w:val="19"/>
        </w:rPr>
      </w:pPr>
      <w:r w:rsidRPr="005D2473">
        <w:rPr>
          <w:rFonts w:ascii="Fira Sans" w:hAnsi="Fira Sans" w:cs="Times New Roman"/>
          <w:sz w:val="19"/>
          <w:szCs w:val="19"/>
        </w:rPr>
        <w:t>bilans przepływów międzygałęziowyc</w:t>
      </w:r>
      <w:r w:rsidR="009C6645" w:rsidRPr="005D2473">
        <w:rPr>
          <w:rFonts w:ascii="Fira Sans" w:hAnsi="Fira Sans" w:cs="Times New Roman"/>
          <w:sz w:val="19"/>
          <w:szCs w:val="19"/>
        </w:rPr>
        <w:t>h</w:t>
      </w:r>
      <w:r w:rsidRPr="005D2473">
        <w:rPr>
          <w:rFonts w:ascii="Fira Sans" w:hAnsi="Fira Sans" w:cs="Times New Roman"/>
          <w:sz w:val="19"/>
          <w:szCs w:val="19"/>
        </w:rPr>
        <w:t xml:space="preserve"> </w:t>
      </w:r>
      <w:r w:rsidR="009C6645" w:rsidRPr="005D2473">
        <w:rPr>
          <w:rFonts w:ascii="Fira Sans" w:hAnsi="Fira Sans" w:cs="Times New Roman"/>
          <w:sz w:val="19"/>
          <w:szCs w:val="19"/>
        </w:rPr>
        <w:t>–</w:t>
      </w:r>
      <w:r w:rsidR="00BB23BE" w:rsidRPr="005D2473">
        <w:rPr>
          <w:rFonts w:ascii="Fira Sans" w:hAnsi="Fira Sans" w:cs="Times New Roman"/>
          <w:sz w:val="19"/>
          <w:szCs w:val="19"/>
        </w:rPr>
        <w:t xml:space="preserve"> </w:t>
      </w:r>
      <w:r w:rsidRPr="005D2473">
        <w:rPr>
          <w:rFonts w:ascii="Fira Sans" w:hAnsi="Fira Sans" w:cs="Times New Roman"/>
          <w:sz w:val="19"/>
          <w:szCs w:val="19"/>
        </w:rPr>
        <w:t xml:space="preserve">co 5 lat dla lat kończących się na 0 i 5. </w:t>
      </w:r>
    </w:p>
    <w:p w:rsidR="001F2B3B" w:rsidRPr="00746AF9" w:rsidRDefault="001F2B3B" w:rsidP="005D2473">
      <w:pPr>
        <w:autoSpaceDE w:val="0"/>
        <w:autoSpaceDN w:val="0"/>
        <w:adjustRightInd w:val="0"/>
        <w:spacing w:before="240" w:after="240" w:line="360" w:lineRule="auto"/>
        <w:ind w:left="284" w:right="401"/>
        <w:jc w:val="both"/>
        <w:rPr>
          <w:rFonts w:ascii="Fira Sans" w:eastAsiaTheme="minorHAnsi" w:hAnsi="Fira Sans" w:cs="Times New Roman"/>
          <w:sz w:val="19"/>
          <w:szCs w:val="19"/>
          <w:lang w:eastAsia="en-US"/>
        </w:rPr>
      </w:pPr>
      <w:r w:rsidRPr="00746AF9">
        <w:rPr>
          <w:rFonts w:ascii="Fira Sans" w:eastAsiaTheme="minorHAnsi" w:hAnsi="Fira Sans" w:cs="Times New Roman"/>
          <w:b/>
          <w:bCs/>
          <w:i/>
          <w:iCs/>
          <w:sz w:val="19"/>
          <w:szCs w:val="19"/>
          <w:lang w:eastAsia="en-US"/>
        </w:rPr>
        <w:t xml:space="preserve">Rewizje główne </w:t>
      </w:r>
      <w:r w:rsidRPr="00746AF9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przeprowadzane są każdorazowo po wprowadzeniu rewizji głównych </w:t>
      </w:r>
      <w:r w:rsidR="00BB23BE">
        <w:rPr>
          <w:rFonts w:ascii="Fira Sans" w:eastAsiaTheme="minorHAnsi" w:hAnsi="Fira Sans" w:cs="Times New Roman"/>
          <w:sz w:val="19"/>
          <w:szCs w:val="19"/>
          <w:lang w:eastAsia="en-US"/>
        </w:rPr>
        <w:t>do</w:t>
      </w:r>
      <w:r w:rsidR="00BB23BE" w:rsidRPr="00746AF9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</w:t>
      </w:r>
      <w:r w:rsidRPr="00746AF9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ostatecznej wersji rocznego szacunku PKB </w:t>
      </w:r>
      <w:r w:rsidR="001C678A">
        <w:rPr>
          <w:rFonts w:ascii="Fira Sans" w:eastAsiaTheme="minorHAnsi" w:hAnsi="Fira Sans" w:cs="Times New Roman"/>
          <w:sz w:val="19"/>
          <w:szCs w:val="19"/>
          <w:lang w:eastAsia="en-US"/>
        </w:rPr>
        <w:t>dla roku N</w:t>
      </w:r>
      <w:r w:rsidR="00824F5F">
        <w:rPr>
          <w:rFonts w:ascii="Fira Sans" w:eastAsiaTheme="minorHAnsi" w:hAnsi="Fira Sans" w:cs="Times New Roman"/>
          <w:sz w:val="19"/>
          <w:szCs w:val="19"/>
          <w:lang w:eastAsia="en-US"/>
        </w:rPr>
        <w:t>-3</w:t>
      </w:r>
      <w:r w:rsidRPr="00746AF9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. </w:t>
      </w:r>
    </w:p>
    <w:p w:rsidR="006C537E" w:rsidRPr="00746AF9" w:rsidRDefault="006C537E" w:rsidP="005D2473">
      <w:pPr>
        <w:autoSpaceDE w:val="0"/>
        <w:autoSpaceDN w:val="0"/>
        <w:adjustRightInd w:val="0"/>
        <w:spacing w:after="0" w:line="360" w:lineRule="auto"/>
        <w:ind w:left="284" w:right="401"/>
        <w:rPr>
          <w:rFonts w:ascii="Fira Sans" w:eastAsiaTheme="minorHAnsi" w:hAnsi="Fira Sans" w:cs="Times New Roman"/>
          <w:b/>
          <w:bCs/>
          <w:sz w:val="19"/>
          <w:szCs w:val="19"/>
          <w:lang w:eastAsia="en-US"/>
        </w:rPr>
      </w:pPr>
    </w:p>
    <w:p w:rsidR="001F2B3B" w:rsidRPr="00746AF9" w:rsidRDefault="00BB71AA" w:rsidP="005D2473">
      <w:pPr>
        <w:pStyle w:val="Nagwek1"/>
        <w:numPr>
          <w:ilvl w:val="0"/>
          <w:numId w:val="28"/>
        </w:numPr>
      </w:pPr>
      <w:r w:rsidRPr="00746AF9">
        <w:lastRenderedPageBreak/>
        <w:t xml:space="preserve">Rewizje w badaniach parytetu siły nabywczej (PPP) </w:t>
      </w:r>
    </w:p>
    <w:p w:rsidR="001F2B3B" w:rsidRPr="004157FA" w:rsidRDefault="001F2B3B" w:rsidP="005D2473">
      <w:pPr>
        <w:autoSpaceDE w:val="0"/>
        <w:autoSpaceDN w:val="0"/>
        <w:adjustRightInd w:val="0"/>
        <w:spacing w:before="240" w:after="0" w:line="360" w:lineRule="auto"/>
        <w:ind w:left="284" w:right="401"/>
        <w:rPr>
          <w:rFonts w:ascii="Fira Sans" w:eastAsiaTheme="minorHAnsi" w:hAnsi="Fira Sans" w:cs="Times New Roman"/>
          <w:b/>
          <w:bCs/>
          <w:i/>
          <w:iCs/>
          <w:sz w:val="19"/>
          <w:szCs w:val="19"/>
          <w:lang w:eastAsia="en-US"/>
        </w:rPr>
      </w:pPr>
      <w:r w:rsidRPr="004157FA">
        <w:rPr>
          <w:rFonts w:ascii="Fira Sans" w:eastAsiaTheme="minorHAnsi" w:hAnsi="Fira Sans" w:cs="Times New Roman"/>
          <w:b/>
          <w:bCs/>
          <w:i/>
          <w:iCs/>
          <w:sz w:val="19"/>
          <w:szCs w:val="19"/>
          <w:lang w:eastAsia="en-US"/>
        </w:rPr>
        <w:t>Rewizje rutynowe</w:t>
      </w:r>
    </w:p>
    <w:p w:rsidR="001F2B3B" w:rsidRPr="00071DF9" w:rsidRDefault="00071DF9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sz w:val="19"/>
          <w:szCs w:val="19"/>
          <w:lang w:eastAsia="en-US"/>
        </w:rPr>
      </w:pPr>
      <w:r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Pełen cykl </w:t>
      </w:r>
      <w:r w:rsidR="001F2B3B" w:rsidRPr="00071DF9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badania parytetu siły nabywczej walut (PPP) </w:t>
      </w:r>
      <w:r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przewiduje </w:t>
      </w:r>
      <w:r w:rsidR="005B647B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przeprowadzenie </w:t>
      </w:r>
      <w:r w:rsidR="005300FD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następujących </w:t>
      </w:r>
      <w:r w:rsidR="001F2B3B" w:rsidRPr="00071DF9">
        <w:rPr>
          <w:rFonts w:ascii="Fira Sans" w:eastAsiaTheme="minorHAnsi" w:hAnsi="Fira Sans" w:cs="Times New Roman"/>
          <w:sz w:val="19"/>
          <w:szCs w:val="19"/>
          <w:lang w:eastAsia="en-US"/>
        </w:rPr>
        <w:t>rewizj</w:t>
      </w:r>
      <w:r w:rsidR="005B647B">
        <w:rPr>
          <w:rFonts w:ascii="Fira Sans" w:eastAsiaTheme="minorHAnsi" w:hAnsi="Fira Sans" w:cs="Times New Roman"/>
          <w:sz w:val="19"/>
          <w:szCs w:val="19"/>
          <w:lang w:eastAsia="en-US"/>
        </w:rPr>
        <w:t>i</w:t>
      </w:r>
      <w:r w:rsidR="001F2B3B" w:rsidRPr="00071DF9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rutynow</w:t>
      </w:r>
      <w:r w:rsidR="005B647B">
        <w:rPr>
          <w:rFonts w:ascii="Fira Sans" w:eastAsiaTheme="minorHAnsi" w:hAnsi="Fira Sans" w:cs="Times New Roman"/>
          <w:sz w:val="19"/>
          <w:szCs w:val="19"/>
          <w:lang w:eastAsia="en-US"/>
        </w:rPr>
        <w:t>ych</w:t>
      </w:r>
      <w:r>
        <w:rPr>
          <w:rFonts w:ascii="Fira Sans" w:eastAsiaTheme="minorHAnsi" w:hAnsi="Fira Sans" w:cs="Times New Roman"/>
          <w:sz w:val="19"/>
          <w:szCs w:val="19"/>
          <w:lang w:eastAsia="en-US"/>
        </w:rPr>
        <w:t>:</w:t>
      </w:r>
      <w:r w:rsidR="001F2B3B" w:rsidRPr="00071DF9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</w:t>
      </w:r>
    </w:p>
    <w:p w:rsidR="00E76BBA" w:rsidRPr="005D2473" w:rsidRDefault="00E76BBA" w:rsidP="005D247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right="401"/>
        <w:jc w:val="both"/>
        <w:rPr>
          <w:rFonts w:ascii="Fira Sans" w:hAnsi="Fira Sans" w:cs="Times New Roman"/>
          <w:sz w:val="19"/>
          <w:szCs w:val="19"/>
        </w:rPr>
      </w:pPr>
      <w:r w:rsidRPr="005D2473">
        <w:rPr>
          <w:rFonts w:ascii="Fira Sans" w:hAnsi="Fira Sans" w:cs="Times New Roman"/>
          <w:sz w:val="19"/>
          <w:szCs w:val="19"/>
        </w:rPr>
        <w:t xml:space="preserve">w marcu publikowany jest tzw. „szybki szacunek” PPP i PKB wyrażonego w Standardzie Siły Nabywczej (PPS) za rok </w:t>
      </w:r>
      <w:r w:rsidR="00D15FCE" w:rsidRPr="005D2473">
        <w:rPr>
          <w:rFonts w:ascii="Fira Sans" w:hAnsi="Fira Sans" w:cs="Times New Roman"/>
          <w:sz w:val="19"/>
          <w:szCs w:val="19"/>
        </w:rPr>
        <w:t>N</w:t>
      </w:r>
      <w:r w:rsidR="00C04448" w:rsidRPr="005D2473">
        <w:rPr>
          <w:rFonts w:ascii="Fira Sans" w:hAnsi="Fira Sans" w:cs="Times New Roman"/>
          <w:sz w:val="19"/>
          <w:szCs w:val="19"/>
        </w:rPr>
        <w:t>-1</w:t>
      </w:r>
      <w:r w:rsidRPr="005D2473">
        <w:rPr>
          <w:rFonts w:ascii="Fira Sans" w:hAnsi="Fira Sans" w:cs="Times New Roman"/>
          <w:sz w:val="19"/>
          <w:szCs w:val="19"/>
        </w:rPr>
        <w:t xml:space="preserve">, obliczony </w:t>
      </w:r>
      <w:r w:rsidR="00071DF9" w:rsidRPr="005D2473">
        <w:rPr>
          <w:rFonts w:ascii="Fira Sans" w:hAnsi="Fira Sans" w:cs="Times New Roman"/>
          <w:sz w:val="19"/>
          <w:szCs w:val="19"/>
        </w:rPr>
        <w:t xml:space="preserve">na podstawie wstępnie zweryfikowanych danych cenowych </w:t>
      </w:r>
      <w:r w:rsidRPr="005D2473">
        <w:rPr>
          <w:rFonts w:ascii="Fira Sans" w:hAnsi="Fira Sans" w:cs="Times New Roman"/>
          <w:sz w:val="19"/>
          <w:szCs w:val="19"/>
        </w:rPr>
        <w:t xml:space="preserve">za rok </w:t>
      </w:r>
      <w:r w:rsidR="00D15FCE" w:rsidRPr="005D2473">
        <w:rPr>
          <w:rFonts w:ascii="Fira Sans" w:hAnsi="Fira Sans" w:cs="Times New Roman"/>
          <w:sz w:val="19"/>
          <w:szCs w:val="19"/>
        </w:rPr>
        <w:t>N</w:t>
      </w:r>
      <w:r w:rsidR="00C04448" w:rsidRPr="005D2473">
        <w:rPr>
          <w:rFonts w:ascii="Fira Sans" w:hAnsi="Fira Sans" w:cs="Times New Roman"/>
          <w:sz w:val="19"/>
          <w:szCs w:val="19"/>
        </w:rPr>
        <w:t>-1</w:t>
      </w:r>
      <w:r w:rsidRPr="005D2473">
        <w:rPr>
          <w:rFonts w:ascii="Fira Sans" w:hAnsi="Fira Sans" w:cs="Times New Roman"/>
          <w:sz w:val="19"/>
          <w:szCs w:val="19"/>
        </w:rPr>
        <w:t>,</w:t>
      </w:r>
    </w:p>
    <w:p w:rsidR="001F2B3B" w:rsidRPr="005D2473" w:rsidRDefault="00071DF9" w:rsidP="005D247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right="401"/>
        <w:jc w:val="both"/>
        <w:rPr>
          <w:rFonts w:ascii="Fira Sans" w:hAnsi="Fira Sans" w:cs="Times New Roman"/>
          <w:sz w:val="19"/>
          <w:szCs w:val="19"/>
        </w:rPr>
      </w:pPr>
      <w:r w:rsidRPr="005D2473">
        <w:rPr>
          <w:rFonts w:ascii="Fira Sans" w:hAnsi="Fira Sans" w:cs="Times New Roman"/>
          <w:sz w:val="19"/>
          <w:szCs w:val="19"/>
        </w:rPr>
        <w:t xml:space="preserve">w czerwcu udostępniany jest </w:t>
      </w:r>
      <w:r w:rsidR="001F2B3B" w:rsidRPr="005D2473">
        <w:rPr>
          <w:rFonts w:ascii="Fira Sans" w:hAnsi="Fira Sans" w:cs="Times New Roman"/>
          <w:sz w:val="19"/>
          <w:szCs w:val="19"/>
        </w:rPr>
        <w:t>wstępny szacunek PPP i PKB</w:t>
      </w:r>
      <w:r w:rsidR="00860BFB" w:rsidRPr="005D2473">
        <w:rPr>
          <w:rFonts w:ascii="Fira Sans" w:hAnsi="Fira Sans" w:cs="Times New Roman"/>
          <w:sz w:val="19"/>
          <w:szCs w:val="19"/>
        </w:rPr>
        <w:t xml:space="preserve"> w 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PPS za rok </w:t>
      </w:r>
      <w:r w:rsidR="00D15FCE" w:rsidRPr="005D2473">
        <w:rPr>
          <w:rFonts w:ascii="Fira Sans" w:hAnsi="Fira Sans" w:cs="Times New Roman"/>
          <w:sz w:val="19"/>
          <w:szCs w:val="19"/>
        </w:rPr>
        <w:t>N</w:t>
      </w:r>
      <w:r w:rsidR="00C04448" w:rsidRPr="005D2473">
        <w:rPr>
          <w:rFonts w:ascii="Fira Sans" w:hAnsi="Fira Sans" w:cs="Times New Roman"/>
          <w:sz w:val="19"/>
          <w:szCs w:val="19"/>
        </w:rPr>
        <w:t>-1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 (prognoza), </w:t>
      </w:r>
      <w:r w:rsidRPr="005D2473">
        <w:rPr>
          <w:rFonts w:ascii="Fira Sans" w:hAnsi="Fira Sans" w:cs="Times New Roman"/>
          <w:sz w:val="19"/>
          <w:szCs w:val="19"/>
        </w:rPr>
        <w:t xml:space="preserve">obliczony na podstawie danych 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z roku </w:t>
      </w:r>
      <w:r w:rsidR="00D15FCE" w:rsidRPr="005D2473">
        <w:rPr>
          <w:rFonts w:ascii="Fira Sans" w:hAnsi="Fira Sans" w:cs="Times New Roman"/>
          <w:sz w:val="19"/>
          <w:szCs w:val="19"/>
        </w:rPr>
        <w:t>N</w:t>
      </w:r>
      <w:r w:rsidR="00C04448" w:rsidRPr="005D2473">
        <w:rPr>
          <w:rFonts w:ascii="Fira Sans" w:hAnsi="Fira Sans" w:cs="Times New Roman"/>
          <w:sz w:val="19"/>
          <w:szCs w:val="19"/>
        </w:rPr>
        <w:t>-1</w:t>
      </w:r>
      <w:r w:rsidR="00E76BBA" w:rsidRPr="005D2473">
        <w:rPr>
          <w:rFonts w:ascii="Fira Sans" w:hAnsi="Fira Sans" w:cs="Times New Roman"/>
          <w:sz w:val="19"/>
          <w:szCs w:val="19"/>
        </w:rPr>
        <w:t>, uzupełnion</w:t>
      </w:r>
      <w:r w:rsidRPr="005D2473">
        <w:rPr>
          <w:rFonts w:ascii="Fira Sans" w:hAnsi="Fira Sans" w:cs="Times New Roman"/>
          <w:sz w:val="19"/>
          <w:szCs w:val="19"/>
        </w:rPr>
        <w:t>ych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 o dane z roku </w:t>
      </w:r>
      <w:r w:rsidR="00D15FCE" w:rsidRPr="005D2473">
        <w:rPr>
          <w:rFonts w:ascii="Fira Sans" w:hAnsi="Fira Sans" w:cs="Times New Roman"/>
          <w:sz w:val="19"/>
          <w:szCs w:val="19"/>
        </w:rPr>
        <w:t>N</w:t>
      </w:r>
      <w:r w:rsidR="001F2B3B" w:rsidRPr="005D2473">
        <w:rPr>
          <w:rFonts w:ascii="Fira Sans" w:hAnsi="Fira Sans" w:cs="Times New Roman"/>
          <w:sz w:val="19"/>
          <w:szCs w:val="19"/>
        </w:rPr>
        <w:t>-</w:t>
      </w:r>
      <w:r w:rsidR="00C04448" w:rsidRPr="005D2473">
        <w:rPr>
          <w:rFonts w:ascii="Fira Sans" w:hAnsi="Fira Sans" w:cs="Times New Roman"/>
          <w:sz w:val="19"/>
          <w:szCs w:val="19"/>
        </w:rPr>
        <w:t>2</w:t>
      </w:r>
      <w:r w:rsidR="001F2B3B" w:rsidRPr="005D2473">
        <w:rPr>
          <w:rFonts w:ascii="Fira Sans" w:hAnsi="Fira Sans" w:cs="Times New Roman"/>
          <w:sz w:val="19"/>
          <w:szCs w:val="19"/>
        </w:rPr>
        <w:t xml:space="preserve">, </w:t>
      </w:r>
    </w:p>
    <w:p w:rsidR="001F2B3B" w:rsidRPr="005D2473" w:rsidRDefault="001F2B3B" w:rsidP="005D247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right="401"/>
        <w:jc w:val="both"/>
        <w:rPr>
          <w:rFonts w:ascii="Fira Sans" w:hAnsi="Fira Sans" w:cs="Times New Roman"/>
          <w:sz w:val="19"/>
          <w:szCs w:val="19"/>
        </w:rPr>
      </w:pPr>
      <w:r w:rsidRPr="005D2473">
        <w:rPr>
          <w:rFonts w:ascii="Fira Sans" w:hAnsi="Fira Sans" w:cs="Times New Roman"/>
          <w:sz w:val="19"/>
          <w:szCs w:val="19"/>
        </w:rPr>
        <w:t xml:space="preserve">w grudniu publikowane </w:t>
      </w:r>
      <w:r w:rsidR="00071DF9" w:rsidRPr="005D2473">
        <w:rPr>
          <w:rFonts w:ascii="Fira Sans" w:hAnsi="Fira Sans" w:cs="Times New Roman"/>
          <w:sz w:val="19"/>
          <w:szCs w:val="19"/>
        </w:rPr>
        <w:t xml:space="preserve">są </w:t>
      </w:r>
      <w:r w:rsidRPr="005D2473">
        <w:rPr>
          <w:rFonts w:ascii="Fira Sans" w:hAnsi="Fira Sans" w:cs="Times New Roman"/>
          <w:sz w:val="19"/>
          <w:szCs w:val="19"/>
        </w:rPr>
        <w:t xml:space="preserve">skorygowane wyniki za rok </w:t>
      </w:r>
      <w:r w:rsidR="00D15FCE" w:rsidRPr="005D2473">
        <w:rPr>
          <w:rFonts w:ascii="Fira Sans" w:hAnsi="Fira Sans" w:cs="Times New Roman"/>
          <w:sz w:val="19"/>
          <w:szCs w:val="19"/>
        </w:rPr>
        <w:t>N</w:t>
      </w:r>
      <w:r w:rsidR="00C04448" w:rsidRPr="005D2473">
        <w:rPr>
          <w:rFonts w:ascii="Fira Sans" w:hAnsi="Fira Sans" w:cs="Times New Roman"/>
          <w:sz w:val="19"/>
          <w:szCs w:val="19"/>
        </w:rPr>
        <w:t>-1</w:t>
      </w:r>
      <w:r w:rsidRPr="005D2473">
        <w:rPr>
          <w:rFonts w:ascii="Fira Sans" w:hAnsi="Fira Sans" w:cs="Times New Roman"/>
          <w:sz w:val="19"/>
          <w:szCs w:val="19"/>
        </w:rPr>
        <w:t xml:space="preserve">, uwzględniające ostatnie dostępne dane cenowe oraz wagi wydatków PKB, zrewidowane wstępne wyniki za rok </w:t>
      </w:r>
      <w:r w:rsidR="00D15FCE" w:rsidRPr="005D2473">
        <w:rPr>
          <w:rFonts w:ascii="Fira Sans" w:hAnsi="Fira Sans" w:cs="Times New Roman"/>
          <w:sz w:val="19"/>
          <w:szCs w:val="19"/>
        </w:rPr>
        <w:t>N</w:t>
      </w:r>
      <w:r w:rsidR="00C04448" w:rsidRPr="005D2473">
        <w:rPr>
          <w:rFonts w:ascii="Fira Sans" w:hAnsi="Fira Sans" w:cs="Times New Roman"/>
          <w:sz w:val="19"/>
          <w:szCs w:val="19"/>
        </w:rPr>
        <w:t>-2</w:t>
      </w:r>
      <w:r w:rsidRPr="005D2473">
        <w:rPr>
          <w:rFonts w:ascii="Fira Sans" w:hAnsi="Fira Sans" w:cs="Times New Roman"/>
          <w:sz w:val="19"/>
          <w:szCs w:val="19"/>
        </w:rPr>
        <w:t xml:space="preserve">, uwzględniające </w:t>
      </w:r>
      <w:r w:rsidR="00E76BBA" w:rsidRPr="005D2473">
        <w:rPr>
          <w:rFonts w:ascii="Fira Sans" w:hAnsi="Fira Sans" w:cs="Times New Roman"/>
          <w:sz w:val="19"/>
          <w:szCs w:val="19"/>
        </w:rPr>
        <w:t xml:space="preserve">zaktualizowane </w:t>
      </w:r>
      <w:r w:rsidRPr="005D2473">
        <w:rPr>
          <w:rFonts w:ascii="Fira Sans" w:hAnsi="Fira Sans" w:cs="Times New Roman"/>
          <w:sz w:val="19"/>
          <w:szCs w:val="19"/>
        </w:rPr>
        <w:t xml:space="preserve">dane </w:t>
      </w:r>
      <w:r w:rsidR="00E76BBA" w:rsidRPr="005D2473">
        <w:rPr>
          <w:rFonts w:ascii="Fira Sans" w:hAnsi="Fira Sans" w:cs="Times New Roman"/>
          <w:sz w:val="19"/>
          <w:szCs w:val="19"/>
        </w:rPr>
        <w:t xml:space="preserve">cenowe i </w:t>
      </w:r>
      <w:r w:rsidRPr="005D2473">
        <w:rPr>
          <w:rFonts w:ascii="Fira Sans" w:hAnsi="Fira Sans" w:cs="Times New Roman"/>
          <w:sz w:val="19"/>
          <w:szCs w:val="19"/>
        </w:rPr>
        <w:t>wag</w:t>
      </w:r>
      <w:r w:rsidR="00E76BBA" w:rsidRPr="005D2473">
        <w:rPr>
          <w:rFonts w:ascii="Fira Sans" w:hAnsi="Fira Sans" w:cs="Times New Roman"/>
          <w:sz w:val="19"/>
          <w:szCs w:val="19"/>
        </w:rPr>
        <w:t>i</w:t>
      </w:r>
      <w:r w:rsidRPr="005D2473">
        <w:rPr>
          <w:rFonts w:ascii="Fira Sans" w:hAnsi="Fira Sans" w:cs="Times New Roman"/>
          <w:sz w:val="19"/>
          <w:szCs w:val="19"/>
        </w:rPr>
        <w:t xml:space="preserve"> wydatków PKB</w:t>
      </w:r>
      <w:r w:rsidR="00C04448" w:rsidRPr="005D2473">
        <w:rPr>
          <w:rFonts w:ascii="Fira Sans" w:hAnsi="Fira Sans" w:cs="Times New Roman"/>
          <w:sz w:val="19"/>
          <w:szCs w:val="19"/>
        </w:rPr>
        <w:t xml:space="preserve"> oraz </w:t>
      </w:r>
      <w:r w:rsidRPr="005D2473">
        <w:rPr>
          <w:rFonts w:ascii="Fira Sans" w:hAnsi="Fira Sans" w:cs="Times New Roman"/>
          <w:sz w:val="19"/>
          <w:szCs w:val="19"/>
        </w:rPr>
        <w:t xml:space="preserve">ostateczne wyniki za rok </w:t>
      </w:r>
      <w:r w:rsidR="00D15FCE" w:rsidRPr="005D2473">
        <w:rPr>
          <w:rFonts w:ascii="Fira Sans" w:hAnsi="Fira Sans" w:cs="Times New Roman"/>
          <w:sz w:val="19"/>
          <w:szCs w:val="19"/>
        </w:rPr>
        <w:t>N</w:t>
      </w:r>
      <w:r w:rsidR="00C04448" w:rsidRPr="005D2473">
        <w:rPr>
          <w:rFonts w:ascii="Fira Sans" w:hAnsi="Fira Sans" w:cs="Times New Roman"/>
          <w:sz w:val="19"/>
          <w:szCs w:val="19"/>
        </w:rPr>
        <w:t>-3</w:t>
      </w:r>
      <w:r w:rsidRPr="005D2473">
        <w:rPr>
          <w:rFonts w:ascii="Fira Sans" w:hAnsi="Fira Sans" w:cs="Times New Roman"/>
          <w:sz w:val="19"/>
          <w:szCs w:val="19"/>
        </w:rPr>
        <w:t xml:space="preserve">. </w:t>
      </w:r>
    </w:p>
    <w:p w:rsidR="001F2B3B" w:rsidRPr="004157FA" w:rsidRDefault="001F2B3B" w:rsidP="005D2473">
      <w:pPr>
        <w:pStyle w:val="Akapitzlist"/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hAnsi="Fira Sans" w:cs="Times New Roman"/>
          <w:sz w:val="19"/>
          <w:szCs w:val="19"/>
        </w:rPr>
      </w:pPr>
    </w:p>
    <w:p w:rsidR="001F2B3B" w:rsidRPr="00071DF9" w:rsidRDefault="001F2B3B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sz w:val="19"/>
          <w:szCs w:val="19"/>
          <w:lang w:eastAsia="en-US"/>
        </w:rPr>
      </w:pPr>
      <w:r w:rsidRPr="00071DF9">
        <w:rPr>
          <w:rFonts w:ascii="Fira Sans" w:eastAsiaTheme="minorHAnsi" w:hAnsi="Fira Sans" w:cs="Times New Roman"/>
          <w:sz w:val="19"/>
          <w:szCs w:val="19"/>
          <w:lang w:eastAsia="en-US"/>
        </w:rPr>
        <w:t>Po ogłoszeniu ostatecznych wyników</w:t>
      </w:r>
      <w:r w:rsidR="00071DF9">
        <w:rPr>
          <w:rFonts w:ascii="Fira Sans" w:eastAsiaTheme="minorHAnsi" w:hAnsi="Fira Sans" w:cs="Times New Roman"/>
          <w:sz w:val="19"/>
          <w:szCs w:val="19"/>
          <w:lang w:eastAsia="en-US"/>
        </w:rPr>
        <w:t>,</w:t>
      </w:r>
      <w:r w:rsidRPr="00071DF9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</w:t>
      </w:r>
      <w:r w:rsidR="004157FA">
        <w:rPr>
          <w:rFonts w:ascii="Fira Sans" w:eastAsiaTheme="minorHAnsi" w:hAnsi="Fira Sans" w:cs="Times New Roman"/>
          <w:sz w:val="19"/>
          <w:szCs w:val="19"/>
          <w:lang w:eastAsia="en-US"/>
        </w:rPr>
        <w:t>kolejne</w:t>
      </w:r>
      <w:r w:rsidR="004157FA" w:rsidRPr="00071DF9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</w:t>
      </w:r>
      <w:r w:rsidRPr="00071DF9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rewizje nie są </w:t>
      </w:r>
      <w:r w:rsidR="004157FA">
        <w:rPr>
          <w:rFonts w:ascii="Fira Sans" w:eastAsiaTheme="minorHAnsi" w:hAnsi="Fira Sans" w:cs="Times New Roman"/>
          <w:sz w:val="19"/>
          <w:szCs w:val="19"/>
          <w:lang w:eastAsia="en-US"/>
        </w:rPr>
        <w:t>wprowadzane</w:t>
      </w:r>
      <w:r w:rsidR="004157FA" w:rsidRPr="004157FA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</w:t>
      </w:r>
      <w:r w:rsidR="004157FA" w:rsidRPr="00071DF9">
        <w:rPr>
          <w:rFonts w:ascii="Fira Sans" w:eastAsiaTheme="minorHAnsi" w:hAnsi="Fira Sans" w:cs="Times New Roman"/>
          <w:sz w:val="19"/>
          <w:szCs w:val="19"/>
          <w:lang w:eastAsia="en-US"/>
        </w:rPr>
        <w:t>przez kraje uczestniczące w programie międzynarodowych porównań PKB</w:t>
      </w:r>
      <w:r w:rsidRPr="00071DF9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, bez względu na </w:t>
      </w:r>
      <w:r w:rsidR="004157FA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dalsze </w:t>
      </w:r>
      <w:r w:rsidRPr="00071DF9">
        <w:rPr>
          <w:rFonts w:ascii="Fira Sans" w:eastAsiaTheme="minorHAnsi" w:hAnsi="Fira Sans" w:cs="Times New Roman"/>
          <w:sz w:val="19"/>
          <w:szCs w:val="19"/>
          <w:lang w:eastAsia="en-US"/>
        </w:rPr>
        <w:t>zmiany szacunków w obszarze rachunków narodowych</w:t>
      </w:r>
      <w:r w:rsidR="004157FA">
        <w:rPr>
          <w:rFonts w:ascii="Fira Sans" w:eastAsiaTheme="minorHAnsi" w:hAnsi="Fira Sans" w:cs="Times New Roman"/>
          <w:sz w:val="19"/>
          <w:szCs w:val="19"/>
          <w:lang w:eastAsia="en-US"/>
        </w:rPr>
        <w:t>.</w:t>
      </w:r>
    </w:p>
    <w:p w:rsidR="001F2B3B" w:rsidRPr="00071DF9" w:rsidRDefault="001F2B3B" w:rsidP="005D2473">
      <w:pPr>
        <w:autoSpaceDE w:val="0"/>
        <w:autoSpaceDN w:val="0"/>
        <w:adjustRightInd w:val="0"/>
        <w:spacing w:after="0" w:line="360" w:lineRule="auto"/>
        <w:ind w:left="284" w:right="401"/>
        <w:rPr>
          <w:rFonts w:ascii="Fira Sans" w:eastAsiaTheme="minorHAnsi" w:hAnsi="Fira Sans" w:cs="Times New Roman"/>
          <w:sz w:val="19"/>
          <w:szCs w:val="19"/>
          <w:lang w:eastAsia="en-US"/>
        </w:rPr>
      </w:pPr>
    </w:p>
    <w:p w:rsidR="001F2B3B" w:rsidRPr="004157FA" w:rsidRDefault="001F2B3B" w:rsidP="005D2473">
      <w:pPr>
        <w:autoSpaceDE w:val="0"/>
        <w:autoSpaceDN w:val="0"/>
        <w:adjustRightInd w:val="0"/>
        <w:spacing w:after="0" w:line="360" w:lineRule="auto"/>
        <w:ind w:left="284" w:right="401"/>
        <w:rPr>
          <w:rFonts w:ascii="Fira Sans" w:eastAsiaTheme="minorHAnsi" w:hAnsi="Fira Sans" w:cs="Times New Roman"/>
          <w:sz w:val="19"/>
          <w:szCs w:val="19"/>
          <w:lang w:eastAsia="en-US"/>
        </w:rPr>
      </w:pPr>
      <w:r w:rsidRPr="004157FA">
        <w:rPr>
          <w:rFonts w:ascii="Fira Sans" w:eastAsiaTheme="minorHAnsi" w:hAnsi="Fira Sans" w:cs="Times New Roman"/>
          <w:b/>
          <w:bCs/>
          <w:i/>
          <w:iCs/>
          <w:sz w:val="19"/>
          <w:szCs w:val="19"/>
          <w:lang w:eastAsia="en-US"/>
        </w:rPr>
        <w:t xml:space="preserve">Rewizje główne </w:t>
      </w:r>
    </w:p>
    <w:p w:rsidR="001F2B3B" w:rsidRDefault="004157FA" w:rsidP="005D2473">
      <w:pPr>
        <w:spacing w:after="160" w:line="360" w:lineRule="auto"/>
        <w:ind w:left="284" w:right="401"/>
        <w:jc w:val="both"/>
        <w:rPr>
          <w:rFonts w:ascii="Fira Sans" w:eastAsiaTheme="minorHAnsi" w:hAnsi="Fira Sans" w:cs="Times New Roman"/>
          <w:sz w:val="19"/>
          <w:szCs w:val="19"/>
          <w:lang w:eastAsia="en-US"/>
        </w:rPr>
      </w:pPr>
      <w:r>
        <w:rPr>
          <w:rFonts w:ascii="Fira Sans" w:eastAsiaTheme="minorHAnsi" w:hAnsi="Fira Sans" w:cs="Times New Roman"/>
          <w:sz w:val="19"/>
          <w:szCs w:val="19"/>
          <w:lang w:eastAsia="en-US"/>
        </w:rPr>
        <w:t>Rewizje główne w badaniach parytetu siły nabywczej (PPP) mają miejsce wyłącznie w</w:t>
      </w:r>
      <w:r w:rsidR="001F2B3B" w:rsidRPr="004157FA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przypadku </w:t>
      </w:r>
      <w:r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istotnych </w:t>
      </w:r>
      <w:r w:rsidR="001F2B3B" w:rsidRPr="004157FA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zmian </w:t>
      </w:r>
      <w:r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w </w:t>
      </w:r>
      <w:r w:rsidR="001F2B3B" w:rsidRPr="004157FA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metodologii obliczania PPP, </w:t>
      </w:r>
      <w:r>
        <w:rPr>
          <w:rFonts w:ascii="Fira Sans" w:eastAsiaTheme="minorHAnsi" w:hAnsi="Fira Sans" w:cs="Times New Roman"/>
          <w:sz w:val="19"/>
          <w:szCs w:val="19"/>
          <w:lang w:eastAsia="en-US"/>
        </w:rPr>
        <w:t>systemie</w:t>
      </w:r>
      <w:r w:rsidRPr="004157FA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</w:t>
      </w:r>
      <w:r w:rsidR="001F2B3B" w:rsidRPr="004157FA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rachunków narodowych (np. wdrożenie </w:t>
      </w:r>
      <w:r w:rsidR="001F2B3B" w:rsidRPr="004157FA">
        <w:rPr>
          <w:rFonts w:ascii="Fira Sans" w:eastAsiaTheme="minorHAnsi" w:hAnsi="Fira Sans" w:cs="Times New Roman"/>
          <w:sz w:val="19"/>
          <w:szCs w:val="19"/>
          <w:lang w:eastAsia="en-US"/>
        </w:rPr>
        <w:lastRenderedPageBreak/>
        <w:t xml:space="preserve">zrewidowanego ESA), </w:t>
      </w:r>
      <w:r>
        <w:rPr>
          <w:rFonts w:ascii="Fira Sans" w:eastAsiaTheme="minorHAnsi" w:hAnsi="Fira Sans" w:cs="Times New Roman"/>
          <w:sz w:val="19"/>
          <w:szCs w:val="19"/>
          <w:lang w:eastAsia="en-US"/>
        </w:rPr>
        <w:t>klasyfikacjach,</w:t>
      </w:r>
      <w:r w:rsidR="001F2B3B" w:rsidRPr="004157FA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itp. </w:t>
      </w:r>
      <w:r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Dokonanie rewizji pełnego szeregu danych </w:t>
      </w:r>
      <w:r w:rsidR="001F2B3B" w:rsidRPr="004157FA">
        <w:rPr>
          <w:rFonts w:ascii="Fira Sans" w:eastAsiaTheme="minorHAnsi" w:hAnsi="Fira Sans" w:cs="Times New Roman"/>
          <w:sz w:val="19"/>
          <w:szCs w:val="19"/>
          <w:lang w:eastAsia="en-US"/>
        </w:rPr>
        <w:t>wymaga zgody wszystkich krajów uczestniczących w Eurostat-OECD PPP Program.</w:t>
      </w:r>
    </w:p>
    <w:p w:rsidR="007B5204" w:rsidRDefault="007B5204" w:rsidP="005D2473">
      <w:pPr>
        <w:spacing w:after="160" w:line="360" w:lineRule="auto"/>
        <w:ind w:left="284" w:right="401"/>
        <w:jc w:val="both"/>
        <w:rPr>
          <w:rFonts w:ascii="Fira Sans" w:eastAsiaTheme="minorHAnsi" w:hAnsi="Fira Sans" w:cs="Times New Roman"/>
          <w:sz w:val="19"/>
          <w:szCs w:val="19"/>
          <w:lang w:eastAsia="en-US"/>
        </w:rPr>
      </w:pPr>
    </w:p>
    <w:p w:rsidR="00F2202E" w:rsidRDefault="00F2202E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iCs/>
          <w:sz w:val="19"/>
          <w:szCs w:val="19"/>
          <w:lang w:eastAsia="en-US"/>
        </w:rPr>
      </w:pPr>
    </w:p>
    <w:p w:rsidR="00F2202E" w:rsidRPr="00184490" w:rsidRDefault="001302D3" w:rsidP="005D247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401"/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184490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Informowanie użytkowników o planowanych rewizjach rachunków narodowych</w:t>
      </w:r>
    </w:p>
    <w:p w:rsidR="000F4249" w:rsidRDefault="00184490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eastAsiaTheme="minorHAnsi" w:hAnsi="Fira Sans" w:cs="Times New Roman"/>
          <w:sz w:val="19"/>
          <w:szCs w:val="19"/>
          <w:lang w:eastAsia="en-US"/>
        </w:rPr>
      </w:pPr>
      <w:r>
        <w:rPr>
          <w:rFonts w:ascii="Fira Sans" w:eastAsiaTheme="minorHAnsi" w:hAnsi="Fira Sans" w:cs="Times New Roman"/>
          <w:sz w:val="19"/>
          <w:szCs w:val="19"/>
          <w:lang w:eastAsia="en-US"/>
        </w:rPr>
        <w:t>H</w:t>
      </w:r>
      <w:r w:rsidR="008B25B8" w:rsidRPr="003117B8">
        <w:rPr>
          <w:rFonts w:ascii="Fira Sans" w:eastAsiaTheme="minorHAnsi" w:hAnsi="Fira Sans" w:cs="Times New Roman"/>
          <w:sz w:val="19"/>
          <w:szCs w:val="19"/>
          <w:lang w:eastAsia="en-US"/>
        </w:rPr>
        <w:t>armonogram planowanych rewizji danych statystycznych</w:t>
      </w:r>
      <w:r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dostępny jest na</w:t>
      </w:r>
      <w:r w:rsidR="008B25B8" w:rsidRPr="003117B8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Portalu Informacyjnym GUS. Harmonogram ten zawiera wykaz wszystkich zaplanowanych na dany rok rewizji</w:t>
      </w:r>
      <w:r w:rsidR="001302D3">
        <w:rPr>
          <w:rFonts w:ascii="Fira Sans" w:eastAsiaTheme="minorHAnsi" w:hAnsi="Fira Sans" w:cs="Times New Roman"/>
          <w:sz w:val="19"/>
          <w:szCs w:val="19"/>
          <w:lang w:eastAsia="en-US"/>
        </w:rPr>
        <w:t>, w tym rewizji danych z rachunków narodowych,</w:t>
      </w:r>
      <w:r w:rsidR="008B25B8" w:rsidRPr="003117B8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</w:t>
      </w:r>
      <w:r w:rsidR="003117B8">
        <w:rPr>
          <w:rFonts w:ascii="Fira Sans" w:eastAsiaTheme="minorHAnsi" w:hAnsi="Fira Sans" w:cs="Times New Roman"/>
          <w:sz w:val="19"/>
          <w:szCs w:val="19"/>
          <w:lang w:eastAsia="en-US"/>
        </w:rPr>
        <w:t>oraz termin udostępnienia danych.</w:t>
      </w:r>
      <w:r w:rsidR="008B25B8" w:rsidRPr="003117B8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Dodatkowo informacja o istotnych planowanych rewizjach wynikających ze zmian klasyfikacji, standardów, metodologii, definicji podawana jest w </w:t>
      </w:r>
      <w:r w:rsidR="003117B8">
        <w:rPr>
          <w:rFonts w:ascii="Fira Sans" w:eastAsiaTheme="minorHAnsi" w:hAnsi="Fira Sans" w:cs="Times New Roman"/>
          <w:sz w:val="19"/>
          <w:szCs w:val="19"/>
          <w:lang w:eastAsia="en-US"/>
        </w:rPr>
        <w:t>dedykowanych</w:t>
      </w:r>
      <w:r w:rsidR="008B25B8" w:rsidRPr="003117B8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notatkach informacyjnych na Portalu Informacyjnym GUS</w:t>
      </w:r>
      <w:r w:rsidR="003117B8">
        <w:rPr>
          <w:rFonts w:ascii="Fira Sans" w:eastAsiaTheme="minorHAnsi" w:hAnsi="Fira Sans" w:cs="Times New Roman"/>
          <w:sz w:val="19"/>
          <w:szCs w:val="19"/>
          <w:lang w:eastAsia="en-US"/>
        </w:rPr>
        <w:t>. W dniu publikacji zrewidowanych danych, GUS udostępnia także szczegółowe informacje na temat tytułów zmian oraz ich wpływ na główne agregaty rachunków narodowych.</w:t>
      </w:r>
      <w:r w:rsidR="008B25B8" w:rsidRPr="003117B8">
        <w:rPr>
          <w:rFonts w:ascii="Fira Sans" w:eastAsiaTheme="minorHAnsi" w:hAnsi="Fira Sans" w:cs="Times New Roman"/>
          <w:sz w:val="19"/>
          <w:szCs w:val="19"/>
          <w:lang w:eastAsia="en-US"/>
        </w:rPr>
        <w:t xml:space="preserve"> </w:t>
      </w:r>
    </w:p>
    <w:p w:rsidR="003832D4" w:rsidRPr="003117B8" w:rsidRDefault="003832D4" w:rsidP="005D2473">
      <w:pPr>
        <w:autoSpaceDE w:val="0"/>
        <w:autoSpaceDN w:val="0"/>
        <w:adjustRightInd w:val="0"/>
        <w:spacing w:after="0" w:line="360" w:lineRule="auto"/>
        <w:ind w:left="284" w:right="401"/>
        <w:jc w:val="both"/>
        <w:rPr>
          <w:rFonts w:ascii="Fira Sans" w:hAnsi="Fira Sans" w:cstheme="minorHAnsi"/>
          <w:b/>
          <w:sz w:val="19"/>
          <w:szCs w:val="19"/>
        </w:rPr>
      </w:pPr>
    </w:p>
    <w:sectPr w:rsidR="003832D4" w:rsidRPr="003117B8" w:rsidSect="00CF0060"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D9" w:rsidRDefault="00D62ED9" w:rsidP="00410926">
      <w:pPr>
        <w:spacing w:after="0" w:line="240" w:lineRule="auto"/>
      </w:pPr>
      <w:r>
        <w:separator/>
      </w:r>
    </w:p>
  </w:endnote>
  <w:endnote w:type="continuationSeparator" w:id="0">
    <w:p w:rsidR="00D62ED9" w:rsidRDefault="00D62ED9" w:rsidP="0041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638371"/>
      <w:docPartObj>
        <w:docPartGallery w:val="Page Numbers (Bottom of Page)"/>
        <w:docPartUnique/>
      </w:docPartObj>
    </w:sdtPr>
    <w:sdtEndPr/>
    <w:sdtContent>
      <w:p w:rsidR="007222C2" w:rsidRDefault="007222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F45">
          <w:rPr>
            <w:noProof/>
          </w:rPr>
          <w:t>1</w:t>
        </w:r>
        <w:r>
          <w:fldChar w:fldCharType="end"/>
        </w:r>
      </w:p>
    </w:sdtContent>
  </w:sdt>
  <w:p w:rsidR="007222C2" w:rsidRDefault="007222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D9" w:rsidRDefault="00D62ED9" w:rsidP="00410926">
      <w:pPr>
        <w:spacing w:after="0" w:line="240" w:lineRule="auto"/>
      </w:pPr>
      <w:r>
        <w:separator/>
      </w:r>
    </w:p>
  </w:footnote>
  <w:footnote w:type="continuationSeparator" w:id="0">
    <w:p w:rsidR="00D62ED9" w:rsidRDefault="00D62ED9" w:rsidP="00410926">
      <w:pPr>
        <w:spacing w:after="0" w:line="240" w:lineRule="auto"/>
      </w:pPr>
      <w:r>
        <w:continuationSeparator/>
      </w:r>
    </w:p>
  </w:footnote>
  <w:footnote w:id="1">
    <w:p w:rsidR="007222C2" w:rsidRPr="00726E2A" w:rsidRDefault="007222C2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6E2A">
        <w:rPr>
          <w:rFonts w:ascii="Fira Sans" w:hAnsi="Fira Sans"/>
          <w:sz w:val="16"/>
          <w:szCs w:val="16"/>
        </w:rPr>
        <w:t xml:space="preserve">Szczegółowe informacje na temat terminów, częstotliwości, zakresów i głębokości rewizji w rachunkach narodowych zgodnych z HERP podane są w podręczniku Eurostatu </w:t>
      </w:r>
      <w:r w:rsidRPr="00726E2A">
        <w:rPr>
          <w:rStyle w:val="Uwydatnienie"/>
          <w:rFonts w:ascii="Fira Sans" w:hAnsi="Fira Sans"/>
          <w:sz w:val="16"/>
          <w:szCs w:val="16"/>
        </w:rPr>
        <w:t>Practical guidelines for revising ESA 2010 data</w:t>
      </w:r>
      <w:r w:rsidRPr="00726E2A">
        <w:rPr>
          <w:rFonts w:ascii="Fira Sans" w:hAnsi="Fira Sans"/>
          <w:sz w:val="16"/>
          <w:szCs w:val="16"/>
        </w:rPr>
        <w:t xml:space="preserve">, edycja 2019. Podręcznik dostępny jest na stronie </w:t>
      </w:r>
      <w:hyperlink r:id="rId1" w:history="1">
        <w:r w:rsidRPr="00726E2A">
          <w:rPr>
            <w:rStyle w:val="Hipercze"/>
            <w:rFonts w:ascii="Fira Sans" w:hAnsi="Fira Sans"/>
            <w:sz w:val="16"/>
            <w:szCs w:val="16"/>
          </w:rPr>
          <w:t>https://ec.europa.eu/eurostat/documents/3859598/9530664/KS-GQ-18-012-EN-N.pdf/19dc3542-aa34-4b6b-a981-8a4f244074e8</w:t>
        </w:r>
      </w:hyperlink>
    </w:p>
  </w:footnote>
  <w:footnote w:id="2">
    <w:p w:rsidR="007222C2" w:rsidRPr="00726E2A" w:rsidRDefault="007222C2">
      <w:pPr>
        <w:pStyle w:val="Tekstprzypisudolnego"/>
        <w:rPr>
          <w:rFonts w:ascii="Fira Sans" w:hAnsi="Fira Sans"/>
          <w:sz w:val="16"/>
          <w:szCs w:val="16"/>
        </w:rPr>
      </w:pPr>
      <w:r w:rsidRPr="00726E2A">
        <w:rPr>
          <w:rStyle w:val="Odwoanieprzypisudolnego"/>
          <w:rFonts w:ascii="Fira Sans" w:hAnsi="Fira Sans"/>
          <w:sz w:val="16"/>
          <w:szCs w:val="16"/>
        </w:rPr>
        <w:footnoteRef/>
      </w:r>
      <w:r w:rsidRPr="00726E2A">
        <w:rPr>
          <w:rFonts w:ascii="Fira Sans" w:hAnsi="Fira Sans"/>
          <w:sz w:val="16"/>
          <w:szCs w:val="16"/>
        </w:rPr>
        <w:t xml:space="preserve"> Pełen tekst rozporządzenia dostępny jest na stronie </w:t>
      </w:r>
      <w:hyperlink r:id="rId2" w:history="1">
        <w:r w:rsidRPr="00726E2A">
          <w:rPr>
            <w:rStyle w:val="Hipercze"/>
            <w:rFonts w:ascii="Fira Sans" w:hAnsi="Fira Sans"/>
            <w:sz w:val="16"/>
            <w:szCs w:val="16"/>
          </w:rPr>
          <w:t>https://eur-lex.europa.eu/legal-content/PL/TXT/PDF/?uri=CELEX:32009R0223</w:t>
        </w:r>
      </w:hyperlink>
    </w:p>
  </w:footnote>
  <w:footnote w:id="3">
    <w:p w:rsidR="007222C2" w:rsidRPr="00726E2A" w:rsidRDefault="007222C2">
      <w:pPr>
        <w:pStyle w:val="Tekstprzypisudolnego"/>
        <w:rPr>
          <w:rFonts w:ascii="Fira Sans" w:hAnsi="Fira Sans"/>
          <w:sz w:val="16"/>
          <w:szCs w:val="16"/>
        </w:rPr>
      </w:pPr>
      <w:r w:rsidRPr="00726E2A">
        <w:rPr>
          <w:rStyle w:val="Odwoanieprzypisudolnego"/>
          <w:rFonts w:ascii="Fira Sans" w:hAnsi="Fira Sans"/>
          <w:sz w:val="16"/>
          <w:szCs w:val="16"/>
        </w:rPr>
        <w:footnoteRef/>
      </w:r>
      <w:r w:rsidRPr="00726E2A">
        <w:rPr>
          <w:rFonts w:ascii="Fira Sans" w:hAnsi="Fira Sans"/>
          <w:sz w:val="16"/>
          <w:szCs w:val="16"/>
        </w:rPr>
        <w:t xml:space="preserve"> Pełen tekst rozporządzenia ESA 2010 dostępny jest na stronie </w:t>
      </w:r>
      <w:hyperlink r:id="rId3" w:history="1">
        <w:r w:rsidRPr="00726E2A">
          <w:rPr>
            <w:rStyle w:val="Hipercze"/>
            <w:rFonts w:ascii="Fira Sans" w:hAnsi="Fira Sans"/>
            <w:sz w:val="16"/>
            <w:szCs w:val="16"/>
          </w:rPr>
          <w:t>https://stat.gov.pl/obszary-tematyczne/rachunki-narodowe/europejski-system-rachunkow-narodowych-i-regionalnych-esa-2010/rozporzadzenie-parlamentu-europejskiego-i-rady-ue-nr-5492013-z-dnia-21-maja-2013-r-,1,1.html</w:t>
        </w:r>
      </w:hyperlink>
    </w:p>
  </w:footnote>
  <w:footnote w:id="4">
    <w:p w:rsidR="007222C2" w:rsidRPr="00726E2A" w:rsidRDefault="007222C2">
      <w:pPr>
        <w:pStyle w:val="Tekstprzypisudolnego"/>
        <w:rPr>
          <w:rFonts w:ascii="Fira Sans" w:hAnsi="Fira Sans"/>
          <w:sz w:val="16"/>
          <w:szCs w:val="16"/>
        </w:rPr>
      </w:pPr>
      <w:r w:rsidRPr="00726E2A">
        <w:rPr>
          <w:rStyle w:val="Odwoanieprzypisudolnego"/>
          <w:rFonts w:ascii="Fira Sans" w:hAnsi="Fira Sans"/>
          <w:sz w:val="16"/>
          <w:szCs w:val="16"/>
        </w:rPr>
        <w:footnoteRef/>
      </w:r>
      <w:r w:rsidRPr="00726E2A">
        <w:rPr>
          <w:rFonts w:ascii="Fira Sans" w:hAnsi="Fira Sans"/>
          <w:sz w:val="16"/>
          <w:szCs w:val="16"/>
        </w:rPr>
        <w:t xml:space="preserve"> Pełen tekst Europejskiego Kodeksu Praktyk Statystycznych dostępny jest na stronie </w:t>
      </w:r>
      <w:hyperlink r:id="rId4" w:history="1">
        <w:r w:rsidRPr="00726E2A">
          <w:rPr>
            <w:rStyle w:val="Hipercze"/>
            <w:rFonts w:ascii="Fira Sans" w:hAnsi="Fira Sans"/>
            <w:sz w:val="16"/>
            <w:szCs w:val="16"/>
          </w:rPr>
          <w:t>https://bip.stat.gov.pl/files/gfx/bip/pl/defaultstronaopisowa/667/1/1/europejski_kodeks_praktyk_statystycznych_2.pdf</w:t>
        </w:r>
      </w:hyperlink>
    </w:p>
  </w:footnote>
  <w:footnote w:id="5">
    <w:p w:rsidR="007222C2" w:rsidRPr="00726E2A" w:rsidRDefault="007222C2" w:rsidP="00826568">
      <w:pPr>
        <w:pStyle w:val="Tekstprzypisudolnego"/>
        <w:rPr>
          <w:rFonts w:ascii="Fira Sans" w:hAnsi="Fira Sans"/>
          <w:sz w:val="16"/>
          <w:szCs w:val="16"/>
        </w:rPr>
      </w:pPr>
      <w:r w:rsidRPr="00726E2A">
        <w:rPr>
          <w:rStyle w:val="Odwoanieprzypisudolnego"/>
          <w:rFonts w:ascii="Fira Sans" w:hAnsi="Fira Sans"/>
          <w:sz w:val="16"/>
          <w:szCs w:val="16"/>
        </w:rPr>
        <w:footnoteRef/>
      </w:r>
      <w:r w:rsidRPr="00726E2A">
        <w:rPr>
          <w:rFonts w:ascii="Fira Sans" w:hAnsi="Fira Sans"/>
          <w:sz w:val="16"/>
          <w:szCs w:val="16"/>
        </w:rPr>
        <w:t xml:space="preserve"> Numery tablic transmisyjnych wg TP ESA 2010 nieobjętych HERP: T3, T5, T10, T11, T12, T13, T15, T16, T17, T20, T22, T26, T29.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C2" w:rsidRDefault="007222C2" w:rsidP="00841230">
    <w:pPr>
      <w:spacing w:after="0"/>
      <w:ind w:left="637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69A"/>
    <w:multiLevelType w:val="multilevel"/>
    <w:tmpl w:val="850EE4C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" w15:restartNumberingAfterBreak="0">
    <w:nsid w:val="064252BA"/>
    <w:multiLevelType w:val="hybridMultilevel"/>
    <w:tmpl w:val="E780B2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5154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653B9"/>
    <w:multiLevelType w:val="hybridMultilevel"/>
    <w:tmpl w:val="07EA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5E6E"/>
    <w:multiLevelType w:val="hybridMultilevel"/>
    <w:tmpl w:val="BFEC5A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614D69"/>
    <w:multiLevelType w:val="hybridMultilevel"/>
    <w:tmpl w:val="F27AC9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0E028F"/>
    <w:multiLevelType w:val="hybridMultilevel"/>
    <w:tmpl w:val="B7CCAF8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0F312E"/>
    <w:multiLevelType w:val="hybridMultilevel"/>
    <w:tmpl w:val="C248C4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164D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551F57"/>
    <w:multiLevelType w:val="multilevel"/>
    <w:tmpl w:val="4B72CEF2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5F377A"/>
    <w:multiLevelType w:val="hybridMultilevel"/>
    <w:tmpl w:val="2716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467C7"/>
    <w:multiLevelType w:val="hybridMultilevel"/>
    <w:tmpl w:val="3B50C6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1C39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72648E"/>
    <w:multiLevelType w:val="hybridMultilevel"/>
    <w:tmpl w:val="B6FC8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5953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EC62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EE197B"/>
    <w:multiLevelType w:val="multilevel"/>
    <w:tmpl w:val="12CC9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A573E9"/>
    <w:multiLevelType w:val="multilevel"/>
    <w:tmpl w:val="92240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666CEC"/>
    <w:multiLevelType w:val="hybridMultilevel"/>
    <w:tmpl w:val="F7148612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E242C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FF4893"/>
    <w:multiLevelType w:val="hybridMultilevel"/>
    <w:tmpl w:val="D730FB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4907FC6"/>
    <w:multiLevelType w:val="hybridMultilevel"/>
    <w:tmpl w:val="364EA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12B8B"/>
    <w:multiLevelType w:val="hybridMultilevel"/>
    <w:tmpl w:val="635886BE"/>
    <w:lvl w:ilvl="0" w:tplc="FFCE16C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FC66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227111"/>
    <w:multiLevelType w:val="hybridMultilevel"/>
    <w:tmpl w:val="AEEAD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C5DFA"/>
    <w:multiLevelType w:val="hybridMultilevel"/>
    <w:tmpl w:val="039842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44265B"/>
    <w:multiLevelType w:val="hybridMultilevel"/>
    <w:tmpl w:val="15DC019A"/>
    <w:lvl w:ilvl="0" w:tplc="767C13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4D6F16"/>
    <w:multiLevelType w:val="hybridMultilevel"/>
    <w:tmpl w:val="F774E0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2346334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9" w15:restartNumberingAfterBreak="0">
    <w:nsid w:val="53035C67"/>
    <w:multiLevelType w:val="hybridMultilevel"/>
    <w:tmpl w:val="6E2A9B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7ED6BBB"/>
    <w:multiLevelType w:val="hybridMultilevel"/>
    <w:tmpl w:val="8D28CD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D054E87"/>
    <w:multiLevelType w:val="hybridMultilevel"/>
    <w:tmpl w:val="7876D7C0"/>
    <w:lvl w:ilvl="0" w:tplc="C1C6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20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786E63"/>
    <w:multiLevelType w:val="hybridMultilevel"/>
    <w:tmpl w:val="4E3251D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3E03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8746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390E98"/>
    <w:multiLevelType w:val="hybridMultilevel"/>
    <w:tmpl w:val="3B1E3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B51C6"/>
    <w:multiLevelType w:val="hybridMultilevel"/>
    <w:tmpl w:val="BAACF4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9F406C9"/>
    <w:multiLevelType w:val="hybridMultilevel"/>
    <w:tmpl w:val="0A268E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A5A5E81"/>
    <w:multiLevelType w:val="hybridMultilevel"/>
    <w:tmpl w:val="7A50EE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D4D7451"/>
    <w:multiLevelType w:val="hybridMultilevel"/>
    <w:tmpl w:val="27F2F3D2"/>
    <w:lvl w:ilvl="0" w:tplc="66F8A4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EA50D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4100E6"/>
    <w:multiLevelType w:val="hybridMultilevel"/>
    <w:tmpl w:val="587051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C1760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0"/>
  </w:num>
  <w:num w:numId="4">
    <w:abstractNumId w:val="33"/>
  </w:num>
  <w:num w:numId="5">
    <w:abstractNumId w:val="22"/>
  </w:num>
  <w:num w:numId="6">
    <w:abstractNumId w:val="18"/>
  </w:num>
  <w:num w:numId="7">
    <w:abstractNumId w:val="25"/>
  </w:num>
  <w:num w:numId="8">
    <w:abstractNumId w:val="31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21"/>
  </w:num>
  <w:num w:numId="14">
    <w:abstractNumId w:val="24"/>
  </w:num>
  <w:num w:numId="15">
    <w:abstractNumId w:val="37"/>
  </w:num>
  <w:num w:numId="16">
    <w:abstractNumId w:val="4"/>
  </w:num>
  <w:num w:numId="17">
    <w:abstractNumId w:val="36"/>
  </w:num>
  <w:num w:numId="18">
    <w:abstractNumId w:val="40"/>
  </w:num>
  <w:num w:numId="19">
    <w:abstractNumId w:val="17"/>
  </w:num>
  <w:num w:numId="20">
    <w:abstractNumId w:val="23"/>
  </w:num>
  <w:num w:numId="21">
    <w:abstractNumId w:val="34"/>
  </w:num>
  <w:num w:numId="22">
    <w:abstractNumId w:val="32"/>
  </w:num>
  <w:num w:numId="23">
    <w:abstractNumId w:val="43"/>
  </w:num>
  <w:num w:numId="24">
    <w:abstractNumId w:val="12"/>
  </w:num>
  <w:num w:numId="25">
    <w:abstractNumId w:val="15"/>
  </w:num>
  <w:num w:numId="26">
    <w:abstractNumId w:val="8"/>
  </w:num>
  <w:num w:numId="27">
    <w:abstractNumId w:val="14"/>
  </w:num>
  <w:num w:numId="28">
    <w:abstractNumId w:val="2"/>
  </w:num>
  <w:num w:numId="29">
    <w:abstractNumId w:val="20"/>
  </w:num>
  <w:num w:numId="30">
    <w:abstractNumId w:val="28"/>
  </w:num>
  <w:num w:numId="31">
    <w:abstractNumId w:val="9"/>
  </w:num>
  <w:num w:numId="32">
    <w:abstractNumId w:val="19"/>
  </w:num>
  <w:num w:numId="33">
    <w:abstractNumId w:val="41"/>
  </w:num>
  <w:num w:numId="34">
    <w:abstractNumId w:val="16"/>
  </w:num>
  <w:num w:numId="35">
    <w:abstractNumId w:val="35"/>
  </w:num>
  <w:num w:numId="36">
    <w:abstractNumId w:val="0"/>
  </w:num>
  <w:num w:numId="37">
    <w:abstractNumId w:val="39"/>
  </w:num>
  <w:num w:numId="38">
    <w:abstractNumId w:val="42"/>
  </w:num>
  <w:num w:numId="39">
    <w:abstractNumId w:val="11"/>
  </w:num>
  <w:num w:numId="40">
    <w:abstractNumId w:val="29"/>
  </w:num>
  <w:num w:numId="41">
    <w:abstractNumId w:val="27"/>
  </w:num>
  <w:num w:numId="42">
    <w:abstractNumId w:val="38"/>
  </w:num>
  <w:num w:numId="43">
    <w:abstractNumId w:val="30"/>
  </w:num>
  <w:num w:numId="44">
    <w:abstractNumId w:val="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1C"/>
    <w:rsid w:val="00001E2B"/>
    <w:rsid w:val="00002447"/>
    <w:rsid w:val="00006600"/>
    <w:rsid w:val="00012F74"/>
    <w:rsid w:val="00015628"/>
    <w:rsid w:val="00015AF6"/>
    <w:rsid w:val="00020412"/>
    <w:rsid w:val="000373E3"/>
    <w:rsid w:val="000714A2"/>
    <w:rsid w:val="00071DF9"/>
    <w:rsid w:val="000736A6"/>
    <w:rsid w:val="00075EC0"/>
    <w:rsid w:val="0007731F"/>
    <w:rsid w:val="00080C5E"/>
    <w:rsid w:val="000956A9"/>
    <w:rsid w:val="00095C2E"/>
    <w:rsid w:val="000A12FF"/>
    <w:rsid w:val="000A155B"/>
    <w:rsid w:val="000A52C2"/>
    <w:rsid w:val="000C0BB3"/>
    <w:rsid w:val="000D1C8D"/>
    <w:rsid w:val="000D3FF2"/>
    <w:rsid w:val="000D5567"/>
    <w:rsid w:val="000D55B6"/>
    <w:rsid w:val="000E232A"/>
    <w:rsid w:val="000F22F5"/>
    <w:rsid w:val="000F4249"/>
    <w:rsid w:val="000F7659"/>
    <w:rsid w:val="00106B58"/>
    <w:rsid w:val="00111D3A"/>
    <w:rsid w:val="0012118E"/>
    <w:rsid w:val="001216AE"/>
    <w:rsid w:val="001302D3"/>
    <w:rsid w:val="0013473F"/>
    <w:rsid w:val="00145C46"/>
    <w:rsid w:val="0016060C"/>
    <w:rsid w:val="001731A2"/>
    <w:rsid w:val="0018128D"/>
    <w:rsid w:val="00184490"/>
    <w:rsid w:val="001B17BC"/>
    <w:rsid w:val="001B3F16"/>
    <w:rsid w:val="001B41DD"/>
    <w:rsid w:val="001B4E8B"/>
    <w:rsid w:val="001C4D2E"/>
    <w:rsid w:val="001C678A"/>
    <w:rsid w:val="001D4521"/>
    <w:rsid w:val="001F2B3B"/>
    <w:rsid w:val="001F36E5"/>
    <w:rsid w:val="001F4AC7"/>
    <w:rsid w:val="001F7F5D"/>
    <w:rsid w:val="00225492"/>
    <w:rsid w:val="00226C23"/>
    <w:rsid w:val="002415AF"/>
    <w:rsid w:val="00241CBD"/>
    <w:rsid w:val="00243210"/>
    <w:rsid w:val="00247BED"/>
    <w:rsid w:val="00253C87"/>
    <w:rsid w:val="002628B1"/>
    <w:rsid w:val="00264F58"/>
    <w:rsid w:val="00283987"/>
    <w:rsid w:val="00293065"/>
    <w:rsid w:val="00296F8D"/>
    <w:rsid w:val="002A58F2"/>
    <w:rsid w:val="002C44EA"/>
    <w:rsid w:val="002D47EB"/>
    <w:rsid w:val="002E37EF"/>
    <w:rsid w:val="002F1B0C"/>
    <w:rsid w:val="00300891"/>
    <w:rsid w:val="003059BB"/>
    <w:rsid w:val="003117B8"/>
    <w:rsid w:val="00313414"/>
    <w:rsid w:val="00314DF6"/>
    <w:rsid w:val="003251F3"/>
    <w:rsid w:val="0032637B"/>
    <w:rsid w:val="0034637E"/>
    <w:rsid w:val="0036560C"/>
    <w:rsid w:val="00366A5E"/>
    <w:rsid w:val="00372B5B"/>
    <w:rsid w:val="003742B8"/>
    <w:rsid w:val="003745F8"/>
    <w:rsid w:val="003832D4"/>
    <w:rsid w:val="003970F3"/>
    <w:rsid w:val="003A01D1"/>
    <w:rsid w:val="003A14D8"/>
    <w:rsid w:val="003A1675"/>
    <w:rsid w:val="003A6F45"/>
    <w:rsid w:val="003D6BEE"/>
    <w:rsid w:val="003D74A1"/>
    <w:rsid w:val="004046A2"/>
    <w:rsid w:val="00410926"/>
    <w:rsid w:val="00412D30"/>
    <w:rsid w:val="004157FA"/>
    <w:rsid w:val="00420E9F"/>
    <w:rsid w:val="00421AD1"/>
    <w:rsid w:val="004364C4"/>
    <w:rsid w:val="00463C69"/>
    <w:rsid w:val="0046788F"/>
    <w:rsid w:val="00480651"/>
    <w:rsid w:val="00497A7D"/>
    <w:rsid w:val="004A3AE3"/>
    <w:rsid w:val="004A5ACA"/>
    <w:rsid w:val="004B148B"/>
    <w:rsid w:val="004C0246"/>
    <w:rsid w:val="004C5405"/>
    <w:rsid w:val="004C753D"/>
    <w:rsid w:val="004D1D32"/>
    <w:rsid w:val="004E1151"/>
    <w:rsid w:val="004F607B"/>
    <w:rsid w:val="0051524C"/>
    <w:rsid w:val="00522040"/>
    <w:rsid w:val="00527BB7"/>
    <w:rsid w:val="005300FD"/>
    <w:rsid w:val="00541BBA"/>
    <w:rsid w:val="00547CDF"/>
    <w:rsid w:val="00551C85"/>
    <w:rsid w:val="005543CC"/>
    <w:rsid w:val="00555835"/>
    <w:rsid w:val="00566CD5"/>
    <w:rsid w:val="0057192A"/>
    <w:rsid w:val="00582514"/>
    <w:rsid w:val="00587F5F"/>
    <w:rsid w:val="00592300"/>
    <w:rsid w:val="005A35B4"/>
    <w:rsid w:val="005A4847"/>
    <w:rsid w:val="005A502F"/>
    <w:rsid w:val="005A7637"/>
    <w:rsid w:val="005B647B"/>
    <w:rsid w:val="005C3A64"/>
    <w:rsid w:val="005C6235"/>
    <w:rsid w:val="005C6720"/>
    <w:rsid w:val="005D1031"/>
    <w:rsid w:val="005D2473"/>
    <w:rsid w:val="005E1DAD"/>
    <w:rsid w:val="005F14CE"/>
    <w:rsid w:val="005F273A"/>
    <w:rsid w:val="005F5DE5"/>
    <w:rsid w:val="006001F9"/>
    <w:rsid w:val="00601FA0"/>
    <w:rsid w:val="00602710"/>
    <w:rsid w:val="00604CA0"/>
    <w:rsid w:val="006154AC"/>
    <w:rsid w:val="006302D5"/>
    <w:rsid w:val="006323FD"/>
    <w:rsid w:val="006540F6"/>
    <w:rsid w:val="006727E2"/>
    <w:rsid w:val="00680E32"/>
    <w:rsid w:val="00681877"/>
    <w:rsid w:val="00682A18"/>
    <w:rsid w:val="00684AB4"/>
    <w:rsid w:val="0068653E"/>
    <w:rsid w:val="0069284D"/>
    <w:rsid w:val="006A0D46"/>
    <w:rsid w:val="006A47A8"/>
    <w:rsid w:val="006B478B"/>
    <w:rsid w:val="006C537E"/>
    <w:rsid w:val="006D56B3"/>
    <w:rsid w:val="006D73CE"/>
    <w:rsid w:val="006E302E"/>
    <w:rsid w:val="007222C2"/>
    <w:rsid w:val="00723A2B"/>
    <w:rsid w:val="00726E2A"/>
    <w:rsid w:val="00731EE0"/>
    <w:rsid w:val="00735219"/>
    <w:rsid w:val="00740885"/>
    <w:rsid w:val="00741A39"/>
    <w:rsid w:val="00746AF9"/>
    <w:rsid w:val="00750469"/>
    <w:rsid w:val="007536A5"/>
    <w:rsid w:val="00756150"/>
    <w:rsid w:val="00756992"/>
    <w:rsid w:val="00771F2E"/>
    <w:rsid w:val="00773B34"/>
    <w:rsid w:val="007760FB"/>
    <w:rsid w:val="007815E6"/>
    <w:rsid w:val="00784128"/>
    <w:rsid w:val="007918DC"/>
    <w:rsid w:val="007B03F6"/>
    <w:rsid w:val="007B5204"/>
    <w:rsid w:val="007E3878"/>
    <w:rsid w:val="007E6851"/>
    <w:rsid w:val="00804D7A"/>
    <w:rsid w:val="00807D43"/>
    <w:rsid w:val="0081353B"/>
    <w:rsid w:val="00820F34"/>
    <w:rsid w:val="00824F5F"/>
    <w:rsid w:val="00826568"/>
    <w:rsid w:val="008265F5"/>
    <w:rsid w:val="00837D77"/>
    <w:rsid w:val="00841230"/>
    <w:rsid w:val="00860BFB"/>
    <w:rsid w:val="00880A6F"/>
    <w:rsid w:val="0088783C"/>
    <w:rsid w:val="008940E3"/>
    <w:rsid w:val="008948DA"/>
    <w:rsid w:val="008A199E"/>
    <w:rsid w:val="008A78FF"/>
    <w:rsid w:val="008B25B8"/>
    <w:rsid w:val="008C2E1A"/>
    <w:rsid w:val="008D30F1"/>
    <w:rsid w:val="008E0171"/>
    <w:rsid w:val="008E327A"/>
    <w:rsid w:val="008E5E86"/>
    <w:rsid w:val="008E7807"/>
    <w:rsid w:val="008F023B"/>
    <w:rsid w:val="00912498"/>
    <w:rsid w:val="009249F4"/>
    <w:rsid w:val="00937190"/>
    <w:rsid w:val="0094134F"/>
    <w:rsid w:val="00942D50"/>
    <w:rsid w:val="009463C2"/>
    <w:rsid w:val="00987931"/>
    <w:rsid w:val="009948CD"/>
    <w:rsid w:val="00995409"/>
    <w:rsid w:val="00996F0C"/>
    <w:rsid w:val="009A5083"/>
    <w:rsid w:val="009B05A6"/>
    <w:rsid w:val="009B1339"/>
    <w:rsid w:val="009B1D9A"/>
    <w:rsid w:val="009B26DF"/>
    <w:rsid w:val="009C252E"/>
    <w:rsid w:val="009C39D9"/>
    <w:rsid w:val="009C3FE8"/>
    <w:rsid w:val="009C543D"/>
    <w:rsid w:val="009C6645"/>
    <w:rsid w:val="009D1330"/>
    <w:rsid w:val="009F164B"/>
    <w:rsid w:val="009F362D"/>
    <w:rsid w:val="009F7081"/>
    <w:rsid w:val="00A106C6"/>
    <w:rsid w:val="00A1742F"/>
    <w:rsid w:val="00A26967"/>
    <w:rsid w:val="00A30BB0"/>
    <w:rsid w:val="00A37A1C"/>
    <w:rsid w:val="00A43A30"/>
    <w:rsid w:val="00A44F56"/>
    <w:rsid w:val="00A7273F"/>
    <w:rsid w:val="00A86E21"/>
    <w:rsid w:val="00A901A9"/>
    <w:rsid w:val="00AA3AEA"/>
    <w:rsid w:val="00AA6EEB"/>
    <w:rsid w:val="00AA7FC1"/>
    <w:rsid w:val="00AE6C77"/>
    <w:rsid w:val="00B33FDF"/>
    <w:rsid w:val="00B43837"/>
    <w:rsid w:val="00B63864"/>
    <w:rsid w:val="00B74FA0"/>
    <w:rsid w:val="00B77299"/>
    <w:rsid w:val="00B81391"/>
    <w:rsid w:val="00B82031"/>
    <w:rsid w:val="00BA1633"/>
    <w:rsid w:val="00BA7151"/>
    <w:rsid w:val="00BB23BE"/>
    <w:rsid w:val="00BB71AA"/>
    <w:rsid w:val="00BC3138"/>
    <w:rsid w:val="00BF7030"/>
    <w:rsid w:val="00C04448"/>
    <w:rsid w:val="00C04EA1"/>
    <w:rsid w:val="00C06487"/>
    <w:rsid w:val="00C078F2"/>
    <w:rsid w:val="00C14DCC"/>
    <w:rsid w:val="00C374FA"/>
    <w:rsid w:val="00C4541B"/>
    <w:rsid w:val="00C51654"/>
    <w:rsid w:val="00C62077"/>
    <w:rsid w:val="00C65394"/>
    <w:rsid w:val="00C72FBA"/>
    <w:rsid w:val="00C7672E"/>
    <w:rsid w:val="00C80ADD"/>
    <w:rsid w:val="00C8291F"/>
    <w:rsid w:val="00CB04ED"/>
    <w:rsid w:val="00CB321B"/>
    <w:rsid w:val="00CB3EF3"/>
    <w:rsid w:val="00CB69E6"/>
    <w:rsid w:val="00CC3D42"/>
    <w:rsid w:val="00CD2968"/>
    <w:rsid w:val="00CD48A6"/>
    <w:rsid w:val="00CE69DA"/>
    <w:rsid w:val="00CF0060"/>
    <w:rsid w:val="00CF01EE"/>
    <w:rsid w:val="00CF29DC"/>
    <w:rsid w:val="00CF5466"/>
    <w:rsid w:val="00CF6892"/>
    <w:rsid w:val="00D15FCE"/>
    <w:rsid w:val="00D235D9"/>
    <w:rsid w:val="00D23B0D"/>
    <w:rsid w:val="00D2769B"/>
    <w:rsid w:val="00D278C8"/>
    <w:rsid w:val="00D27DEA"/>
    <w:rsid w:val="00D44374"/>
    <w:rsid w:val="00D45269"/>
    <w:rsid w:val="00D50B2D"/>
    <w:rsid w:val="00D55A01"/>
    <w:rsid w:val="00D62ED9"/>
    <w:rsid w:val="00D63A0E"/>
    <w:rsid w:val="00D70A6B"/>
    <w:rsid w:val="00D7711C"/>
    <w:rsid w:val="00D856F5"/>
    <w:rsid w:val="00DA3E0A"/>
    <w:rsid w:val="00DC0F37"/>
    <w:rsid w:val="00DC46AD"/>
    <w:rsid w:val="00DC6B5E"/>
    <w:rsid w:val="00DD43B7"/>
    <w:rsid w:val="00DD5305"/>
    <w:rsid w:val="00DE1C64"/>
    <w:rsid w:val="00DE1E71"/>
    <w:rsid w:val="00DF08B3"/>
    <w:rsid w:val="00E02D10"/>
    <w:rsid w:val="00E04A59"/>
    <w:rsid w:val="00E04EAF"/>
    <w:rsid w:val="00E0796C"/>
    <w:rsid w:val="00E13689"/>
    <w:rsid w:val="00E316B7"/>
    <w:rsid w:val="00E3588D"/>
    <w:rsid w:val="00E538F6"/>
    <w:rsid w:val="00E5653C"/>
    <w:rsid w:val="00E61648"/>
    <w:rsid w:val="00E76BBA"/>
    <w:rsid w:val="00E7733F"/>
    <w:rsid w:val="00E9148C"/>
    <w:rsid w:val="00E92917"/>
    <w:rsid w:val="00E94B06"/>
    <w:rsid w:val="00EA0970"/>
    <w:rsid w:val="00ED1984"/>
    <w:rsid w:val="00ED4C4F"/>
    <w:rsid w:val="00ED7AF3"/>
    <w:rsid w:val="00EE06B4"/>
    <w:rsid w:val="00F0662D"/>
    <w:rsid w:val="00F15E7E"/>
    <w:rsid w:val="00F16999"/>
    <w:rsid w:val="00F2202E"/>
    <w:rsid w:val="00F41F65"/>
    <w:rsid w:val="00F779FA"/>
    <w:rsid w:val="00F83E78"/>
    <w:rsid w:val="00F9472A"/>
    <w:rsid w:val="00F9472C"/>
    <w:rsid w:val="00FA2CBA"/>
    <w:rsid w:val="00FA6B13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4C1E6F-F8D2-43BB-B782-F5406A3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2D4"/>
  </w:style>
  <w:style w:type="paragraph" w:styleId="Nagwek1">
    <w:name w:val="heading 1"/>
    <w:basedOn w:val="Normalny"/>
    <w:next w:val="Normalny"/>
    <w:link w:val="Nagwek1Znak"/>
    <w:uiPriority w:val="9"/>
    <w:qFormat/>
    <w:rsid w:val="00C07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8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78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8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8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78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78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78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78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7711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1C"/>
    <w:rPr>
      <w:rFonts w:ascii="Tahoma" w:hAnsi="Tahoma" w:cs="Tahoma"/>
      <w:sz w:val="16"/>
      <w:szCs w:val="16"/>
    </w:rPr>
  </w:style>
  <w:style w:type="paragraph" w:customStyle="1" w:styleId="Prostynagwektabeli">
    <w:name w:val="Prosty nagłówek tabeli"/>
    <w:basedOn w:val="Normalny"/>
    <w:rsid w:val="00604CA0"/>
    <w:pPr>
      <w:spacing w:before="60" w:after="60" w:line="264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rdtytu">
    <w:name w:val="Śródtytuł"/>
    <w:basedOn w:val="Normalny"/>
    <w:next w:val="Normalny"/>
    <w:rsid w:val="00604CA0"/>
    <w:pPr>
      <w:keepNext/>
      <w:spacing w:before="120" w:after="120" w:line="264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0C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926"/>
  </w:style>
  <w:style w:type="paragraph" w:styleId="Stopka">
    <w:name w:val="footer"/>
    <w:basedOn w:val="Normalny"/>
    <w:link w:val="StopkaZnak"/>
    <w:uiPriority w:val="99"/>
    <w:unhideWhenUsed/>
    <w:rsid w:val="0041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926"/>
  </w:style>
  <w:style w:type="character" w:styleId="Hipercze">
    <w:name w:val="Hyperlink"/>
    <w:basedOn w:val="Domylnaczcionkaakapitu"/>
    <w:uiPriority w:val="99"/>
    <w:unhideWhenUsed/>
    <w:rsid w:val="009371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BB0"/>
    <w:rPr>
      <w:b/>
      <w:bCs/>
      <w:sz w:val="20"/>
      <w:szCs w:val="20"/>
    </w:rPr>
  </w:style>
  <w:style w:type="paragraph" w:customStyle="1" w:styleId="DecimalAligned">
    <w:name w:val="Decimal Aligned"/>
    <w:basedOn w:val="Normalny"/>
    <w:uiPriority w:val="40"/>
    <w:qFormat/>
    <w:rsid w:val="0012118E"/>
    <w:pPr>
      <w:tabs>
        <w:tab w:val="decimal" w:pos="360"/>
      </w:tabs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118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18E"/>
    <w:rPr>
      <w:rFonts w:cs="Times New Roman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12118E"/>
    <w:rPr>
      <w:i/>
      <w:iCs/>
    </w:rPr>
  </w:style>
  <w:style w:type="table" w:styleId="Jasnecieniowanieakcent1">
    <w:name w:val="Light Shading Accent 1"/>
    <w:basedOn w:val="Standardowy"/>
    <w:uiPriority w:val="60"/>
    <w:rsid w:val="001211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ecieniowanie2akcent5">
    <w:name w:val="Medium Shading 2 Accent 5"/>
    <w:basedOn w:val="Standardowy"/>
    <w:uiPriority w:val="64"/>
    <w:rsid w:val="001211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5A502F"/>
    <w:rPr>
      <w:vertAlign w:val="superscript"/>
    </w:rPr>
  </w:style>
  <w:style w:type="character" w:customStyle="1" w:styleId="jlqj4b">
    <w:name w:val="jlqj4b"/>
    <w:basedOn w:val="Domylnaczcionkaakapitu"/>
    <w:rsid w:val="0081353B"/>
  </w:style>
  <w:style w:type="character" w:customStyle="1" w:styleId="viiyi">
    <w:name w:val="viiyi"/>
    <w:basedOn w:val="Domylnaczcionkaakapitu"/>
    <w:rsid w:val="0081353B"/>
  </w:style>
  <w:style w:type="paragraph" w:styleId="NormalnyWeb">
    <w:name w:val="Normal (Web)"/>
    <w:basedOn w:val="Normalny"/>
    <w:uiPriority w:val="99"/>
    <w:semiHidden/>
    <w:unhideWhenUsed/>
    <w:rsid w:val="001B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E1C64"/>
    <w:rPr>
      <w:i/>
      <w:iCs/>
    </w:rPr>
  </w:style>
  <w:style w:type="paragraph" w:styleId="Poprawka">
    <w:name w:val="Revision"/>
    <w:hidden/>
    <w:uiPriority w:val="99"/>
    <w:semiHidden/>
    <w:rsid w:val="00D70A6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078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78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78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78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78F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7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7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78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78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C078F2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71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at.gov.pl/obszary-tematyczne/rachunki-narodowe/europejski-system-rachunkow-narodowych-i-regionalnych-esa-2010/rozporzadzenie-parlamentu-europejskiego-i-rady-ue-nr-5492013-z-dnia-21-maja-2013-r-,1,1.html" TargetMode="External"/><Relationship Id="rId2" Type="http://schemas.openxmlformats.org/officeDocument/2006/relationships/hyperlink" Target="https://eur-lex.europa.eu/legal-content/PL/TXT/PDF/?uri=CELEX:32009R0223" TargetMode="External"/><Relationship Id="rId1" Type="http://schemas.openxmlformats.org/officeDocument/2006/relationships/hyperlink" Target="https://ec.europa.eu/eurostat/documents/3859598/9530664/KS-GQ-18-012-EN-N.pdf/19dc3542-aa34-4b6b-a981-8a4f244074e8" TargetMode="External"/><Relationship Id="rId4" Type="http://schemas.openxmlformats.org/officeDocument/2006/relationships/hyperlink" Target="https://bip.stat.gov.pl/files/gfx/bip/pl/defaultstronaopisowa/667/1/1/europejski_kodeks_praktyk_statystycznych_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CEDB-25D2-4226-9639-C78B9B0C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2510</Words>
  <Characters>15065</Characters>
  <Application>Microsoft Office Word</Application>
  <DocSecurity>4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kowalczykm</dc:creator>
  <cp:lastModifiedBy>Michalik Daniel</cp:lastModifiedBy>
  <cp:revision>2</cp:revision>
  <cp:lastPrinted>2016-11-04T14:21:00Z</cp:lastPrinted>
  <dcterms:created xsi:type="dcterms:W3CDTF">2022-03-16T06:14:00Z</dcterms:created>
  <dcterms:modified xsi:type="dcterms:W3CDTF">2022-03-16T06:14:00Z</dcterms:modified>
</cp:coreProperties>
</file>