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47" w:rsidRPr="00001C5B" w:rsidRDefault="009C156D" w:rsidP="00AD4947">
      <w:pPr>
        <w:pStyle w:val="tytuinformacji"/>
        <w:rPr>
          <w:sz w:val="32"/>
        </w:rPr>
      </w:pPr>
      <w:r>
        <w:t>Szybki szacunek wskaźnika cen towarów i u</w:t>
      </w:r>
      <w:r w:rsidR="00F32346">
        <w:t xml:space="preserve">sług konsumpcyjnych w </w:t>
      </w:r>
      <w:r w:rsidR="00245FBA">
        <w:t>sierpniu</w:t>
      </w:r>
      <w:r w:rsidR="00F32346">
        <w:t xml:space="preserve"> 2019</w:t>
      </w:r>
      <w:r>
        <w:t xml:space="preserve"> r.</w:t>
      </w:r>
      <w:r>
        <w:br/>
      </w:r>
    </w:p>
    <w:p w:rsidR="003F5245" w:rsidRPr="008A0124" w:rsidRDefault="00622953" w:rsidP="003F5245">
      <w:pPr>
        <w:pStyle w:val="LID"/>
      </w:pPr>
      <w:r w:rsidRPr="009C3DFC"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390AC19" wp14:editId="20271E70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Pr="009C3DFC" w:rsidRDefault="00D32B9F" w:rsidP="004F529E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t xml:space="preserve">      </w:t>
                            </w:r>
                            <w:r w:rsidR="009C156D" w:rsidRPr="00D538E4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301B6A" w:rsidRPr="009C3DF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9C156D" w:rsidRPr="009C3DF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Pr="009C3DF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4F529E" w:rsidRPr="009C3DFC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%</w:t>
                            </w:r>
                          </w:p>
                          <w:p w:rsidR="009C156D" w:rsidRPr="00D538E4" w:rsidRDefault="006A0D4D" w:rsidP="00D538E4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9C3DFC">
                              <w:t>brak</w:t>
                            </w:r>
                            <w:r w:rsidR="00D32B9F" w:rsidRPr="009C3DFC">
                              <w:t xml:space="preserve"> zmian</w:t>
                            </w:r>
                            <w:r w:rsidR="004F529E" w:rsidRPr="009C3DFC">
                              <w:t xml:space="preserve"> </w:t>
                            </w:r>
                            <w:r w:rsidR="009C156D" w:rsidRPr="009C3DFC">
                              <w:t xml:space="preserve">w porównaniu </w:t>
                            </w:r>
                            <w:r w:rsidR="004F529E" w:rsidRPr="009C3DFC">
                              <w:br/>
                            </w:r>
                            <w:r w:rsidR="009C156D" w:rsidRPr="009C3DFC">
                              <w:t>z poprzednim miesiącem</w:t>
                            </w:r>
                            <w:r w:rsidR="009C156D" w:rsidRPr="00D538E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0AC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82.3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    <v:textbox>
                  <w:txbxContent>
                    <w:p w:rsidR="009C156D" w:rsidRPr="009C3DFC" w:rsidRDefault="00D32B9F" w:rsidP="004F529E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color w:val="001D77"/>
                          <w:sz w:val="22"/>
                          <w:lang w:eastAsia="pl-PL"/>
                        </w:rPr>
                        <w:t xml:space="preserve">      </w:t>
                      </w:r>
                      <w:r w:rsidR="009C156D" w:rsidRPr="00D538E4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301B6A" w:rsidRPr="009C3DF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9C156D" w:rsidRPr="009C3DF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Pr="009C3DF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0</w:t>
                      </w:r>
                      <w:r w:rsidR="004F529E" w:rsidRPr="009C3DFC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%</w:t>
                      </w:r>
                    </w:p>
                    <w:p w:rsidR="009C156D" w:rsidRPr="00D538E4" w:rsidRDefault="006A0D4D" w:rsidP="00D538E4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9C3DFC">
                        <w:t>brak</w:t>
                      </w:r>
                      <w:r w:rsidR="00D32B9F" w:rsidRPr="009C3DFC">
                        <w:t xml:space="preserve"> zmian</w:t>
                      </w:r>
                      <w:r w:rsidR="004F529E" w:rsidRPr="009C3DFC">
                        <w:t xml:space="preserve"> </w:t>
                      </w:r>
                      <w:r w:rsidR="009C156D" w:rsidRPr="009C3DFC">
                        <w:t xml:space="preserve">w porównaniu </w:t>
                      </w:r>
                      <w:r w:rsidR="004F529E" w:rsidRPr="009C3DFC">
                        <w:br/>
                      </w:r>
                      <w:r w:rsidR="009C156D" w:rsidRPr="009C3DFC">
                        <w:t>z poprzednim miesiącem</w:t>
                      </w:r>
                      <w:r w:rsidR="009C156D" w:rsidRPr="00D538E4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156D" w:rsidRPr="009C3DFC">
        <w:t xml:space="preserve">Ceny towarów i usług konsumpcyjnych według szybkiego szacunku w </w:t>
      </w:r>
      <w:r w:rsidR="00245FBA" w:rsidRPr="009C3DFC">
        <w:t>sierpniu</w:t>
      </w:r>
      <w:r w:rsidR="009C156D" w:rsidRPr="009C3DFC">
        <w:t xml:space="preserve"> 201</w:t>
      </w:r>
      <w:r w:rsidR="00E8329E" w:rsidRPr="009C3DFC">
        <w:t>9</w:t>
      </w:r>
      <w:r w:rsidR="009C156D" w:rsidRPr="009C3DFC">
        <w:t xml:space="preserve"> r. </w:t>
      </w:r>
      <w:r w:rsidR="007018FE" w:rsidRPr="009C3DFC">
        <w:t xml:space="preserve">w stosunku do poprzedniego miesiąca </w:t>
      </w:r>
      <w:r w:rsidR="00D32B9F" w:rsidRPr="009C3DFC">
        <w:t>utrzymały się na tym samym poziomie (wskaźnik cen 100,0</w:t>
      </w:r>
      <w:r w:rsidR="00E8329E" w:rsidRPr="009C3DFC">
        <w:t xml:space="preserve">), </w:t>
      </w:r>
      <w:r w:rsidR="003F5245" w:rsidRPr="009C3DFC">
        <w:t>a w </w:t>
      </w:r>
      <w:r w:rsidR="009C156D" w:rsidRPr="009C3DFC">
        <w:t xml:space="preserve">porównaniu z analogicznym miesiącem ub. roku wzrosły o </w:t>
      </w:r>
      <w:r w:rsidR="00B63A9C" w:rsidRPr="009C3DFC">
        <w:t>2</w:t>
      </w:r>
      <w:r w:rsidR="009C156D" w:rsidRPr="009C3DFC">
        <w:t>,</w:t>
      </w:r>
      <w:r w:rsidR="009C3DFC" w:rsidRPr="009C3DFC">
        <w:t>8</w:t>
      </w:r>
      <w:r w:rsidR="009C156D" w:rsidRPr="009C3DFC">
        <w:t>% (wskaźnik cen 10</w:t>
      </w:r>
      <w:r w:rsidR="00B63A9C" w:rsidRPr="009C3DFC">
        <w:t>2</w:t>
      </w:r>
      <w:r w:rsidR="009C156D" w:rsidRPr="009C3DFC">
        <w:t>,</w:t>
      </w:r>
      <w:r w:rsidR="009C3DFC" w:rsidRPr="009C3DFC">
        <w:t>8</w:t>
      </w:r>
      <w:r w:rsidR="009C156D" w:rsidRPr="009C3DFC">
        <w:t>).</w:t>
      </w:r>
    </w:p>
    <w:p w:rsidR="009C156D" w:rsidRPr="008A0124" w:rsidRDefault="009C156D" w:rsidP="003F5245">
      <w:pPr>
        <w:pStyle w:val="LID"/>
      </w:pPr>
    </w:p>
    <w:p w:rsidR="006A07DC" w:rsidRPr="008A0124" w:rsidRDefault="006A07DC" w:rsidP="00FA5BDD">
      <w:pPr>
        <w:pStyle w:val="LID"/>
      </w:pPr>
    </w:p>
    <w:p w:rsidR="00AD4947" w:rsidRPr="008A0124" w:rsidRDefault="00AD4947" w:rsidP="00D538E4">
      <w:pPr>
        <w:pStyle w:val="tytuwykresu"/>
      </w:pPr>
      <w:r w:rsidRPr="00454F47">
        <w:t>Tablica 1.</w:t>
      </w:r>
      <w:r w:rsidRPr="00454F47">
        <w:rPr>
          <w:shd w:val="clear" w:color="auto" w:fill="FFFFFF"/>
        </w:rPr>
        <w:t xml:space="preserve"> </w:t>
      </w:r>
      <w:r w:rsidR="003F5245" w:rsidRPr="00454F47">
        <w:t>Szybki szacunek wskaźnika cen towarów i u</w:t>
      </w:r>
      <w:r w:rsidR="00E8329E" w:rsidRPr="00454F47">
        <w:t xml:space="preserve">sług konsumpcyjnych w </w:t>
      </w:r>
      <w:r w:rsidR="00245FBA">
        <w:t>sierpniu</w:t>
      </w:r>
      <w:r w:rsidR="00E8329E" w:rsidRPr="00454F47">
        <w:t xml:space="preserve"> 2019</w:t>
      </w:r>
      <w:r w:rsidR="003F5245" w:rsidRPr="00454F47">
        <w:t xml:space="preserve"> r.</w:t>
      </w:r>
    </w:p>
    <w:tbl>
      <w:tblPr>
        <w:tblpPr w:leftFromText="142" w:rightFromText="142" w:vertAnchor="text" w:horzAnchor="margin" w:tblpY="58"/>
        <w:tblOverlap w:val="never"/>
        <w:tblW w:w="8068" w:type="dxa"/>
        <w:tblBorders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1782"/>
        <w:gridCol w:w="1783"/>
      </w:tblGrid>
      <w:tr w:rsidR="003279D3" w:rsidRPr="008A0124" w:rsidTr="003279D3">
        <w:trPr>
          <w:trHeight w:val="57"/>
        </w:trPr>
        <w:tc>
          <w:tcPr>
            <w:tcW w:w="45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79D3" w:rsidRPr="008A0124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ascii="Fira Sans" w:hAnsi="Fira Sans" w:cs="Arial"/>
                <w:b/>
                <w:bCs w:val="0"/>
                <w:color w:val="000000"/>
                <w:sz w:val="16"/>
                <w:szCs w:val="16"/>
              </w:rPr>
            </w:pPr>
            <w:r w:rsidRPr="008A0124">
              <w:rPr>
                <w:rFonts w:ascii="Fira Sans" w:hAnsi="Fira Sans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35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279D3" w:rsidRPr="008A0124" w:rsidRDefault="00BF10BE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8A0124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D62A6B" w:rsidRPr="008A0124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0C2BC6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245FBA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E8329E" w:rsidRPr="008A0124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</w:p>
        </w:tc>
      </w:tr>
      <w:tr w:rsidR="003279D3" w:rsidRPr="008A0124" w:rsidTr="003279D3">
        <w:trPr>
          <w:trHeight w:val="57"/>
        </w:trPr>
        <w:tc>
          <w:tcPr>
            <w:tcW w:w="4503" w:type="dxa"/>
            <w:vMerge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8A0124" w:rsidRDefault="003279D3" w:rsidP="003279D3">
            <w:pPr>
              <w:pStyle w:val="Nagwek1"/>
              <w:tabs>
                <w:tab w:val="right" w:leader="dot" w:pos="4139"/>
              </w:tabs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8A0124" w:rsidRDefault="00BF10BE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8A0124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D62A6B" w:rsidRPr="008A0124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0C2BC6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245FBA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E8329E" w:rsidRPr="008A0124">
              <w:rPr>
                <w:rFonts w:ascii="Fira Sans" w:hAnsi="Fira Sans"/>
                <w:color w:val="000000"/>
                <w:sz w:val="16"/>
                <w:szCs w:val="16"/>
              </w:rPr>
              <w:t xml:space="preserve"> 2018</w:t>
            </w:r>
            <w:r w:rsidR="003279D3" w:rsidRPr="008A0124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  <w:tc>
          <w:tcPr>
            <w:tcW w:w="1783" w:type="dxa"/>
            <w:tcBorders>
              <w:bottom w:val="single" w:sz="12" w:space="0" w:color="212492"/>
            </w:tcBorders>
            <w:shd w:val="clear" w:color="auto" w:fill="auto"/>
            <w:vAlign w:val="center"/>
          </w:tcPr>
          <w:p w:rsidR="003279D3" w:rsidRPr="008A0124" w:rsidRDefault="00301B6A" w:rsidP="003279D3">
            <w:pPr>
              <w:pStyle w:val="Nagwek3"/>
              <w:spacing w:before="0"/>
              <w:jc w:val="center"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8A0124">
              <w:rPr>
                <w:rFonts w:ascii="Fira Sans" w:hAnsi="Fira Sans"/>
                <w:color w:val="000000"/>
                <w:sz w:val="16"/>
                <w:szCs w:val="16"/>
              </w:rPr>
              <w:t>V</w:t>
            </w:r>
            <w:r w:rsidR="000C2BC6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245FBA">
              <w:rPr>
                <w:rFonts w:ascii="Fira Sans" w:hAnsi="Fira Sans"/>
                <w:color w:val="000000"/>
                <w:sz w:val="16"/>
                <w:szCs w:val="16"/>
              </w:rPr>
              <w:t>I</w:t>
            </w:r>
            <w:r w:rsidR="00E8329E" w:rsidRPr="008A0124">
              <w:rPr>
                <w:rFonts w:ascii="Fira Sans" w:hAnsi="Fira Sans"/>
                <w:color w:val="000000"/>
                <w:sz w:val="16"/>
                <w:szCs w:val="16"/>
              </w:rPr>
              <w:t xml:space="preserve"> 2019</w:t>
            </w:r>
            <w:r w:rsidR="003279D3" w:rsidRPr="008A0124">
              <w:rPr>
                <w:rFonts w:ascii="Fira Sans" w:hAnsi="Fira Sans"/>
                <w:color w:val="000000"/>
                <w:sz w:val="16"/>
                <w:szCs w:val="16"/>
              </w:rPr>
              <w:t>=100</w:t>
            </w:r>
          </w:p>
        </w:tc>
      </w:tr>
      <w:tr w:rsidR="007356A6" w:rsidRPr="008A0124" w:rsidTr="00435875">
        <w:trPr>
          <w:trHeight w:val="57"/>
        </w:trPr>
        <w:tc>
          <w:tcPr>
            <w:tcW w:w="450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8A0124" w:rsidRDefault="007356A6" w:rsidP="007356A6">
            <w:pPr>
              <w:pStyle w:val="Nagwek5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b/>
                <w:color w:val="000000"/>
                <w:sz w:val="16"/>
                <w:szCs w:val="16"/>
              </w:rPr>
            </w:pPr>
            <w:r w:rsidRPr="008A0124">
              <w:rPr>
                <w:rFonts w:ascii="Fira Sans" w:hAnsi="Fira Sans"/>
                <w:b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82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9C3DFC" w:rsidRDefault="00B63A9C" w:rsidP="00301B6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C3DFC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  <w:r w:rsidR="009C3DFC" w:rsidRPr="009C3DFC">
              <w:rPr>
                <w:rFonts w:cs="Arial"/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783" w:type="dxa"/>
            <w:tcBorders>
              <w:top w:val="single" w:sz="12" w:space="0" w:color="212492"/>
              <w:bottom w:val="single" w:sz="4" w:space="0" w:color="212492"/>
            </w:tcBorders>
            <w:shd w:val="clear" w:color="auto" w:fill="auto"/>
          </w:tcPr>
          <w:p w:rsidR="007356A6" w:rsidRPr="009C3DFC" w:rsidRDefault="007356A6" w:rsidP="007356A6">
            <w:pPr>
              <w:tabs>
                <w:tab w:val="center" w:pos="783"/>
                <w:tab w:val="right" w:pos="1567"/>
              </w:tabs>
              <w:rPr>
                <w:rFonts w:cs="Arial"/>
                <w:b/>
                <w:color w:val="000000"/>
                <w:sz w:val="16"/>
                <w:szCs w:val="16"/>
              </w:rPr>
            </w:pPr>
            <w:r w:rsidRPr="009C3DFC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Pr="009C3DFC">
              <w:rPr>
                <w:rFonts w:cs="Arial"/>
                <w:b/>
                <w:color w:val="000000"/>
                <w:sz w:val="16"/>
                <w:szCs w:val="16"/>
              </w:rPr>
              <w:tab/>
            </w:r>
            <w:r w:rsidR="00D32B9F" w:rsidRPr="009C3DFC">
              <w:rPr>
                <w:rFonts w:cs="Arial"/>
                <w:b/>
                <w:color w:val="000000"/>
                <w:sz w:val="16"/>
                <w:szCs w:val="16"/>
              </w:rPr>
              <w:t>100,0</w:t>
            </w:r>
          </w:p>
        </w:tc>
      </w:tr>
      <w:tr w:rsidR="007356A6" w:rsidRPr="008A0124" w:rsidTr="00435875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8A0124" w:rsidRDefault="007356A6" w:rsidP="007356A6">
            <w:pPr>
              <w:pStyle w:val="Nagwek9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i w:val="0"/>
                <w:color w:val="000000"/>
                <w:sz w:val="16"/>
                <w:szCs w:val="16"/>
              </w:rPr>
            </w:pPr>
            <w:r w:rsidRPr="008A0124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t xml:space="preserve">Żywność i napoje </w:t>
            </w:r>
            <w:r w:rsidRPr="008A0124">
              <w:rPr>
                <w:rFonts w:ascii="Fira Sans" w:hAnsi="Fira Sans"/>
                <w:i w:val="0"/>
                <w:color w:val="000000"/>
                <w:sz w:val="16"/>
                <w:szCs w:val="16"/>
              </w:rPr>
              <w:br/>
              <w:t xml:space="preserve">bezalkoholowe  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9C3DFC" w:rsidRDefault="007356A6" w:rsidP="003B5C9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C3DFC">
              <w:rPr>
                <w:rFonts w:cs="Arial"/>
                <w:color w:val="000000"/>
                <w:sz w:val="16"/>
                <w:szCs w:val="16"/>
              </w:rPr>
              <w:t>10</w:t>
            </w:r>
            <w:r w:rsidR="009C3DFC" w:rsidRPr="009C3DFC">
              <w:rPr>
                <w:rFonts w:cs="Arial"/>
                <w:color w:val="000000"/>
                <w:sz w:val="16"/>
                <w:szCs w:val="16"/>
              </w:rPr>
              <w:t>7</w:t>
            </w:r>
            <w:r w:rsidR="00D32B9F" w:rsidRPr="009C3DFC">
              <w:rPr>
                <w:rFonts w:cs="Arial"/>
                <w:color w:val="000000"/>
                <w:sz w:val="16"/>
                <w:szCs w:val="16"/>
              </w:rPr>
              <w:t>,</w:t>
            </w:r>
            <w:r w:rsidR="009C3DFC" w:rsidRPr="009C3DFC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356A6" w:rsidRPr="009C3DFC" w:rsidRDefault="009C3DFC" w:rsidP="009C3D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C3DFC">
              <w:rPr>
                <w:rFonts w:cs="Arial"/>
                <w:color w:val="000000"/>
                <w:sz w:val="16"/>
                <w:szCs w:val="16"/>
              </w:rPr>
              <w:t>99</w:t>
            </w:r>
            <w:r w:rsidR="00301B6A" w:rsidRPr="009C3DFC">
              <w:rPr>
                <w:rFonts w:cs="Arial"/>
                <w:color w:val="000000"/>
                <w:sz w:val="16"/>
                <w:szCs w:val="16"/>
              </w:rPr>
              <w:t>,</w:t>
            </w:r>
            <w:r w:rsidRPr="009C3DF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7356A6" w:rsidRPr="008A0124" w:rsidTr="00435875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7356A6" w:rsidRPr="008A0124" w:rsidRDefault="007356A6" w:rsidP="007356A6">
            <w:pPr>
              <w:tabs>
                <w:tab w:val="right" w:leader="dot" w:pos="4156"/>
              </w:tabs>
              <w:contextualSpacing/>
              <w:rPr>
                <w:color w:val="000000"/>
                <w:sz w:val="16"/>
                <w:szCs w:val="16"/>
                <w:lang w:val="en-US"/>
              </w:rPr>
            </w:pPr>
            <w:r w:rsidRPr="008A0124">
              <w:rPr>
                <w:bCs/>
                <w:color w:val="000000"/>
                <w:sz w:val="16"/>
                <w:szCs w:val="16"/>
              </w:rPr>
              <w:t>Nośniki energii</w:t>
            </w:r>
          </w:p>
        </w:tc>
        <w:tc>
          <w:tcPr>
            <w:tcW w:w="1782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7356A6" w:rsidRPr="009C3DFC" w:rsidRDefault="00D62A6B" w:rsidP="009C3D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C3DFC">
              <w:rPr>
                <w:rFonts w:cs="Arial"/>
                <w:color w:val="000000"/>
                <w:sz w:val="16"/>
                <w:szCs w:val="16"/>
              </w:rPr>
              <w:t>9</w:t>
            </w:r>
            <w:r w:rsidR="009C3DFC" w:rsidRPr="009C3DFC">
              <w:rPr>
                <w:rFonts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78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</w:tcPr>
          <w:p w:rsidR="007356A6" w:rsidRPr="009C3DFC" w:rsidRDefault="00D32B9F" w:rsidP="007356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C3DFC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</w:tr>
      <w:tr w:rsidR="007356A6" w:rsidRPr="008A0124" w:rsidTr="00435875">
        <w:trPr>
          <w:trHeight w:val="57"/>
        </w:trPr>
        <w:tc>
          <w:tcPr>
            <w:tcW w:w="4503" w:type="dxa"/>
            <w:tcBorders>
              <w:top w:val="single" w:sz="4" w:space="0" w:color="212492"/>
              <w:bottom w:val="nil"/>
            </w:tcBorders>
            <w:shd w:val="clear" w:color="auto" w:fill="auto"/>
            <w:vAlign w:val="center"/>
          </w:tcPr>
          <w:p w:rsidR="007356A6" w:rsidRPr="008A0124" w:rsidRDefault="007356A6" w:rsidP="007356A6">
            <w:pPr>
              <w:pStyle w:val="Nagwek2"/>
              <w:tabs>
                <w:tab w:val="right" w:leader="dot" w:pos="4156"/>
              </w:tabs>
              <w:spacing w:before="0"/>
              <w:contextualSpacing/>
              <w:rPr>
                <w:rFonts w:ascii="Fira Sans" w:hAnsi="Fira Sans"/>
                <w:color w:val="000000"/>
                <w:sz w:val="16"/>
                <w:szCs w:val="16"/>
              </w:rPr>
            </w:pPr>
            <w:r w:rsidRPr="008A0124">
              <w:rPr>
                <w:rFonts w:ascii="Fira Sans" w:hAnsi="Fira Sans"/>
                <w:color w:val="000000"/>
                <w:sz w:val="16"/>
                <w:szCs w:val="16"/>
              </w:rPr>
              <w:t xml:space="preserve">Paliwa do prywatnych </w:t>
            </w:r>
            <w:r w:rsidRPr="008A0124">
              <w:rPr>
                <w:rFonts w:ascii="Fira Sans" w:hAnsi="Fira Sans"/>
                <w:color w:val="000000"/>
                <w:sz w:val="16"/>
                <w:szCs w:val="16"/>
              </w:rPr>
              <w:br/>
              <w:t>środków transportu</w:t>
            </w:r>
          </w:p>
        </w:tc>
        <w:tc>
          <w:tcPr>
            <w:tcW w:w="1782" w:type="dxa"/>
            <w:tcBorders>
              <w:top w:val="single" w:sz="4" w:space="0" w:color="212492"/>
              <w:bottom w:val="nil"/>
            </w:tcBorders>
            <w:shd w:val="clear" w:color="auto" w:fill="auto"/>
            <w:vAlign w:val="bottom"/>
          </w:tcPr>
          <w:p w:rsidR="007356A6" w:rsidRPr="009C3DFC" w:rsidRDefault="009C3DFC" w:rsidP="00D32B9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C3DFC">
              <w:rPr>
                <w:rFonts w:cs="Arial"/>
                <w:color w:val="000000"/>
                <w:sz w:val="16"/>
                <w:szCs w:val="16"/>
              </w:rPr>
              <w:t>99</w:t>
            </w:r>
            <w:r w:rsidR="00301B6A" w:rsidRPr="009C3DFC">
              <w:rPr>
                <w:rFonts w:cs="Arial"/>
                <w:color w:val="000000"/>
                <w:sz w:val="16"/>
                <w:szCs w:val="16"/>
              </w:rPr>
              <w:t>,</w:t>
            </w:r>
            <w:r w:rsidR="00D32B9F" w:rsidRPr="009C3DF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3" w:type="dxa"/>
            <w:tcBorders>
              <w:top w:val="single" w:sz="4" w:space="0" w:color="212492"/>
              <w:bottom w:val="nil"/>
            </w:tcBorders>
            <w:shd w:val="clear" w:color="auto" w:fill="auto"/>
          </w:tcPr>
          <w:p w:rsidR="007356A6" w:rsidRPr="009C3DFC" w:rsidRDefault="009C3DFC" w:rsidP="007356A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C3DFC">
              <w:rPr>
                <w:rFonts w:cs="Arial"/>
                <w:color w:val="000000"/>
                <w:sz w:val="16"/>
                <w:szCs w:val="16"/>
              </w:rPr>
              <w:t>98,9</w:t>
            </w:r>
          </w:p>
        </w:tc>
      </w:tr>
    </w:tbl>
    <w:p w:rsidR="003279D3" w:rsidRPr="008A0124" w:rsidRDefault="003279D3" w:rsidP="006039C0">
      <w:pPr>
        <w:rPr>
          <w:rFonts w:ascii="Fira Sans SemiBold" w:eastAsia="Times New Roman" w:hAnsi="Fira Sans SemiBold" w:cs="Times New Roman"/>
          <w:bCs/>
          <w:color w:val="001D77"/>
          <w:szCs w:val="24"/>
          <w:shd w:val="clear" w:color="auto" w:fill="FFFFFF"/>
          <w:lang w:eastAsia="pl-PL"/>
        </w:rPr>
      </w:pPr>
    </w:p>
    <w:p w:rsidR="00685123" w:rsidRPr="008A0124" w:rsidRDefault="00D87084" w:rsidP="003B5C99">
      <w:pPr>
        <w:tabs>
          <w:tab w:val="left" w:pos="4935"/>
        </w:tabs>
        <w:ind w:left="851" w:hanging="851"/>
        <w:rPr>
          <w:b/>
          <w:noProof/>
          <w:szCs w:val="19"/>
          <w:lang w:eastAsia="pl-PL"/>
        </w:rPr>
      </w:pPr>
      <w:r w:rsidRPr="00454F47">
        <w:rPr>
          <w:b/>
          <w:noProof/>
          <w:szCs w:val="19"/>
          <w:lang w:eastAsia="pl-PL"/>
        </w:rPr>
        <w:t>Wykres 1. Ceny towarów i usług konsumpcyjnych</w:t>
      </w:r>
      <w:r w:rsidR="006039C0" w:rsidRPr="00454F47">
        <w:rPr>
          <w:b/>
          <w:noProof/>
          <w:szCs w:val="19"/>
          <w:lang w:eastAsia="pl-PL"/>
        </w:rPr>
        <w:t>*</w:t>
      </w:r>
      <w:r w:rsidRPr="00454F47">
        <w:rPr>
          <w:b/>
          <w:noProof/>
          <w:szCs w:val="19"/>
          <w:lang w:eastAsia="pl-PL"/>
        </w:rPr>
        <w:t xml:space="preserve"> </w:t>
      </w:r>
      <w:r w:rsidR="003B5C99">
        <w:rPr>
          <w:b/>
          <w:noProof/>
          <w:szCs w:val="19"/>
          <w:lang w:eastAsia="pl-PL"/>
        </w:rPr>
        <w:tab/>
      </w:r>
      <w:r w:rsidR="006039C0" w:rsidRPr="00454F47">
        <w:rPr>
          <w:b/>
          <w:noProof/>
          <w:szCs w:val="19"/>
          <w:lang w:eastAsia="pl-PL"/>
        </w:rPr>
        <w:br/>
      </w:r>
      <w:r w:rsidRPr="00454F47">
        <w:rPr>
          <w:b/>
          <w:noProof/>
          <w:szCs w:val="19"/>
          <w:lang w:eastAsia="pl-PL"/>
        </w:rPr>
        <w:t>(zmiana w % do analogicznego okresu roku poprzedniego)</w:t>
      </w:r>
      <w:bookmarkStart w:id="0" w:name="_GoBack"/>
      <w:bookmarkEnd w:id="0"/>
    </w:p>
    <w:p w:rsidR="001B6916" w:rsidRDefault="001B6916" w:rsidP="001B6916">
      <w:pPr>
        <w:rPr>
          <w:noProof/>
          <w:sz w:val="16"/>
          <w:szCs w:val="19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left</wp:align>
            </wp:positionH>
            <wp:positionV relativeFrom="line">
              <wp:posOffset>36195</wp:posOffset>
            </wp:positionV>
            <wp:extent cx="5104800" cy="2858400"/>
            <wp:effectExtent l="0" t="0" r="0" b="0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245" w:rsidRPr="006039C0" w:rsidRDefault="00B93CB1" w:rsidP="001B6916">
      <w:pPr>
        <w:rPr>
          <w:noProof/>
          <w:sz w:val="16"/>
          <w:szCs w:val="19"/>
          <w:lang w:eastAsia="pl-PL"/>
        </w:rPr>
      </w:pPr>
      <w:r w:rsidRPr="008A0124">
        <w:rPr>
          <w:noProof/>
          <w:sz w:val="16"/>
          <w:szCs w:val="19"/>
          <w:lang w:eastAsia="pl-PL"/>
        </w:rPr>
        <w:t>* D</w:t>
      </w:r>
      <w:r w:rsidR="004F529E" w:rsidRPr="008A0124">
        <w:rPr>
          <w:noProof/>
          <w:sz w:val="16"/>
          <w:szCs w:val="19"/>
          <w:lang w:eastAsia="pl-PL"/>
        </w:rPr>
        <w:t>ane ostateczne z</w:t>
      </w:r>
      <w:r w:rsidR="003F5245" w:rsidRPr="008A0124">
        <w:rPr>
          <w:noProof/>
          <w:sz w:val="16"/>
          <w:szCs w:val="19"/>
          <w:lang w:eastAsia="pl-PL"/>
        </w:rPr>
        <w:t xml:space="preserve"> wyjątkiem </w:t>
      </w:r>
      <w:r w:rsidRPr="008A0124">
        <w:rPr>
          <w:noProof/>
          <w:sz w:val="16"/>
          <w:szCs w:val="19"/>
          <w:lang w:eastAsia="pl-PL"/>
        </w:rPr>
        <w:t xml:space="preserve">informacji opracowanej według </w:t>
      </w:r>
      <w:r w:rsidR="006039C0" w:rsidRPr="008A0124">
        <w:rPr>
          <w:noProof/>
          <w:sz w:val="16"/>
          <w:szCs w:val="19"/>
          <w:lang w:eastAsia="pl-PL"/>
        </w:rPr>
        <w:t>szybki</w:t>
      </w:r>
      <w:r w:rsidRPr="008A0124">
        <w:rPr>
          <w:noProof/>
          <w:sz w:val="16"/>
          <w:szCs w:val="19"/>
          <w:lang w:eastAsia="pl-PL"/>
        </w:rPr>
        <w:t>ego</w:t>
      </w:r>
      <w:r w:rsidR="006039C0" w:rsidRPr="008A0124">
        <w:rPr>
          <w:noProof/>
          <w:sz w:val="16"/>
          <w:szCs w:val="19"/>
          <w:lang w:eastAsia="pl-PL"/>
        </w:rPr>
        <w:t xml:space="preserve"> szacun</w:t>
      </w:r>
      <w:r w:rsidR="007356A6" w:rsidRPr="008A0124">
        <w:rPr>
          <w:noProof/>
          <w:sz w:val="16"/>
          <w:szCs w:val="19"/>
          <w:lang w:eastAsia="pl-PL"/>
        </w:rPr>
        <w:t>ku w</w:t>
      </w:r>
      <w:r w:rsidR="008A0124" w:rsidRPr="008A0124">
        <w:rPr>
          <w:noProof/>
          <w:sz w:val="16"/>
          <w:szCs w:val="19"/>
          <w:lang w:eastAsia="pl-PL"/>
        </w:rPr>
        <w:t xml:space="preserve"> </w:t>
      </w:r>
      <w:r w:rsidR="00245FBA">
        <w:rPr>
          <w:noProof/>
          <w:sz w:val="16"/>
          <w:szCs w:val="19"/>
          <w:lang w:eastAsia="pl-PL"/>
        </w:rPr>
        <w:t>sierpni</w:t>
      </w:r>
      <w:r w:rsidR="00362835">
        <w:rPr>
          <w:noProof/>
          <w:sz w:val="16"/>
          <w:szCs w:val="19"/>
          <w:lang w:eastAsia="pl-PL"/>
        </w:rPr>
        <w:t>u</w:t>
      </w:r>
      <w:r w:rsidR="007356A6" w:rsidRPr="008A0124">
        <w:rPr>
          <w:noProof/>
          <w:sz w:val="16"/>
          <w:szCs w:val="19"/>
          <w:lang w:eastAsia="pl-PL"/>
        </w:rPr>
        <w:t xml:space="preserve"> 2019</w:t>
      </w:r>
      <w:r w:rsidRPr="008A0124">
        <w:rPr>
          <w:noProof/>
          <w:sz w:val="16"/>
          <w:szCs w:val="19"/>
          <w:lang w:eastAsia="pl-PL"/>
        </w:rPr>
        <w:t xml:space="preserve"> r.</w:t>
      </w:r>
    </w:p>
    <w:p w:rsidR="003F5245" w:rsidRDefault="003F5245" w:rsidP="006039C0">
      <w:pPr>
        <w:rPr>
          <w:b/>
          <w:noProof/>
          <w:szCs w:val="19"/>
          <w:lang w:eastAsia="pl-PL"/>
        </w:rPr>
      </w:pPr>
    </w:p>
    <w:p w:rsidR="005E2988" w:rsidRPr="003F5245" w:rsidRDefault="005E2988" w:rsidP="006039C0">
      <w:pPr>
        <w:rPr>
          <w:b/>
          <w:noProof/>
          <w:szCs w:val="19"/>
          <w:lang w:eastAsia="pl-PL"/>
        </w:rPr>
        <w:sectPr w:rsidR="005E2988" w:rsidRPr="003F5245" w:rsidSect="00EF7B36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8"/>
        <w:gridCol w:w="3819"/>
      </w:tblGrid>
      <w:tr w:rsidR="00883763" w:rsidRPr="00D72BB0" w:rsidTr="00106181">
        <w:trPr>
          <w:trHeight w:val="1912"/>
        </w:trPr>
        <w:tc>
          <w:tcPr>
            <w:tcW w:w="4248" w:type="dxa"/>
          </w:tcPr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lastRenderedPageBreak/>
              <w:t>Opracowanie merytoryczne:</w:t>
            </w:r>
          </w:p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 xml:space="preserve">Departament </w:t>
            </w:r>
            <w:r>
              <w:rPr>
                <w:rFonts w:cs="Arial"/>
                <w:b/>
                <w:color w:val="000000" w:themeColor="text1"/>
                <w:sz w:val="20"/>
              </w:rPr>
              <w:t>Handlu i Usług</w:t>
            </w:r>
          </w:p>
          <w:p w:rsidR="00883763" w:rsidRPr="003A5CC6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3A5CC6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Anna Bobel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608 35 12</w:t>
            </w:r>
          </w:p>
          <w:p w:rsidR="00883763" w:rsidRPr="008F3638" w:rsidRDefault="00883763" w:rsidP="00102C97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841597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102C97" w:rsidRPr="00841597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a.bobel@stat.gov.pl</w:t>
              </w:r>
            </w:hyperlink>
          </w:p>
        </w:tc>
        <w:tc>
          <w:tcPr>
            <w:tcW w:w="3819" w:type="dxa"/>
          </w:tcPr>
          <w:p w:rsidR="00102C97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</w:p>
          <w:p w:rsidR="00883763" w:rsidRPr="008F3638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C4622B" w:rsidRPr="00454F47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22 608 34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75, 22 608 30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09</w:t>
            </w:r>
          </w:p>
          <w:p w:rsidR="00883763" w:rsidRPr="008F3638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8F3638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US"/>
                </w:rPr>
                <w:t>rzecznik@stat.gov.pl</w:t>
              </w:r>
            </w:hyperlink>
          </w:p>
        </w:tc>
      </w:tr>
    </w:tbl>
    <w:p w:rsidR="000470AA" w:rsidRPr="00685123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7356A6">
            <w:pPr>
              <w:spacing w:before="0"/>
              <w:ind w:left="142"/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C4622B" w:rsidP="00A33F84">
            <w:pPr>
              <w:ind w:left="142"/>
              <w:rPr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  <w:lang w:val="fi-FI"/>
              </w:rPr>
              <w:t xml:space="preserve">Tel: </w:t>
            </w:r>
            <w:r w:rsidR="00097840">
              <w:rPr>
                <w:sz w:val="20"/>
              </w:rPr>
              <w:t>22 608 34 91, 22</w:t>
            </w:r>
            <w:r w:rsidR="000470AA" w:rsidRPr="00C91687">
              <w:rPr>
                <w:sz w:val="20"/>
              </w:rPr>
              <w:t xml:space="preserve"> 608 38 04 </w:t>
            </w:r>
          </w:p>
          <w:p w:rsidR="000470AA" w:rsidRPr="00841597" w:rsidRDefault="000470AA" w:rsidP="00A33F84">
            <w:pPr>
              <w:ind w:left="142"/>
              <w:rPr>
                <w:b/>
                <w:sz w:val="18"/>
                <w:lang w:val="en-US"/>
              </w:rPr>
            </w:pPr>
            <w:r w:rsidRPr="00841597">
              <w:rPr>
                <w:b/>
                <w:color w:val="000000" w:themeColor="text1"/>
                <w:sz w:val="20"/>
                <w:lang w:val="en-US"/>
              </w:rPr>
              <w:t xml:space="preserve">e-mail: </w:t>
            </w:r>
            <w:hyperlink r:id="rId18" w:history="1">
              <w:r w:rsidRPr="00841597">
                <w:rPr>
                  <w:rStyle w:val="Hipercze"/>
                  <w:rFonts w:cstheme="minorBidi"/>
                  <w:b/>
                  <w:color w:val="000000" w:themeColor="text1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685123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70A8CDF5" wp14:editId="16F22F3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0C0823" w:rsidRDefault="001B6916" w:rsidP="000470AA">
            <w:pPr>
              <w:rPr>
                <w:sz w:val="18"/>
              </w:rPr>
            </w:pPr>
            <w:hyperlink r:id="rId20" w:history="1">
              <w:r w:rsidR="000470AA" w:rsidRPr="000C082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www.stat.gov.pl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0AD49B" wp14:editId="0E8B26E9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1B6916" w:rsidP="000470AA">
            <w:pPr>
              <w:rPr>
                <w:sz w:val="18"/>
              </w:rPr>
            </w:pPr>
            <w:hyperlink r:id="rId22" w:history="1">
              <w:r w:rsidR="000470AA" w:rsidRPr="000C082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@GUS_STAT</w:t>
              </w:r>
            </w:hyperlink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0B608201" wp14:editId="10680D2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0C0823" w:rsidRDefault="001B6916" w:rsidP="000470AA">
            <w:pPr>
              <w:rPr>
                <w:sz w:val="20"/>
              </w:rPr>
            </w:pPr>
            <w:hyperlink r:id="rId24" w:history="1">
              <w:r w:rsidR="000470AA" w:rsidRPr="000C082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@</w:t>
              </w:r>
              <w:proofErr w:type="spellStart"/>
              <w:r w:rsidR="000470AA" w:rsidRPr="000C0823">
                <w:rPr>
                  <w:rStyle w:val="Hipercze"/>
                  <w:rFonts w:cstheme="minorBidi"/>
                  <w:color w:val="000000" w:themeColor="text1"/>
                  <w:sz w:val="20"/>
                  <w:u w:val="none"/>
                </w:rPr>
                <w:t>GlownyUrzadStatystyczny</w:t>
              </w:r>
              <w:proofErr w:type="spellEnd"/>
            </w:hyperlink>
          </w:p>
        </w:tc>
      </w:tr>
    </w:tbl>
    <w:p w:rsidR="00D261A2" w:rsidRPr="00001C5B" w:rsidRDefault="00622953" w:rsidP="00E76D26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2CE1C4B" wp14:editId="38200B6A">
                <wp:simplePos x="0" y="0"/>
                <wp:positionH relativeFrom="margin">
                  <wp:posOffset>19050</wp:posOffset>
                </wp:positionH>
                <wp:positionV relativeFrom="paragraph">
                  <wp:posOffset>440690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56D" w:rsidRDefault="009C156D" w:rsidP="00883763">
                            <w:pPr>
                              <w:rPr>
                                <w:b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</w:rPr>
                            </w:pPr>
                            <w:r w:rsidRPr="00A21A31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5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Komunikaty i obwieszczenia Prezesa GUS</w:t>
                              </w:r>
                            </w:hyperlink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6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Informacje sygnalne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7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Dziedzinowa Baza Wiedzy (DBW) Ceny</w:t>
                              </w:r>
                            </w:hyperlink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8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Makroekonomicznych (BDM)</w:t>
                              </w:r>
                            </w:hyperlink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29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Bank Danych Lokalnych (BDL)</w:t>
                              </w:r>
                            </w:hyperlink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0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Wskaźniki cen (Obszary tematyczne: Ceny. Handel)</w:t>
                              </w:r>
                            </w:hyperlink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1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Ceny (Obszary tematyczne: Ceny. Handel)</w:t>
                              </w:r>
                            </w:hyperlink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9C156D" w:rsidRPr="00A21A31" w:rsidRDefault="009C156D" w:rsidP="0088376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1A3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2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Wskaźnik cen towarów i usług konsumpcyjnych</w:t>
                              </w:r>
                            </w:hyperlink>
                          </w:p>
                          <w:p w:rsidR="009C156D" w:rsidRPr="00A21A31" w:rsidRDefault="001B6916" w:rsidP="00883763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</w:rPr>
                            </w:pPr>
                            <w:hyperlink r:id="rId33" w:history="1">
                              <w:r w:rsidR="009C156D" w:rsidRPr="00A21A31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</w:rPr>
                                <w:t>Cena detaliczna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1C4B" id="_x0000_s1027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OPPgIAAHMEAAAOAAAAZHJzL2Uyb0RvYy54bWysVFFv0zAQfkfiP1h+p0m7ZqxR02l0DCEN&#10;mDT4AVfHaazZvmC7Tcav39npug4ekBAvke07f/fd9/myvByMZnvpvEJb8ekk50xagbWy24r/+H7z&#10;7oIzH8DWoNHKij9Kzy9Xb98s+66UM2xR19IxArG+7LuKtyF0ZZZ50UoDfoKdtBRs0BkItHXbrHbQ&#10;E7rR2SzPz7MeXd05FNJ7Or0eg3yV8JtGivCtabwMTFecuIX0dem7id9stYRy66BrlTjQgH9gYUBZ&#10;KnqEuoYAbOfUH1BGCYcemzARaDJsGiVk6oG6mea/dXPfQidTLySO744y+f8HK77u7xxTdcXPOLNg&#10;yKI71JIF+eAD9pLNokR950vKvO8oNwwfcCCrU7u+u0Xx4JnFdQt2K6+cw76VUBPFabyZnVwdcXwE&#10;2fRfsKZasAuYgIbGmagfKcIInax6PNojh8AEHZ4XxaIoKCQoNp/Pz/JFkWpA+Xy9cz58kmhYXFTc&#10;kf8JHva3PkQ6UD6nxGoetapvlNZpE9+cXGvH9kCvZbMdW9Q7Q1zHs0WR5+nNEE56ojE9ob5C0pb1&#10;FV8Us2IU6S9VRl6vEIwKNBZamYpfUMmxKJRR2Y+2pgtQBlB6XBMZbQ9SR3VHncOwGZKxyYdowwbr&#10;R9Le4TgFNLW0aNH94qynCai4/7kDJznTny35t5jO53Fk0mZevJ/Rxp1GNqcRsIKgKh44G5frkMYs&#10;UrV4RT43KjnwwuRAmV52kvAwhXF0Tvcp6+VfsXoCAAD//wMAUEsDBBQABgAIAAAAIQArLl6j3wAA&#10;AAkBAAAPAAAAZHJzL2Rvd25yZXYueG1sTI/BTsMwEETvSPyDtUhcEHXagkNCNhVCquCGUiq4uvGS&#10;hMbrKHbb8Pe4JzjOzmrmTbGabC+ONPrOMcJ8loAgrp3puEHYvq9vH0D4oNno3jEh/JCHVXl5Uejc&#10;uBNXdNyERsQQ9rlGaEMYcil93ZLVfuYG4uh9udHqEOXYSDPqUwy3vVwkiZJWdxwbWj3Qc0v1fnOw&#10;CC9Zer9+XWzTt736Via7qT6Gzwrx+mp6egQRaAp/z3DGj+hQRqadO7DxokdYxiUBQWV3IM52slTx&#10;skNIVTYHWRby/4LyFwAA//8DAFBLAQItABQABgAIAAAAIQC2gziS/gAAAOEBAAATAAAAAAAAAAAA&#10;AAAAAAAAAABbQ29udGVudF9UeXBlc10ueG1sUEsBAi0AFAAGAAgAAAAhADj9If/WAAAAlAEAAAsA&#10;AAAAAAAAAAAAAAAALwEAAF9yZWxzLy5yZWxzUEsBAi0AFAAGAAgAAAAhAIvc048+AgAAcwQAAA4A&#10;AAAAAAAAAAAAAAAALgIAAGRycy9lMm9Eb2MueG1sUEsBAi0AFAAGAAgAAAAhACsuXqPfAAAACQEA&#10;AA8AAAAAAAAAAAAAAAAAmAQAAGRycy9kb3ducmV2LnhtbFBLBQYAAAAABAAEAPMAAACkBQAAAAA=&#10;" fillcolor="#f2f2f2 [3052]" strokecolor="white [3212]">
                <v:textbox>
                  <w:txbxContent>
                    <w:p w:rsidR="009C156D" w:rsidRDefault="009C156D" w:rsidP="00883763">
                      <w:pPr>
                        <w:rPr>
                          <w:b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</w:rPr>
                      </w:pPr>
                      <w:r w:rsidRPr="00A21A31">
                        <w:rPr>
                          <w:b/>
                        </w:rPr>
                        <w:t>Powiązane opracowania</w:t>
                      </w:r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4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Komunikaty i obwieszczenia Prezesa GUS</w:t>
                        </w:r>
                      </w:hyperlink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5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Informacje sygnalne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6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Dziedzinowa Baza Wiedzy (DBW) Ceny</w:t>
                        </w:r>
                      </w:hyperlink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7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Makroekonomicznych (BDM)</w:t>
                        </w:r>
                      </w:hyperlink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8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Bank Danych Lokalnych (BDL)</w:t>
                        </w:r>
                      </w:hyperlink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39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Wskaźniki cen (Obszary tematyczne: Ceny. Handel)</w:t>
                        </w:r>
                      </w:hyperlink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0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Ceny (Obszary tematyczne: Ceny. Handel)</w:t>
                        </w:r>
                      </w:hyperlink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9C156D" w:rsidRPr="00A21A31" w:rsidRDefault="009C156D" w:rsidP="0088376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1A31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1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Wskaźnik cen towarów i usług konsumpcyjnych</w:t>
                        </w:r>
                      </w:hyperlink>
                    </w:p>
                    <w:p w:rsidR="009C156D" w:rsidRPr="00A21A31" w:rsidRDefault="001B6916" w:rsidP="00883763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</w:rPr>
                      </w:pPr>
                      <w:hyperlink r:id="rId42" w:history="1">
                        <w:r w:rsidR="009C156D" w:rsidRPr="00A21A31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</w:rPr>
                          <w:t>Cena detaliczna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EF7B36">
      <w:headerReference w:type="default" r:id="rId43"/>
      <w:footerReference w:type="default" r:id="rId44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6D" w:rsidRDefault="009C156D" w:rsidP="000662E2">
      <w:pPr>
        <w:spacing w:after="0" w:line="240" w:lineRule="auto"/>
      </w:pPr>
      <w:r>
        <w:separator/>
      </w:r>
    </w:p>
  </w:endnote>
  <w:end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7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0488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:rsidR="009C156D" w:rsidRDefault="009C156D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6D" w:rsidRDefault="009C156D" w:rsidP="000662E2">
      <w:pPr>
        <w:spacing w:after="0" w:line="240" w:lineRule="auto"/>
      </w:pPr>
      <w:r>
        <w:separator/>
      </w:r>
    </w:p>
  </w:footnote>
  <w:footnote w:type="continuationSeparator" w:id="0">
    <w:p w:rsidR="009C156D" w:rsidRDefault="009C156D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6229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6B2282" wp14:editId="54179ECE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EB4C4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  <w:p w:rsidR="009C156D" w:rsidRDefault="009C1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FE172A" w:rsidP="000C2BC6">
    <w:pPr>
      <w:pStyle w:val="Nagwek"/>
      <w:tabs>
        <w:tab w:val="clear" w:pos="4536"/>
        <w:tab w:val="clear" w:pos="9072"/>
        <w:tab w:val="left" w:pos="5400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342CEA" wp14:editId="51ABCBF2">
              <wp:simplePos x="0" y="0"/>
              <wp:positionH relativeFrom="column">
                <wp:posOffset>5218430</wp:posOffset>
              </wp:positionH>
              <wp:positionV relativeFrom="paragraph">
                <wp:posOffset>198755</wp:posOffset>
              </wp:positionV>
              <wp:extent cx="1871980" cy="10307955"/>
              <wp:effectExtent l="0" t="0" r="0" b="0"/>
              <wp:wrapTight wrapText="bothSides">
                <wp:wrapPolygon edited="0">
                  <wp:start x="0" y="0"/>
                  <wp:lineTo x="0" y="21556"/>
                  <wp:lineTo x="21322" y="21556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103079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5C08A" id="Prostokąt 10" o:spid="_x0000_s1026" style="position:absolute;margin-left:410.9pt;margin-top:15.65pt;width:147.4pt;height:81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5pwIAAKMFAAAOAAAAZHJzL2Uyb0RvYy54bWysVM1u2zAMvg/YOwi6r7azZm2NOkXQIsOA&#10;oA3WDj0rshQblUVNUuJk971ZH2yU/NOsK3YYlgCGKH78+COSl1f7RpGdsK4GXdDsJKVEaA5lrTcF&#10;/faw+HBOifNMl0yBFgU9CEevZu/fXbYmFxOoQJXCEiTRLm9NQSvvTZ4kjleiYe4EjNColGAb5lG0&#10;m6S0rEX2RiWTNP2UtGBLY4EL5/D2plPSWeSXUnB/J6UTnqiCYmw+fm38rsM3mV2yfGOZqWreh8H+&#10;IYqG1RqdjlQ3zDOytfUfVE3NLTiQ/oRDk4CUNRcxB8wmS19lc18xI2IuWBxnxjK5/0fLb3crS+oS&#10;3w7Lo1mDb7TCCD08Pf/0BC+xQq1xOQLvzcqGHJ1ZAn9yqEh+0wTB9Zi9tE3AYoZkH8t9GMst9p5w&#10;vMzOz7KLc3TLUZelH9Ozi+k0+EtYPtgb6/xnAQ0Jh4JafNBYZ7ZbOt9BB0gMDVRdLmqlomA362tl&#10;yY7h4y8m4d+zu2OY0gGsIZh1jOEmptZlE/PyByUCTumvQmLBMP5JjCS2qhj9MM6F9lmnqlgpOvfT&#10;FH+D99DcwSJmGgkDs0T/I3dPMCA7koG7i7LHB1MRO300Tv8WWGc8WkTPoP1o3NQa7FsECrPqPXf4&#10;oUhdaUKV1lAesJ0sdHPmDF/U+G5L5vyKWRwsfGxcFv4OP1JBW1DoT5RUYH+8dR/w2O+opaTFQS2o&#10;+75lVlCivmichIvs9DRMdhROp2cTFOyxZn2s0dvmGrAdMlxLhsdjwHs1HKWF5hF3yjx4RRXTHH0X&#10;lHs7CNe+WyC4lbiYzyMMp9kwv9T3hgfyUNXQlw/7R2ZN37weG/8WhqFm+ase7rDBUsN860HWscFf&#10;6trXGzdBbJx+a4VVcyxH1Mtunf0CAAD//wMAUEsDBBQABgAIAAAAIQCkxf2Z3wAAAAwBAAAPAAAA&#10;ZHJzL2Rvd25yZXYueG1sTI/BasMwEETvhfyD2EJvjSwnFolrOYRCybluWshNsba2qbUylpy4f1/l&#10;lN522GHmTbGbbc8uOPrOkQKxTIAh1c501Cg4frw9b4D5oMno3hEq+EUPu3LxUOjcuCu946UKDYsh&#10;5HOtoA1hyDn3dYtW+6UbkOLv241WhyjHhptRX2O47XmaJJJb3VFsaPWAry3WP9VkFZyaQC61h60/&#10;VIP7nLJsO3+dlHp6nPcvwALO4W6GG35EhzIynd1ExrNewSYVET0oWIkVsJtBCCmBneMls7UEXhb8&#10;/4jyDwAA//8DAFBLAQItABQABgAIAAAAIQC2gziS/gAAAOEBAAATAAAAAAAAAAAAAAAAAAAAAABb&#10;Q29udGVudF9UeXBlc10ueG1sUEsBAi0AFAAGAAgAAAAhADj9If/WAAAAlAEAAAsAAAAAAAAAAAAA&#10;AAAALwEAAF9yZWxzLy5yZWxzUEsBAi0AFAAGAAgAAAAhAJYXafmnAgAAowUAAA4AAAAAAAAAAAAA&#10;AAAALgIAAGRycy9lMm9Eb2MueG1sUEsBAi0AFAAGAAgAAAAhAKTF/ZnfAAAADAEAAA8AAAAAAAAA&#10;AAAAAAAAAQUAAGRycy9kb3ducmV2LnhtbFBLBQYAAAAABAAEAPMAAAANBgAAAAA=&#10;" fillcolor="#f2f2f2" stroked="f" strokeweight="1pt">
              <v:path arrowok="t"/>
              <w10:wrap type="tight"/>
            </v:rect>
          </w:pict>
        </mc:Fallback>
      </mc:AlternateContent>
    </w:r>
    <w:r w:rsidR="006229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BBF2EF" wp14:editId="3363838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156D" w:rsidRPr="003C6C8D" w:rsidRDefault="009C156D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BF2EF" id="Schemat blokowy: opóźnienie 6" o:spid="_x0000_s1028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xw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4q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bmvMcE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9C156D" w:rsidRPr="003C6C8D" w:rsidRDefault="009C156D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A371FF">
      <w:rPr>
        <w:noProof/>
        <w:lang w:eastAsia="pl-PL"/>
      </w:rPr>
      <w:drawing>
        <wp:inline distT="0" distB="0" distL="0" distR="0" wp14:anchorId="0BB8CD0C" wp14:editId="4B9F0F63">
          <wp:extent cx="1153274" cy="720000"/>
          <wp:effectExtent l="0" t="0" r="0" b="4445"/>
          <wp:docPr id="33" name="Obraz 33" descr="logo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BC6">
      <w:rPr>
        <w:noProof/>
        <w:lang w:eastAsia="pl-PL"/>
      </w:rPr>
      <w:tab/>
    </w:r>
  </w:p>
  <w:p w:rsidR="009C156D" w:rsidRDefault="00622953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01E347D" wp14:editId="11D06BFD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56D" w:rsidRPr="00C97596" w:rsidRDefault="000C2BC6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</w:t>
                          </w:r>
                          <w:r w:rsidR="00245FBA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 w:rsidR="009C156D">
                            <w:rPr>
                              <w:rFonts w:ascii="Fira Sans SemiBold" w:hAnsi="Fira Sans SemiBold"/>
                              <w:color w:val="001D77"/>
                            </w:rPr>
                            <w:t>.0</w:t>
                          </w:r>
                          <w:r w:rsidR="00245FBA">
                            <w:rPr>
                              <w:rFonts w:ascii="Fira Sans SemiBold" w:hAnsi="Fira Sans SemiBold"/>
                              <w:color w:val="001D77"/>
                            </w:rPr>
                            <w:t>8</w:t>
                          </w:r>
                          <w:r w:rsidR="00A371FF">
                            <w:rPr>
                              <w:rFonts w:ascii="Fira Sans SemiBold" w:hAnsi="Fira Sans SemiBold"/>
                              <w:color w:val="001D77"/>
                            </w:rPr>
                            <w:t>.2019</w:t>
                          </w:r>
                          <w:r w:rsidR="009C156D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E34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Q7EAIAAP4DAAAOAAAAZHJzL2Uyb0RvYy54bWysU8tu2zAQvBfoPxC817LlRxvBcpAmTVEg&#10;bQOk/YA1RVlESC5L0pbSr8+SchyjvRXVgSC13Nmd2eH6cjCaHaQPCm3NZ5MpZ9IKbJTd1fznj9t3&#10;HzgLEWwDGq2s+ZMM/HLz9s26d5UssUPdSM8IxIaqdzXvYnRVUQTRSQNhgk5aCrboDUQ6+l3ReOgJ&#10;3eiinE5XRY++cR6FDIH+3oxBvsn4bStF/N62QUama069xbz6vG7TWmzWUO08uE6JYxvwD10YUJaK&#10;nqBuIALbe/UXlFHCY8A2TgSaAttWCZk5EJvZ9A82Dx04mbmQOMGdZAr/D1Z8O9x7ppqa06AsGBrR&#10;PWrJonwMEXvJyiRR70JFNx8c3Y3DRxxo1JlucHcoHgOzeN2B3ckr77HvJDTU4ixlFmepI05IINv+&#10;KzZUC/YRM9DQepP0I0UYodOonk7jkUNkIpVczMvlikKCYvP5arnM8yugesl2PsTPEg1Lm5p7Gn9G&#10;h8NdiKkbqF6upGIWb5XW2QLasr7mF8tymRPOIkZFcqhWhiSapm/0TCL5yTY5OYLS454KaHtknYiO&#10;lOOwHbLGWZKkyBabJ5LB42hIekC06dD/5qwnM9Y8/NqDl5zpL5akvJgtFsm9+bBYvi/p4M8j2/MI&#10;WEFQNY+cjdvrmB0/Ur4iyVuV1Xjt5NgymSyLdHwQycXn53zr9dlungE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wiKQ7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:rsidR="009C156D" w:rsidRPr="00C97596" w:rsidRDefault="000C2BC6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</w:t>
                    </w:r>
                    <w:r w:rsidR="00245FBA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 w:rsidR="009C156D">
                      <w:rPr>
                        <w:rFonts w:ascii="Fira Sans SemiBold" w:hAnsi="Fira Sans SemiBold"/>
                        <w:color w:val="001D77"/>
                      </w:rPr>
                      <w:t>.0</w:t>
                    </w:r>
                    <w:r w:rsidR="00245FBA">
                      <w:rPr>
                        <w:rFonts w:ascii="Fira Sans SemiBold" w:hAnsi="Fira Sans SemiBold"/>
                        <w:color w:val="001D77"/>
                      </w:rPr>
                      <w:t>8</w:t>
                    </w:r>
                    <w:r w:rsidR="00A371FF">
                      <w:rPr>
                        <w:rFonts w:ascii="Fira Sans SemiBold" w:hAnsi="Fira Sans SemiBold"/>
                        <w:color w:val="001D77"/>
                      </w:rPr>
                      <w:t>.2019</w:t>
                    </w:r>
                    <w:r w:rsidR="009C156D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6D" w:rsidRDefault="009C156D">
    <w:pPr>
      <w:pStyle w:val="Nagwek"/>
    </w:pPr>
  </w:p>
  <w:p w:rsidR="009C156D" w:rsidRDefault="009C1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3pt;height:124.5pt;visibility:visible" o:bullet="t">
        <v:imagedata r:id="rId1" o:title=""/>
      </v:shape>
    </w:pict>
  </w:numPicBullet>
  <w:numPicBullet w:numPicBulletId="1">
    <w:pict>
      <v:shape id="_x0000_i1027" type="#_x0000_t75" style="width:123.75pt;height:124.5pt;visibility:visibl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6660D3"/>
    <w:multiLevelType w:val="hybridMultilevel"/>
    <w:tmpl w:val="E4B0E872"/>
    <w:lvl w:ilvl="0" w:tplc="18AE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4081"/>
    <w:multiLevelType w:val="hybridMultilevel"/>
    <w:tmpl w:val="1066547C"/>
    <w:lvl w:ilvl="0" w:tplc="616CF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87"/>
    <w:rsid w:val="00001C5B"/>
    <w:rsid w:val="00003437"/>
    <w:rsid w:val="0000709F"/>
    <w:rsid w:val="000108B8"/>
    <w:rsid w:val="000152F5"/>
    <w:rsid w:val="00034160"/>
    <w:rsid w:val="0004582E"/>
    <w:rsid w:val="0004646A"/>
    <w:rsid w:val="000470AA"/>
    <w:rsid w:val="00057CA1"/>
    <w:rsid w:val="000662E2"/>
    <w:rsid w:val="00066883"/>
    <w:rsid w:val="00074DD8"/>
    <w:rsid w:val="000806F7"/>
    <w:rsid w:val="00097840"/>
    <w:rsid w:val="000A6963"/>
    <w:rsid w:val="000A7F1A"/>
    <w:rsid w:val="000B0727"/>
    <w:rsid w:val="000B767C"/>
    <w:rsid w:val="000C0823"/>
    <w:rsid w:val="000C135D"/>
    <w:rsid w:val="000C2BC6"/>
    <w:rsid w:val="000D1D43"/>
    <w:rsid w:val="000D225C"/>
    <w:rsid w:val="000D2A5C"/>
    <w:rsid w:val="000E0918"/>
    <w:rsid w:val="000E3DF4"/>
    <w:rsid w:val="001011C3"/>
    <w:rsid w:val="00102C97"/>
    <w:rsid w:val="00106181"/>
    <w:rsid w:val="00110D87"/>
    <w:rsid w:val="001149A1"/>
    <w:rsid w:val="00114DB9"/>
    <w:rsid w:val="00116087"/>
    <w:rsid w:val="00130296"/>
    <w:rsid w:val="00135B65"/>
    <w:rsid w:val="00142037"/>
    <w:rsid w:val="001423B6"/>
    <w:rsid w:val="001448A7"/>
    <w:rsid w:val="00146621"/>
    <w:rsid w:val="00162325"/>
    <w:rsid w:val="001951DA"/>
    <w:rsid w:val="001B6916"/>
    <w:rsid w:val="001C3269"/>
    <w:rsid w:val="001D1DB4"/>
    <w:rsid w:val="001E1D94"/>
    <w:rsid w:val="001E7DBB"/>
    <w:rsid w:val="00245FBA"/>
    <w:rsid w:val="002574F9"/>
    <w:rsid w:val="00262B61"/>
    <w:rsid w:val="00276811"/>
    <w:rsid w:val="00276C9A"/>
    <w:rsid w:val="00282699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1B6A"/>
    <w:rsid w:val="00304F22"/>
    <w:rsid w:val="00305162"/>
    <w:rsid w:val="00306C7C"/>
    <w:rsid w:val="00322EDD"/>
    <w:rsid w:val="003279D3"/>
    <w:rsid w:val="00332320"/>
    <w:rsid w:val="00347D72"/>
    <w:rsid w:val="00357611"/>
    <w:rsid w:val="00362835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B1454"/>
    <w:rsid w:val="003B18B6"/>
    <w:rsid w:val="003B5C99"/>
    <w:rsid w:val="003C59E0"/>
    <w:rsid w:val="003C6C8D"/>
    <w:rsid w:val="003D4F95"/>
    <w:rsid w:val="003D5F42"/>
    <w:rsid w:val="003D60A9"/>
    <w:rsid w:val="003F4C97"/>
    <w:rsid w:val="003F5245"/>
    <w:rsid w:val="003F7FE6"/>
    <w:rsid w:val="00400193"/>
    <w:rsid w:val="004212E7"/>
    <w:rsid w:val="0042446D"/>
    <w:rsid w:val="00426ECB"/>
    <w:rsid w:val="00427BF8"/>
    <w:rsid w:val="00431C02"/>
    <w:rsid w:val="00435875"/>
    <w:rsid w:val="00437395"/>
    <w:rsid w:val="00445047"/>
    <w:rsid w:val="00454F47"/>
    <w:rsid w:val="004566AB"/>
    <w:rsid w:val="004601AC"/>
    <w:rsid w:val="00463E39"/>
    <w:rsid w:val="004657FC"/>
    <w:rsid w:val="004733F6"/>
    <w:rsid w:val="00474E69"/>
    <w:rsid w:val="0049621B"/>
    <w:rsid w:val="004C1895"/>
    <w:rsid w:val="004C6D40"/>
    <w:rsid w:val="004E053C"/>
    <w:rsid w:val="004E6396"/>
    <w:rsid w:val="004F0C3C"/>
    <w:rsid w:val="004F529E"/>
    <w:rsid w:val="004F63FC"/>
    <w:rsid w:val="00502E6F"/>
    <w:rsid w:val="00505A92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520D8"/>
    <w:rsid w:val="00556698"/>
    <w:rsid w:val="00556CF1"/>
    <w:rsid w:val="005741D2"/>
    <w:rsid w:val="005762A7"/>
    <w:rsid w:val="005877DE"/>
    <w:rsid w:val="005916D7"/>
    <w:rsid w:val="005A698C"/>
    <w:rsid w:val="005C1AF8"/>
    <w:rsid w:val="005D470D"/>
    <w:rsid w:val="005E0799"/>
    <w:rsid w:val="005E2988"/>
    <w:rsid w:val="005F5A80"/>
    <w:rsid w:val="006039C0"/>
    <w:rsid w:val="006044FF"/>
    <w:rsid w:val="00607CC5"/>
    <w:rsid w:val="00622953"/>
    <w:rsid w:val="00633014"/>
    <w:rsid w:val="0063437B"/>
    <w:rsid w:val="00637C1E"/>
    <w:rsid w:val="006673CA"/>
    <w:rsid w:val="00673C26"/>
    <w:rsid w:val="00674A8B"/>
    <w:rsid w:val="006812AF"/>
    <w:rsid w:val="0068327D"/>
    <w:rsid w:val="00685123"/>
    <w:rsid w:val="00691225"/>
    <w:rsid w:val="00694AF0"/>
    <w:rsid w:val="006A07DC"/>
    <w:rsid w:val="006A0D4D"/>
    <w:rsid w:val="006A4686"/>
    <w:rsid w:val="006B0E9E"/>
    <w:rsid w:val="006B208D"/>
    <w:rsid w:val="006B5AE4"/>
    <w:rsid w:val="006D1507"/>
    <w:rsid w:val="006D4054"/>
    <w:rsid w:val="006D6B72"/>
    <w:rsid w:val="006E0185"/>
    <w:rsid w:val="006E02EC"/>
    <w:rsid w:val="006F4F57"/>
    <w:rsid w:val="007018FE"/>
    <w:rsid w:val="007059D5"/>
    <w:rsid w:val="007162EB"/>
    <w:rsid w:val="007170D2"/>
    <w:rsid w:val="007211B1"/>
    <w:rsid w:val="00733D55"/>
    <w:rsid w:val="007356A6"/>
    <w:rsid w:val="00746187"/>
    <w:rsid w:val="00752A67"/>
    <w:rsid w:val="00761070"/>
    <w:rsid w:val="0076254F"/>
    <w:rsid w:val="007801F5"/>
    <w:rsid w:val="00783CA4"/>
    <w:rsid w:val="007842FB"/>
    <w:rsid w:val="00786124"/>
    <w:rsid w:val="0078756B"/>
    <w:rsid w:val="007908F3"/>
    <w:rsid w:val="0079514B"/>
    <w:rsid w:val="007A2DC1"/>
    <w:rsid w:val="007B74D8"/>
    <w:rsid w:val="007D3319"/>
    <w:rsid w:val="007D335D"/>
    <w:rsid w:val="007E3314"/>
    <w:rsid w:val="007E4B03"/>
    <w:rsid w:val="007F324B"/>
    <w:rsid w:val="007F7463"/>
    <w:rsid w:val="00802A9A"/>
    <w:rsid w:val="0080553C"/>
    <w:rsid w:val="00805B46"/>
    <w:rsid w:val="00820B10"/>
    <w:rsid w:val="00821373"/>
    <w:rsid w:val="0082498D"/>
    <w:rsid w:val="00825DC2"/>
    <w:rsid w:val="00831172"/>
    <w:rsid w:val="00831DEF"/>
    <w:rsid w:val="00834AD3"/>
    <w:rsid w:val="00835461"/>
    <w:rsid w:val="00841597"/>
    <w:rsid w:val="00843795"/>
    <w:rsid w:val="00843B1B"/>
    <w:rsid w:val="00847F0F"/>
    <w:rsid w:val="00852448"/>
    <w:rsid w:val="0088258A"/>
    <w:rsid w:val="008832C4"/>
    <w:rsid w:val="00883763"/>
    <w:rsid w:val="0088591B"/>
    <w:rsid w:val="00886332"/>
    <w:rsid w:val="008A0124"/>
    <w:rsid w:val="008A26D9"/>
    <w:rsid w:val="008C0C29"/>
    <w:rsid w:val="008C7A01"/>
    <w:rsid w:val="008F3638"/>
    <w:rsid w:val="008F4441"/>
    <w:rsid w:val="008F6F31"/>
    <w:rsid w:val="008F74DF"/>
    <w:rsid w:val="009127BA"/>
    <w:rsid w:val="00916782"/>
    <w:rsid w:val="009227A6"/>
    <w:rsid w:val="00933B26"/>
    <w:rsid w:val="00933EC1"/>
    <w:rsid w:val="009530DB"/>
    <w:rsid w:val="00953676"/>
    <w:rsid w:val="009705EE"/>
    <w:rsid w:val="00977927"/>
    <w:rsid w:val="0098135C"/>
    <w:rsid w:val="0098156A"/>
    <w:rsid w:val="00984AC4"/>
    <w:rsid w:val="00985747"/>
    <w:rsid w:val="00990133"/>
    <w:rsid w:val="0099079F"/>
    <w:rsid w:val="00991BAC"/>
    <w:rsid w:val="00996FF7"/>
    <w:rsid w:val="009A6EA0"/>
    <w:rsid w:val="009B1399"/>
    <w:rsid w:val="009C1335"/>
    <w:rsid w:val="009C156D"/>
    <w:rsid w:val="009C1AB2"/>
    <w:rsid w:val="009C3DFC"/>
    <w:rsid w:val="009C5407"/>
    <w:rsid w:val="009C7251"/>
    <w:rsid w:val="009E2E91"/>
    <w:rsid w:val="009E3BF4"/>
    <w:rsid w:val="009F5815"/>
    <w:rsid w:val="00A05423"/>
    <w:rsid w:val="00A07F00"/>
    <w:rsid w:val="00A12435"/>
    <w:rsid w:val="00A139F5"/>
    <w:rsid w:val="00A2136A"/>
    <w:rsid w:val="00A21A31"/>
    <w:rsid w:val="00A33F84"/>
    <w:rsid w:val="00A34C24"/>
    <w:rsid w:val="00A365F4"/>
    <w:rsid w:val="00A371FF"/>
    <w:rsid w:val="00A37CE0"/>
    <w:rsid w:val="00A460E6"/>
    <w:rsid w:val="00A46BD5"/>
    <w:rsid w:val="00A47D80"/>
    <w:rsid w:val="00A51E49"/>
    <w:rsid w:val="00A53132"/>
    <w:rsid w:val="00A563F2"/>
    <w:rsid w:val="00A566E8"/>
    <w:rsid w:val="00A61BA6"/>
    <w:rsid w:val="00A76691"/>
    <w:rsid w:val="00A810F9"/>
    <w:rsid w:val="00A8672C"/>
    <w:rsid w:val="00A86ECC"/>
    <w:rsid w:val="00A86FCC"/>
    <w:rsid w:val="00AA710D"/>
    <w:rsid w:val="00AB6D25"/>
    <w:rsid w:val="00AD3AF8"/>
    <w:rsid w:val="00AD4947"/>
    <w:rsid w:val="00AE20FD"/>
    <w:rsid w:val="00AE2D4B"/>
    <w:rsid w:val="00AE3075"/>
    <w:rsid w:val="00AE4F99"/>
    <w:rsid w:val="00B11B69"/>
    <w:rsid w:val="00B14952"/>
    <w:rsid w:val="00B31E5A"/>
    <w:rsid w:val="00B322EC"/>
    <w:rsid w:val="00B50227"/>
    <w:rsid w:val="00B609CE"/>
    <w:rsid w:val="00B63A9C"/>
    <w:rsid w:val="00B653AB"/>
    <w:rsid w:val="00B65F9E"/>
    <w:rsid w:val="00B66B19"/>
    <w:rsid w:val="00B914E9"/>
    <w:rsid w:val="00B93CB1"/>
    <w:rsid w:val="00B94737"/>
    <w:rsid w:val="00B956EE"/>
    <w:rsid w:val="00B97152"/>
    <w:rsid w:val="00BA2BA1"/>
    <w:rsid w:val="00BA3562"/>
    <w:rsid w:val="00BA5A42"/>
    <w:rsid w:val="00BB4F09"/>
    <w:rsid w:val="00BC2C5D"/>
    <w:rsid w:val="00BD4E33"/>
    <w:rsid w:val="00BF10BE"/>
    <w:rsid w:val="00C00EDA"/>
    <w:rsid w:val="00C030DE"/>
    <w:rsid w:val="00C22105"/>
    <w:rsid w:val="00C244B6"/>
    <w:rsid w:val="00C24B3B"/>
    <w:rsid w:val="00C27D75"/>
    <w:rsid w:val="00C3702F"/>
    <w:rsid w:val="00C4500A"/>
    <w:rsid w:val="00C4622B"/>
    <w:rsid w:val="00C55C91"/>
    <w:rsid w:val="00C64A37"/>
    <w:rsid w:val="00C7158E"/>
    <w:rsid w:val="00C7250B"/>
    <w:rsid w:val="00C7346B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4099"/>
    <w:rsid w:val="00D00796"/>
    <w:rsid w:val="00D02D2C"/>
    <w:rsid w:val="00D22C1B"/>
    <w:rsid w:val="00D261A2"/>
    <w:rsid w:val="00D32B9F"/>
    <w:rsid w:val="00D478C0"/>
    <w:rsid w:val="00D532FB"/>
    <w:rsid w:val="00D538E4"/>
    <w:rsid w:val="00D616D2"/>
    <w:rsid w:val="00D62A6B"/>
    <w:rsid w:val="00D63B5F"/>
    <w:rsid w:val="00D7066F"/>
    <w:rsid w:val="00D70EF7"/>
    <w:rsid w:val="00D72BB0"/>
    <w:rsid w:val="00D815F5"/>
    <w:rsid w:val="00D8397C"/>
    <w:rsid w:val="00D87084"/>
    <w:rsid w:val="00D94EED"/>
    <w:rsid w:val="00D96026"/>
    <w:rsid w:val="00DA0243"/>
    <w:rsid w:val="00DA433C"/>
    <w:rsid w:val="00DA7C1C"/>
    <w:rsid w:val="00DB147A"/>
    <w:rsid w:val="00DB1B7A"/>
    <w:rsid w:val="00DC6708"/>
    <w:rsid w:val="00DF712D"/>
    <w:rsid w:val="00E01436"/>
    <w:rsid w:val="00E045BD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4FA9"/>
    <w:rsid w:val="00E4714C"/>
    <w:rsid w:val="00E51AEB"/>
    <w:rsid w:val="00E522A7"/>
    <w:rsid w:val="00E54452"/>
    <w:rsid w:val="00E664C5"/>
    <w:rsid w:val="00E671A2"/>
    <w:rsid w:val="00E76D26"/>
    <w:rsid w:val="00E8329E"/>
    <w:rsid w:val="00EB02C9"/>
    <w:rsid w:val="00EB1390"/>
    <w:rsid w:val="00EB2C71"/>
    <w:rsid w:val="00EB4340"/>
    <w:rsid w:val="00EB556D"/>
    <w:rsid w:val="00EB5A7D"/>
    <w:rsid w:val="00ED55C0"/>
    <w:rsid w:val="00ED682B"/>
    <w:rsid w:val="00EE41D5"/>
    <w:rsid w:val="00EE696D"/>
    <w:rsid w:val="00EF7B36"/>
    <w:rsid w:val="00F037A4"/>
    <w:rsid w:val="00F12FEC"/>
    <w:rsid w:val="00F17C38"/>
    <w:rsid w:val="00F26013"/>
    <w:rsid w:val="00F27C8F"/>
    <w:rsid w:val="00F30A0C"/>
    <w:rsid w:val="00F32346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A5128"/>
    <w:rsid w:val="00FA5BDD"/>
    <w:rsid w:val="00FB42D4"/>
    <w:rsid w:val="00FB5906"/>
    <w:rsid w:val="00FB5EDF"/>
    <w:rsid w:val="00FB762F"/>
    <w:rsid w:val="00FC2AED"/>
    <w:rsid w:val="00FD5EA7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7012A-639C-4A87-A1CC-A197E308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15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56D"/>
    <w:rPr>
      <w:rFonts w:asciiTheme="majorHAnsi" w:eastAsiaTheme="majorEastAsia" w:hAnsiTheme="majorHAnsi" w:cstheme="majorBidi"/>
      <w:i/>
      <w:iCs/>
      <w:color w:val="1F4D78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://stat.gov.pl/sygnalne/informacje-sygnalne/" TargetMode="External"/><Relationship Id="rId39" Type="http://schemas.openxmlformats.org/officeDocument/2006/relationships/hyperlink" Target="http://stat.gov.pl/obszary-tematyczne/ceny-handel/wskazniki-cen/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stat.gov.pl/sygnalne/komunikaty-i-obwieszczenia/" TargetMode="External"/><Relationship Id="rId42" Type="http://schemas.openxmlformats.org/officeDocument/2006/relationships/hyperlink" Target="http://stat.gov.pl/metainformacje/slownik-pojec/pojecia-stosowane-w-statystyce-publicznej/32,pojecie.htm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.bobel@stat.gov.pl" TargetMode="External"/><Relationship Id="rId29" Type="http://schemas.openxmlformats.org/officeDocument/2006/relationships/hyperlink" Target="https://bdl.stat.gov.pl/BDL/sta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www.facebook.com/GlownyUrzadStatystyczny/" TargetMode="External"/><Relationship Id="rId32" Type="http://schemas.openxmlformats.org/officeDocument/2006/relationships/hyperlink" Target="http://stat.gov.pl/metainformacje/slownik-pojec/pojecia-stosowane-w-statystyce-publicznej/711,pojecie.html" TargetMode="External"/><Relationship Id="rId37" Type="http://schemas.openxmlformats.org/officeDocument/2006/relationships/hyperlink" Target="http://bdm.stat.gov.pl/" TargetMode="External"/><Relationship Id="rId40" Type="http://schemas.openxmlformats.org/officeDocument/2006/relationships/hyperlink" Target="http://stat.gov.pl/obszary-tematyczne/ceny-handel/ceny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hyperlink" Target="http://bdm.stat.gov.pl/" TargetMode="External"/><Relationship Id="rId36" Type="http://schemas.openxmlformats.org/officeDocument/2006/relationships/hyperlink" Target="http://swaid.stat.gov.pl/SitePagesDBW/Ceny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://stat.gov.pl/obszary-tematyczne/ceny-handel/ceny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twitter.com/GUS_STAT" TargetMode="External"/><Relationship Id="rId27" Type="http://schemas.openxmlformats.org/officeDocument/2006/relationships/hyperlink" Target="http://swaid.stat.gov.pl/SitePagesDBW/Ceny.aspx" TargetMode="External"/><Relationship Id="rId30" Type="http://schemas.openxmlformats.org/officeDocument/2006/relationships/hyperlink" Target="http://stat.gov.pl/obszary-tematyczne/ceny-handel/wskazniki-cen/" TargetMode="External"/><Relationship Id="rId35" Type="http://schemas.openxmlformats.org/officeDocument/2006/relationships/hyperlink" Target="http://stat.gov.pl/sygnalne/informacje-sygnalne/" TargetMode="Externa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rzecznik@stat.gov.pl" TargetMode="External"/><Relationship Id="rId25" Type="http://schemas.openxmlformats.org/officeDocument/2006/relationships/hyperlink" Target="http://stat.gov.pl/sygnalne/komunikaty-i-obwieszczenia/" TargetMode="External"/><Relationship Id="rId33" Type="http://schemas.openxmlformats.org/officeDocument/2006/relationships/hyperlink" Target="http://stat.gov.pl/metainformacje/slownik-pojec/pojecia-stosowane-w-statystyce-publicznej/32,pojecie.html" TargetMode="External"/><Relationship Id="rId38" Type="http://schemas.openxmlformats.org/officeDocument/2006/relationships/hyperlink" Target="https://bdl.stat.gov.pl/BDL/star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tat.gov.pl/" TargetMode="External"/><Relationship Id="rId41" Type="http://schemas.openxmlformats.org/officeDocument/2006/relationships/hyperlink" Target="http://stat.gov.pl/metainformacje/slownik-pojec/pojecia-stosowane-w-statystyce-publicznej/711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a\CenyDet\DyskF\ROBOCZY\Ula\Ci&#261;gutka_pier_str\WST_2019\WYKRESY\08\08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15"/>
            <c:bubble3D val="0"/>
          </c:dPt>
          <c:dPt>
            <c:idx val="16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3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3.6755531715898286E-2"/>
                  <c:y val="-4.4148926550842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09425625949E-2"/>
                  <c:y val="4.1105571164888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535167990874527E-2"/>
                  <c:y val="3.4055777512964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148996972653711E-2"/>
                  <c:y val="-3.8552395416986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531905897719798E-2"/>
                  <c:y val="-3.4291984054168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640794689651515E-2"/>
                  <c:y val="-3.7513815451738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6733745157820942E-2"/>
                  <c:y val="-4.4008081101369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715233403840325E-2"/>
                  <c:y val="-4.4764681022289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849150775854091E-2"/>
                  <c:y val="-4.3007191538085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890944085486297E-2"/>
                  <c:y val="-2.061449451972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9390156636676225E-2"/>
                  <c:y val="1.8859958461489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9506826828651686E-2"/>
                  <c:y val="3.7490036182741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624415938135311E-2"/>
                  <c:y val="3.3092741054822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1.0398987057498347E-2"/>
                  <c:y val="1.5612448900015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3139079080272255E-3"/>
                  <c:y val="-1.2642049604159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9.9935687460535952E-3"/>
                  <c:y val="1.113095759761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6.0037372168602471E-3"/>
                  <c:y val="2.3429403311673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6665288862287801E-2"/>
                  <c:y val="-3.927746227645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4183809211067055E-2"/>
                  <c:y val="-4.7520626666722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4.0938126798639576E-2"/>
                  <c:y val="-6.0978551828884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0706260344659732E-2"/>
                  <c:y val="-2.4252797016043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2.5257085968610992E-2"/>
                  <c:y val="-2.5301540068066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7642058611130302E-2"/>
                  <c:y val="2.8967865791458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5.0060486273245476E-2"/>
                  <c:y val="4.4721057871867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(+FE)'!$B$26:$B$45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'M-12 (+FE)'!$C$26:$C$45</c:f>
              <c:numCache>
                <c:formatCode>0.0</c:formatCode>
                <c:ptCount val="20"/>
                <c:pt idx="0">
                  <c:v>1.9000000000000057</c:v>
                </c:pt>
                <c:pt idx="1">
                  <c:v>1.4</c:v>
                </c:pt>
                <c:pt idx="2">
                  <c:v>1.3</c:v>
                </c:pt>
                <c:pt idx="3">
                  <c:v>1.6</c:v>
                </c:pt>
                <c:pt idx="4">
                  <c:v>1.7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1.9</c:v>
                </c:pt>
                <c:pt idx="9">
                  <c:v>1.8</c:v>
                </c:pt>
                <c:pt idx="10">
                  <c:v>1.3</c:v>
                </c:pt>
                <c:pt idx="11">
                  <c:v>1.1000000000000001</c:v>
                </c:pt>
                <c:pt idx="12">
                  <c:v>0.7</c:v>
                </c:pt>
                <c:pt idx="13">
                  <c:v>1.2</c:v>
                </c:pt>
                <c:pt idx="14">
                  <c:v>1.7</c:v>
                </c:pt>
                <c:pt idx="15">
                  <c:v>2.2000000000000002</c:v>
                </c:pt>
                <c:pt idx="16">
                  <c:v>2.4</c:v>
                </c:pt>
                <c:pt idx="17">
                  <c:v>2.6</c:v>
                </c:pt>
                <c:pt idx="18">
                  <c:v>2.9</c:v>
                </c:pt>
                <c:pt idx="19">
                  <c:v>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3060416"/>
        <c:axId val="1813056064"/>
      </c:lineChart>
      <c:dateAx>
        <c:axId val="1813060416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813056064"/>
        <c:crossesAt val="0"/>
        <c:auto val="0"/>
        <c:lblOffset val="100"/>
        <c:baseTimeUnit val="days"/>
      </c:dateAx>
      <c:valAx>
        <c:axId val="1813056064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pl-PL"/>
          </a:p>
        </c:txPr>
        <c:crossAx val="1813060416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0.06568</cdr:x>
      <cdr:y>0.92703</cdr:y>
    </cdr:from>
    <cdr:to>
      <cdr:x>0.71217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38667" y="2615596"/>
          <a:ext cx="3333750" cy="205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0.71217</cdr:x>
      <cdr:y>0.92328</cdr:y>
    </cdr:from>
    <cdr:to>
      <cdr:x>0.93469</cdr:x>
      <cdr:y>0.98875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672417" y="2605012"/>
          <a:ext cx="1147468" cy="184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2019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0.58356</cdr:x>
      <cdr:y>0.86858</cdr:y>
    </cdr:from>
    <cdr:to>
      <cdr:x>0.58382</cdr:x>
      <cdr:y>0.9562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V="1">
          <a:off x="2993505" y="2473255"/>
          <a:ext cx="1334" cy="24949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0978" y="1016404"/>
          <a:ext cx="4395884" cy="5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2418" y="1608731"/>
          <a:ext cx="4420789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629" y="433387"/>
          <a:ext cx="4410871" cy="3567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0.05477</cdr:x>
      <cdr:y>0.18552</cdr:y>
    </cdr:from>
    <cdr:to>
      <cdr:x>0.29101</cdr:x>
      <cdr:y>0.28183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9943" y="531585"/>
          <a:ext cx="1207423" cy="2759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0.17776</cdr:x>
      <cdr:y>0.26702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08539" y="765141"/>
          <a:ext cx="289804" cy="23788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0.48642</cdr:x>
      <cdr:y>0.15515</cdr:y>
    </cdr:from>
    <cdr:to>
      <cdr:x>0.57992</cdr:x>
      <cdr:y>0.23775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495200" y="441778"/>
          <a:ext cx="479629" cy="23520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0.48604</cdr:x>
      <cdr:y>0.23753</cdr:y>
    </cdr:from>
    <cdr:to>
      <cdr:x>0.62652</cdr:x>
      <cdr:y>0.55971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493265" y="676353"/>
          <a:ext cx="720624" cy="91739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0.2831</cdr:x>
      <cdr:y>0.19172</cdr:y>
    </cdr:from>
    <cdr:to>
      <cdr:x>0.52478</cdr:x>
      <cdr:y>0.31141</cdr:y>
    </cdr:to>
    <cdr:sp macro="" textlink="">
      <cdr:nvSpPr>
        <cdr:cNvPr id="22" name="pole tekstowe 1"/>
        <cdr:cNvSpPr txBox="1"/>
      </cdr:nvSpPr>
      <cdr:spPr>
        <a:xfrm xmlns:a="http://schemas.openxmlformats.org/drawingml/2006/main">
          <a:off x="1454370" y="548338"/>
          <a:ext cx="1241562" cy="342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</a:t>
          </a:r>
        </a:p>
        <a:p xmlns:a="http://schemas.openxmlformats.org/drawingml/2006/main">
          <a:pPr algn="l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inflacyjnego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9804-E15D-40D9-A3F2-808567566B9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0d47203-49ec-4c8c-a442-62231931aa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60BBC-E408-4DBE-A6FB-128E052B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Printed>2019-04-29T11:54:00Z</cp:lastPrinted>
  <dcterms:created xsi:type="dcterms:W3CDTF">2019-04-29T08:38:00Z</dcterms:created>
  <dcterms:modified xsi:type="dcterms:W3CDTF">2019-08-29T05:54:00Z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