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22" w:rsidRDefault="00685123" w:rsidP="003047EF">
      <w:pPr>
        <w:pStyle w:val="tytuinformacji"/>
      </w:pPr>
      <w:r w:rsidRPr="00876337">
        <w:t>Wskaźniki cen towarów i usług konsumpcyjnych w</w:t>
      </w:r>
      <w:r w:rsidR="00A90732">
        <w:t xml:space="preserve"> grudniu </w:t>
      </w:r>
      <w:r w:rsidR="00876337" w:rsidRPr="00876337">
        <w:t>2019</w:t>
      </w:r>
      <w:r w:rsidR="00EE696D" w:rsidRPr="00876337">
        <w:t xml:space="preserve"> r.</w:t>
      </w:r>
    </w:p>
    <w:p w:rsidR="00DA0C7E" w:rsidRPr="00DA0C7E" w:rsidRDefault="00DA0C7E" w:rsidP="003047EF">
      <w:pPr>
        <w:pStyle w:val="tytuinformacji"/>
        <w:rPr>
          <w:sz w:val="19"/>
          <w:szCs w:val="19"/>
        </w:rPr>
      </w:pPr>
    </w:p>
    <w:p w:rsidR="0061655B" w:rsidRDefault="009A206F" w:rsidP="00CF08EF">
      <w:pPr>
        <w:pStyle w:val="LID"/>
      </w:pPr>
      <w:r>
        <w:rPr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0;margin-top:6.2pt;width:2in;height:95.65pt;z-index:251772928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xJ6KAIAACM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" fillcolor="#001d77" stroked="f">
            <v:textbox style="mso-next-textbox:#Pole tekstowe 2">
              <w:txbxContent>
                <w:p w:rsidR="009A206F" w:rsidRPr="00D538E4" w:rsidRDefault="009A206F" w:rsidP="00D538E4">
                  <w:pPr>
                    <w:spacing w:after="0" w:line="240" w:lineRule="auto"/>
                    <w:rPr>
                      <w:rFonts w:ascii="Fira Sans SemiBold" w:hAnsi="Fira Sans SemiBold"/>
                      <w:color w:val="FFFFFF" w:themeColor="background1"/>
                      <w:sz w:val="72"/>
                    </w:rPr>
                  </w:pPr>
                  <w:r w:rsidRPr="00C61795">
                    <w:rPr>
                      <w:rFonts w:asciiTheme="minorHAnsi" w:hAnsiTheme="minorHAnsi"/>
                      <w:b/>
                      <w:noProof/>
                      <w:color w:val="001D77"/>
                      <w:sz w:val="22"/>
                      <w:lang w:val="en-GB" w:eastAsia="en-GB"/>
                    </w:rPr>
                    <w:drawing>
                      <wp:inline distT="0" distB="0" distL="0" distR="0" wp14:anchorId="0084162E" wp14:editId="66538BB2">
                        <wp:extent cx="334645" cy="334645"/>
                        <wp:effectExtent l="0" t="0" r="8255" b="8255"/>
                        <wp:docPr id="4" name="Obraz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4645" cy="3346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61795">
                    <w:rPr>
                      <w:noProof/>
                      <w:color w:val="001D77"/>
                      <w:lang w:eastAsia="pl-PL"/>
                    </w:rPr>
                    <w:t xml:space="preserve"> </w:t>
                  </w:r>
                  <w:r>
                    <w:rPr>
                      <w:rFonts w:ascii="Fira Sans SemiBold" w:hAnsi="Fira Sans SemiBold"/>
                      <w:color w:val="FFFFFF" w:themeColor="background1"/>
                      <w:sz w:val="72"/>
                    </w:rPr>
                    <w:t>3,4</w:t>
                  </w:r>
                  <w:r w:rsidRPr="004D3ABE">
                    <w:rPr>
                      <w:rFonts w:ascii="Fira Sans SemiBold" w:hAnsi="Fira Sans SemiBold"/>
                      <w:color w:val="FFFFFF" w:themeColor="background1"/>
                      <w:sz w:val="72"/>
                    </w:rPr>
                    <w:t>%</w:t>
                  </w:r>
                </w:p>
                <w:p w:rsidR="009A206F" w:rsidRDefault="009A206F" w:rsidP="00A27522">
                  <w:pPr>
                    <w:pStyle w:val="tekstnaniebieskimtle"/>
                  </w:pPr>
                  <w:r>
                    <w:t xml:space="preserve">wzrost w porównaniu </w:t>
                  </w:r>
                </w:p>
                <w:p w:rsidR="009A206F" w:rsidRDefault="009A206F" w:rsidP="00A27522">
                  <w:pPr>
                    <w:pStyle w:val="tekstnaniebieskimtle"/>
                  </w:pPr>
                  <w:r>
                    <w:t xml:space="preserve">z analogicznym miesiącem </w:t>
                  </w:r>
                </w:p>
                <w:p w:rsidR="009A206F" w:rsidRPr="00D538E4" w:rsidRDefault="009A206F" w:rsidP="00A27522">
                  <w:pPr>
                    <w:pStyle w:val="tekstnaniebieskimtle"/>
                    <w:rPr>
                      <w:color w:val="FFFFFF" w:themeColor="background1"/>
                      <w:sz w:val="18"/>
                      <w:szCs w:val="20"/>
                    </w:rPr>
                  </w:pPr>
                  <w:r>
                    <w:t>poprzedniego roku</w:t>
                  </w:r>
                </w:p>
              </w:txbxContent>
            </v:textbox>
            <w10:wrap type="square" anchorx="margin"/>
          </v:shape>
        </w:pict>
      </w:r>
      <w:r w:rsidR="00D538E4" w:rsidRPr="00E24A25">
        <w:t>Ceny t</w:t>
      </w:r>
      <w:r w:rsidR="00A27522" w:rsidRPr="00E24A25">
        <w:t>o</w:t>
      </w:r>
      <w:r w:rsidR="00E24A25" w:rsidRPr="00E24A25">
        <w:t xml:space="preserve">warów i usług konsumpcyjnych w grudniu </w:t>
      </w:r>
      <w:r w:rsidR="00D538E4" w:rsidRPr="00E24A25">
        <w:t>201</w:t>
      </w:r>
      <w:r w:rsidR="006D5C42" w:rsidRPr="00E24A25">
        <w:t>9</w:t>
      </w:r>
      <w:r w:rsidR="000F2650" w:rsidRPr="00E24A25">
        <w:t xml:space="preserve"> r. </w:t>
      </w:r>
      <w:r w:rsidR="00E24A25" w:rsidRPr="00E24A25">
        <w:t>w porównaniu z analo</w:t>
      </w:r>
      <w:r w:rsidR="00E24A25" w:rsidRPr="00E24A25">
        <w:softHyphen/>
        <w:t xml:space="preserve">gicznym miesiącem ub. roku wzrosły o </w:t>
      </w:r>
      <w:r w:rsidR="00E24A25">
        <w:t>3,4</w:t>
      </w:r>
      <w:r w:rsidR="00E24A25" w:rsidRPr="00E24A25">
        <w:t xml:space="preserve">% (przy wzroście cen usług – o </w:t>
      </w:r>
      <w:r w:rsidR="00E24A25">
        <w:t>6,1</w:t>
      </w:r>
      <w:r w:rsidR="00145121">
        <w:t xml:space="preserve">% </w:t>
      </w:r>
      <w:r w:rsidR="00E24A25" w:rsidRPr="00E24A25">
        <w:t>i</w:t>
      </w:r>
      <w:r w:rsidR="00E24A25">
        <w:t> </w:t>
      </w:r>
      <w:r w:rsidR="00E24A25" w:rsidRPr="00E24A25">
        <w:t xml:space="preserve">towarów – o </w:t>
      </w:r>
      <w:r w:rsidR="00E24A25">
        <w:t>2,4</w:t>
      </w:r>
      <w:r w:rsidR="00E24A25" w:rsidRPr="00E24A25">
        <w:t>%).</w:t>
      </w:r>
      <w:r w:rsidR="00917CCF" w:rsidRPr="00A90732">
        <w:rPr>
          <w:highlight w:val="yellow"/>
        </w:rPr>
        <w:br/>
      </w:r>
      <w:r w:rsidR="00E24A25" w:rsidRPr="00E24A25">
        <w:t>W stosunku do poprzedniego miesiąca ceny towarów i</w:t>
      </w:r>
      <w:r w:rsidR="00E24A25">
        <w:t> </w:t>
      </w:r>
      <w:r w:rsidR="00E24A25" w:rsidRPr="00E24A25">
        <w:t xml:space="preserve">usług wzrosły </w:t>
      </w:r>
      <w:r w:rsidR="006D6B72" w:rsidRPr="00E24A25">
        <w:t>o</w:t>
      </w:r>
      <w:r w:rsidR="00D538E4" w:rsidRPr="00E24A25">
        <w:t xml:space="preserve"> </w:t>
      </w:r>
      <w:r w:rsidR="00E24A25" w:rsidRPr="00E24A25">
        <w:t>0,8</w:t>
      </w:r>
      <w:r w:rsidR="00D538E4" w:rsidRPr="00E24A25">
        <w:t>% (w tym</w:t>
      </w:r>
      <w:r w:rsidR="00AA569E" w:rsidRPr="00E24A25">
        <w:t xml:space="preserve"> usług </w:t>
      </w:r>
      <w:r w:rsidR="00D538E4" w:rsidRPr="00E24A25">
        <w:t>–</w:t>
      </w:r>
      <w:r w:rsidR="00B94737" w:rsidRPr="00E24A25">
        <w:t xml:space="preserve"> </w:t>
      </w:r>
      <w:r w:rsidR="00D538E4" w:rsidRPr="00E24A25">
        <w:t>o </w:t>
      </w:r>
      <w:r w:rsidR="00E24A25">
        <w:t>1</w:t>
      </w:r>
      <w:r w:rsidR="00AA569E" w:rsidRPr="00E24A25">
        <w:t>,</w:t>
      </w:r>
      <w:r w:rsidR="00E24A25">
        <w:t>5</w:t>
      </w:r>
      <w:r w:rsidR="00D538E4" w:rsidRPr="00E24A25">
        <w:t>% i </w:t>
      </w:r>
      <w:r w:rsidR="00AA569E" w:rsidRPr="00E24A25">
        <w:t>towarów</w:t>
      </w:r>
      <w:r w:rsidR="00EB73D7" w:rsidRPr="00E24A25">
        <w:t xml:space="preserve"> </w:t>
      </w:r>
      <w:r w:rsidR="00E24A25">
        <w:t>– o 0</w:t>
      </w:r>
      <w:r w:rsidR="00D538E4" w:rsidRPr="00E24A25">
        <w:t>,</w:t>
      </w:r>
      <w:r w:rsidR="00E24A25">
        <w:t>5</w:t>
      </w:r>
      <w:r w:rsidR="00D538E4" w:rsidRPr="00E24A25">
        <w:t>%).</w:t>
      </w:r>
    </w:p>
    <w:p w:rsidR="00A27522" w:rsidRDefault="00A27522" w:rsidP="00CF08EF">
      <w:pPr>
        <w:pStyle w:val="LID"/>
      </w:pPr>
    </w:p>
    <w:p w:rsidR="000B60D7" w:rsidRDefault="00A27522" w:rsidP="00A90732">
      <w:pPr>
        <w:pStyle w:val="tytuwykresu"/>
        <w:spacing w:before="0" w:after="0"/>
        <w:rPr>
          <w:bCs/>
          <w:shd w:val="clear" w:color="auto" w:fill="FFFFFF"/>
        </w:rPr>
      </w:pPr>
      <w:r w:rsidRPr="006D5C42">
        <w:t>Tablica 1.</w:t>
      </w:r>
      <w:r w:rsidRPr="006D5C42">
        <w:rPr>
          <w:shd w:val="clear" w:color="auto" w:fill="FFFFFF"/>
        </w:rPr>
        <w:t xml:space="preserve"> </w:t>
      </w:r>
      <w:r w:rsidRPr="006D5C42">
        <w:rPr>
          <w:bCs/>
          <w:shd w:val="clear" w:color="auto" w:fill="FFFFFF"/>
        </w:rPr>
        <w:t>Wskaźniki cen towarów i usług konsumpcyjnych w</w:t>
      </w:r>
      <w:r w:rsidR="00A90732">
        <w:rPr>
          <w:bCs/>
          <w:shd w:val="clear" w:color="auto" w:fill="FFFFFF"/>
        </w:rPr>
        <w:t xml:space="preserve"> grudniu </w:t>
      </w:r>
      <w:r w:rsidRPr="006D5C42">
        <w:t>2019 </w:t>
      </w:r>
      <w:r w:rsidRPr="006D5C42">
        <w:rPr>
          <w:bCs/>
          <w:shd w:val="clear" w:color="auto" w:fill="FFFFFF"/>
        </w:rPr>
        <w:t>r.</w:t>
      </w:r>
    </w:p>
    <w:p w:rsidR="009A206F" w:rsidRDefault="009A206F" w:rsidP="00A90732">
      <w:pPr>
        <w:pStyle w:val="tytuwykresu"/>
        <w:spacing w:before="0" w:after="0"/>
        <w:rPr>
          <w:bCs/>
          <w:shd w:val="clear" w:color="auto" w:fill="FFFFFF"/>
        </w:rPr>
      </w:pPr>
    </w:p>
    <w:tbl>
      <w:tblPr>
        <w:tblStyle w:val="Siatkatabelijasna112"/>
        <w:tblpPr w:leftFromText="141" w:rightFromText="141" w:vertAnchor="text" w:horzAnchor="margin" w:tblpY="201"/>
        <w:tblW w:w="8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270"/>
        <w:gridCol w:w="1099"/>
        <w:gridCol w:w="992"/>
        <w:gridCol w:w="992"/>
        <w:gridCol w:w="992"/>
        <w:gridCol w:w="993"/>
        <w:gridCol w:w="945"/>
      </w:tblGrid>
      <w:tr w:rsidR="000B60D7" w:rsidRPr="00A90732" w:rsidTr="000B60D7">
        <w:trPr>
          <w:cantSplit/>
          <w:trHeight w:val="367"/>
        </w:trPr>
        <w:tc>
          <w:tcPr>
            <w:tcW w:w="2270" w:type="dxa"/>
            <w:vMerge w:val="restart"/>
            <w:vAlign w:val="center"/>
          </w:tcPr>
          <w:p w:rsidR="000B60D7" w:rsidRPr="00A90732" w:rsidRDefault="000B60D7" w:rsidP="000B60D7">
            <w:pPr>
              <w:keepNext/>
              <w:tabs>
                <w:tab w:val="right" w:leader="dot" w:pos="4139"/>
              </w:tabs>
              <w:spacing w:before="0" w:after="0" w:line="240" w:lineRule="auto"/>
              <w:jc w:val="center"/>
              <w:outlineLvl w:val="0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A90732"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2091" w:type="dxa"/>
            <w:gridSpan w:val="2"/>
            <w:vAlign w:val="center"/>
          </w:tcPr>
          <w:p w:rsidR="000B60D7" w:rsidRPr="00A90732" w:rsidRDefault="000B60D7" w:rsidP="000B60D7">
            <w:pPr>
              <w:keepNext/>
              <w:keepLines/>
              <w:spacing w:before="0" w:after="0"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A90732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XII</w:t>
            </w:r>
            <w:r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 xml:space="preserve"> 2019</w:t>
            </w:r>
          </w:p>
        </w:tc>
        <w:tc>
          <w:tcPr>
            <w:tcW w:w="1984" w:type="dxa"/>
            <w:gridSpan w:val="2"/>
          </w:tcPr>
          <w:p w:rsidR="000B60D7" w:rsidRPr="00A90732" w:rsidRDefault="000B60D7" w:rsidP="000B60D7">
            <w:pPr>
              <w:keepNext/>
              <w:keepLines/>
              <w:spacing w:before="0" w:after="0"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A90732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X-XII</w:t>
            </w:r>
            <w:r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 xml:space="preserve"> 2019</w:t>
            </w:r>
          </w:p>
        </w:tc>
        <w:tc>
          <w:tcPr>
            <w:tcW w:w="993" w:type="dxa"/>
          </w:tcPr>
          <w:p w:rsidR="000B60D7" w:rsidRPr="00A90732" w:rsidRDefault="000B60D7" w:rsidP="000B60D7">
            <w:pPr>
              <w:keepNext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90732"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I-XII</w:t>
            </w:r>
            <w:r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2019</w:t>
            </w:r>
          </w:p>
        </w:tc>
        <w:tc>
          <w:tcPr>
            <w:tcW w:w="945" w:type="dxa"/>
            <w:vMerge w:val="restart"/>
            <w:vAlign w:val="center"/>
          </w:tcPr>
          <w:p w:rsidR="000B60D7" w:rsidRPr="00A90732" w:rsidRDefault="000B60D7" w:rsidP="000B60D7">
            <w:pPr>
              <w:keepNext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90732"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  <w:t>WPŁYW ZMIAN</w:t>
            </w:r>
          </w:p>
          <w:p w:rsidR="000B60D7" w:rsidRPr="00A90732" w:rsidRDefault="000B60D7" w:rsidP="000B60D7">
            <w:pPr>
              <w:keepNext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90732"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  <w:t>XI</w:t>
            </w:r>
            <w:r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  <w:t xml:space="preserve"> 2019</w:t>
            </w:r>
            <w:r w:rsidRPr="00A90732"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  <w:t>=</w:t>
            </w:r>
            <w:r w:rsidRPr="00A90732"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  <w:br/>
              <w:t>=100</w:t>
            </w:r>
          </w:p>
        </w:tc>
      </w:tr>
      <w:tr w:rsidR="000B60D7" w:rsidRPr="00A90732" w:rsidTr="00145121">
        <w:trPr>
          <w:cantSplit/>
          <w:trHeight w:val="57"/>
        </w:trPr>
        <w:tc>
          <w:tcPr>
            <w:tcW w:w="2270" w:type="dxa"/>
            <w:vMerge/>
            <w:tcBorders>
              <w:bottom w:val="single" w:sz="12" w:space="0" w:color="212492"/>
            </w:tcBorders>
            <w:vAlign w:val="center"/>
          </w:tcPr>
          <w:p w:rsidR="000B60D7" w:rsidRPr="00A90732" w:rsidRDefault="000B60D7" w:rsidP="000B60D7">
            <w:pPr>
              <w:keepNext/>
              <w:tabs>
                <w:tab w:val="right" w:leader="dot" w:pos="4139"/>
              </w:tabs>
              <w:spacing w:before="240" w:after="0" w:line="240" w:lineRule="auto"/>
              <w:jc w:val="center"/>
              <w:outlineLvl w:val="0"/>
              <w:rPr>
                <w:rFonts w:ascii="Fira Sans SemiBold" w:eastAsia="Times New Roman" w:hAnsi="Fira Sans SemiBold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99" w:type="dxa"/>
            <w:tcBorders>
              <w:bottom w:val="single" w:sz="12" w:space="0" w:color="212492"/>
            </w:tcBorders>
            <w:vAlign w:val="center"/>
          </w:tcPr>
          <w:p w:rsidR="000B60D7" w:rsidRPr="00A90732" w:rsidRDefault="000B60D7" w:rsidP="00145121">
            <w:pPr>
              <w:keepNext/>
              <w:keepLines/>
              <w:spacing w:before="0" w:after="0"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XII 2018</w:t>
            </w:r>
            <w:r w:rsidRPr="00A90732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=</w:t>
            </w:r>
            <w:r w:rsidRPr="00A90732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br/>
              <w:t>=100</w:t>
            </w:r>
          </w:p>
        </w:tc>
        <w:tc>
          <w:tcPr>
            <w:tcW w:w="992" w:type="dxa"/>
            <w:tcBorders>
              <w:bottom w:val="single" w:sz="12" w:space="0" w:color="212492"/>
            </w:tcBorders>
            <w:vAlign w:val="center"/>
          </w:tcPr>
          <w:p w:rsidR="000B60D7" w:rsidRPr="00A90732" w:rsidRDefault="000B60D7" w:rsidP="00145121">
            <w:pPr>
              <w:keepNext/>
              <w:keepLines/>
              <w:spacing w:before="0" w:after="0"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XI 2019</w:t>
            </w:r>
            <w:r w:rsidRPr="00A90732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=</w:t>
            </w:r>
            <w:r w:rsidRPr="00A90732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br/>
              <w:t>=100</w:t>
            </w:r>
          </w:p>
        </w:tc>
        <w:tc>
          <w:tcPr>
            <w:tcW w:w="992" w:type="dxa"/>
            <w:tcBorders>
              <w:bottom w:val="single" w:sz="12" w:space="0" w:color="212492"/>
            </w:tcBorders>
            <w:vAlign w:val="center"/>
          </w:tcPr>
          <w:p w:rsidR="000B60D7" w:rsidRPr="00A90732" w:rsidRDefault="000B60D7" w:rsidP="00145121">
            <w:pPr>
              <w:keepNext/>
              <w:keepLines/>
              <w:spacing w:before="0" w:after="0"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X-XII 2018</w:t>
            </w:r>
            <w:r w:rsidRPr="00A90732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=100</w:t>
            </w:r>
          </w:p>
        </w:tc>
        <w:tc>
          <w:tcPr>
            <w:tcW w:w="992" w:type="dxa"/>
            <w:tcBorders>
              <w:bottom w:val="single" w:sz="12" w:space="0" w:color="212492"/>
            </w:tcBorders>
            <w:vAlign w:val="center"/>
          </w:tcPr>
          <w:p w:rsidR="000B60D7" w:rsidRPr="00A90732" w:rsidRDefault="000B60D7" w:rsidP="00145121">
            <w:pPr>
              <w:keepNext/>
              <w:keepLines/>
              <w:spacing w:before="0" w:after="0"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VII-IX 2019</w:t>
            </w:r>
            <w:r w:rsidRPr="00A90732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=100</w:t>
            </w:r>
          </w:p>
        </w:tc>
        <w:tc>
          <w:tcPr>
            <w:tcW w:w="993" w:type="dxa"/>
            <w:tcBorders>
              <w:bottom w:val="single" w:sz="12" w:space="0" w:color="212492"/>
            </w:tcBorders>
            <w:vAlign w:val="center"/>
          </w:tcPr>
          <w:p w:rsidR="000B60D7" w:rsidRPr="00A90732" w:rsidRDefault="000B60D7" w:rsidP="00145121">
            <w:pPr>
              <w:keepNext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90732"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I-XII 201</w:t>
            </w:r>
            <w:r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8</w:t>
            </w:r>
            <w:r w:rsidRPr="00A90732"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=100</w:t>
            </w:r>
          </w:p>
        </w:tc>
        <w:tc>
          <w:tcPr>
            <w:tcW w:w="945" w:type="dxa"/>
            <w:vMerge/>
            <w:tcBorders>
              <w:bottom w:val="single" w:sz="12" w:space="0" w:color="212492"/>
            </w:tcBorders>
            <w:vAlign w:val="center"/>
          </w:tcPr>
          <w:p w:rsidR="000B60D7" w:rsidRPr="00A90732" w:rsidRDefault="000B60D7" w:rsidP="000B60D7">
            <w:pPr>
              <w:keepNext/>
              <w:keepLines/>
              <w:spacing w:after="0"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</w:p>
        </w:tc>
      </w:tr>
      <w:tr w:rsidR="00417625" w:rsidRPr="00A90732" w:rsidTr="00B250D5">
        <w:trPr>
          <w:cantSplit/>
          <w:trHeight w:val="57"/>
        </w:trPr>
        <w:tc>
          <w:tcPr>
            <w:tcW w:w="2270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417625" w:rsidRPr="00A90732" w:rsidRDefault="00417625" w:rsidP="00417625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4"/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</w:pPr>
            <w:r w:rsidRPr="00A90732"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1099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417625" w:rsidRPr="00417625" w:rsidRDefault="00417625" w:rsidP="00B250D5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417625">
              <w:rPr>
                <w:rFonts w:cs="Arial"/>
                <w:b/>
                <w:color w:val="000000" w:themeColor="text1"/>
                <w:sz w:val="16"/>
                <w:szCs w:val="16"/>
              </w:rPr>
              <w:t>103,4</w:t>
            </w:r>
          </w:p>
        </w:tc>
        <w:tc>
          <w:tcPr>
            <w:tcW w:w="992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417625" w:rsidRPr="00417625" w:rsidRDefault="00417625" w:rsidP="00B250D5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417625">
              <w:rPr>
                <w:rFonts w:cs="Arial"/>
                <w:b/>
                <w:color w:val="000000" w:themeColor="text1"/>
                <w:sz w:val="16"/>
                <w:szCs w:val="16"/>
              </w:rPr>
              <w:t>100,8</w:t>
            </w:r>
          </w:p>
        </w:tc>
        <w:tc>
          <w:tcPr>
            <w:tcW w:w="992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417625" w:rsidRPr="00417625" w:rsidRDefault="00417625" w:rsidP="00B250D5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417625">
              <w:rPr>
                <w:rFonts w:cs="Arial"/>
                <w:b/>
                <w:color w:val="000000" w:themeColor="text1"/>
                <w:sz w:val="16"/>
                <w:szCs w:val="16"/>
              </w:rPr>
              <w:t>102,8</w:t>
            </w:r>
          </w:p>
        </w:tc>
        <w:tc>
          <w:tcPr>
            <w:tcW w:w="992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417625" w:rsidRPr="00417625" w:rsidRDefault="00417625" w:rsidP="00B250D5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417625">
              <w:rPr>
                <w:rFonts w:cs="Arial"/>
                <w:b/>
                <w:color w:val="000000" w:themeColor="text1"/>
                <w:sz w:val="16"/>
                <w:szCs w:val="16"/>
              </w:rPr>
              <w:t>100,6</w:t>
            </w:r>
          </w:p>
        </w:tc>
        <w:tc>
          <w:tcPr>
            <w:tcW w:w="993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417625" w:rsidRPr="00417625" w:rsidRDefault="00417625" w:rsidP="00B250D5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417625">
              <w:rPr>
                <w:rFonts w:cs="Arial"/>
                <w:b/>
                <w:color w:val="000000" w:themeColor="text1"/>
                <w:sz w:val="16"/>
                <w:szCs w:val="16"/>
              </w:rPr>
              <w:t>102,3</w:t>
            </w:r>
          </w:p>
        </w:tc>
        <w:tc>
          <w:tcPr>
            <w:tcW w:w="945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417625" w:rsidRPr="00417625" w:rsidRDefault="00417625" w:rsidP="00B250D5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417625">
              <w:rPr>
                <w:rFonts w:cs="Arial"/>
                <w:b/>
                <w:color w:val="000000" w:themeColor="text1"/>
                <w:sz w:val="16"/>
                <w:szCs w:val="16"/>
              </w:rPr>
              <w:t>x</w:t>
            </w:r>
          </w:p>
        </w:tc>
      </w:tr>
      <w:tr w:rsidR="00417625" w:rsidRPr="00A90732" w:rsidTr="00B250D5">
        <w:trPr>
          <w:cantSplit/>
          <w:trHeight w:val="57"/>
        </w:trPr>
        <w:tc>
          <w:tcPr>
            <w:tcW w:w="227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417625" w:rsidRPr="00A90732" w:rsidRDefault="00417625" w:rsidP="00417625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 w:rsidRPr="00A90732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  <w:t xml:space="preserve">Żywność i napoje </w:t>
            </w:r>
            <w:r w:rsidRPr="00A90732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  <w:br/>
              <w:t>bezalkoholowe</w:t>
            </w:r>
          </w:p>
        </w:tc>
        <w:tc>
          <w:tcPr>
            <w:tcW w:w="1099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417625" w:rsidRPr="00FD39F6" w:rsidRDefault="00417625" w:rsidP="00B250D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D39F6">
              <w:rPr>
                <w:rFonts w:cs="Arial"/>
                <w:color w:val="000000" w:themeColor="text1"/>
                <w:sz w:val="16"/>
                <w:szCs w:val="16"/>
              </w:rPr>
              <w:t>106,9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417625" w:rsidRPr="00FD39F6" w:rsidRDefault="00417625" w:rsidP="00B250D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D39F6">
              <w:rPr>
                <w:rFonts w:cs="Arial"/>
                <w:color w:val="000000" w:themeColor="text1"/>
                <w:sz w:val="16"/>
                <w:szCs w:val="16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417625" w:rsidRPr="00FD39F6" w:rsidRDefault="00417625" w:rsidP="00B250D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D39F6">
              <w:rPr>
                <w:rFonts w:cs="Arial"/>
                <w:color w:val="000000" w:themeColor="text1"/>
                <w:sz w:val="16"/>
                <w:szCs w:val="16"/>
              </w:rPr>
              <w:t>106,5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417625" w:rsidRPr="00FD39F6" w:rsidRDefault="00417625" w:rsidP="00B250D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D39F6">
              <w:rPr>
                <w:rFonts w:cs="Arial"/>
                <w:color w:val="000000" w:themeColor="text1"/>
                <w:sz w:val="16"/>
                <w:szCs w:val="16"/>
              </w:rPr>
              <w:t>100,7</w:t>
            </w:r>
          </w:p>
        </w:tc>
        <w:tc>
          <w:tcPr>
            <w:tcW w:w="993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417625" w:rsidRPr="00FD39F6" w:rsidRDefault="00417625" w:rsidP="00B250D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D39F6">
              <w:rPr>
                <w:rFonts w:cs="Arial"/>
                <w:color w:val="000000" w:themeColor="text1"/>
                <w:sz w:val="16"/>
                <w:szCs w:val="16"/>
              </w:rPr>
              <w:t>104,9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417625" w:rsidRPr="00FD39F6" w:rsidRDefault="00417625" w:rsidP="00B250D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D39F6">
              <w:rPr>
                <w:rFonts w:cs="Arial"/>
                <w:color w:val="000000" w:themeColor="text1"/>
                <w:sz w:val="16"/>
                <w:szCs w:val="16"/>
              </w:rPr>
              <w:t>0,30</w:t>
            </w:r>
          </w:p>
        </w:tc>
      </w:tr>
      <w:tr w:rsidR="00417625" w:rsidRPr="00A90732" w:rsidTr="00B250D5">
        <w:trPr>
          <w:cantSplit/>
          <w:trHeight w:val="57"/>
        </w:trPr>
        <w:tc>
          <w:tcPr>
            <w:tcW w:w="227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417625" w:rsidRPr="00A90732" w:rsidRDefault="00417625" w:rsidP="00417625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 w:rsidRPr="00A90732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  <w:t xml:space="preserve">Napoje alkoholowe </w:t>
            </w:r>
            <w:r w:rsidRPr="00A90732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  <w:br/>
              <w:t>i wyroby tytoniowe</w:t>
            </w:r>
          </w:p>
        </w:tc>
        <w:tc>
          <w:tcPr>
            <w:tcW w:w="1099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417625" w:rsidRPr="00FD39F6" w:rsidRDefault="00417625" w:rsidP="00B250D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D39F6">
              <w:rPr>
                <w:rFonts w:cs="Arial"/>
                <w:color w:val="000000" w:themeColor="text1"/>
                <w:sz w:val="16"/>
                <w:szCs w:val="16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417625" w:rsidRPr="00FD39F6" w:rsidRDefault="00417625" w:rsidP="00B250D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D39F6">
              <w:rPr>
                <w:rFonts w:cs="Arial"/>
                <w:color w:val="000000" w:themeColor="text1"/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417625" w:rsidRPr="00FD39F6" w:rsidRDefault="00417625" w:rsidP="00B250D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D39F6">
              <w:rPr>
                <w:rFonts w:cs="Arial"/>
                <w:color w:val="000000" w:themeColor="text1"/>
                <w:sz w:val="16"/>
                <w:szCs w:val="16"/>
              </w:rPr>
              <w:t>101,4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417625" w:rsidRPr="00FD39F6" w:rsidRDefault="00417625" w:rsidP="00B250D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D39F6">
              <w:rPr>
                <w:rFonts w:cs="Arial"/>
                <w:color w:val="000000" w:themeColor="text1"/>
                <w:sz w:val="16"/>
                <w:szCs w:val="16"/>
              </w:rPr>
              <w:t>100,2</w:t>
            </w:r>
          </w:p>
        </w:tc>
        <w:tc>
          <w:tcPr>
            <w:tcW w:w="993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417625" w:rsidRPr="00FD39F6" w:rsidRDefault="00417625" w:rsidP="00B250D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D39F6">
              <w:rPr>
                <w:rFonts w:cs="Arial"/>
                <w:color w:val="000000" w:themeColor="text1"/>
                <w:sz w:val="16"/>
                <w:szCs w:val="16"/>
              </w:rPr>
              <w:t>101,3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417625" w:rsidRPr="00FD39F6" w:rsidRDefault="00417625" w:rsidP="00B250D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D39F6">
              <w:rPr>
                <w:rFonts w:cs="Arial"/>
                <w:color w:val="000000" w:themeColor="text1"/>
                <w:sz w:val="16"/>
                <w:szCs w:val="16"/>
              </w:rPr>
              <w:t>-0,01</w:t>
            </w:r>
          </w:p>
        </w:tc>
      </w:tr>
      <w:tr w:rsidR="00FD39F6" w:rsidRPr="00A90732" w:rsidTr="00B250D5">
        <w:trPr>
          <w:cantSplit/>
          <w:trHeight w:val="57"/>
        </w:trPr>
        <w:tc>
          <w:tcPr>
            <w:tcW w:w="227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FD39F6" w:rsidRPr="00A90732" w:rsidRDefault="00FD39F6" w:rsidP="00FD39F6">
            <w:pPr>
              <w:tabs>
                <w:tab w:val="right" w:leader="dot" w:pos="4156"/>
              </w:tabs>
              <w:contextualSpacing/>
              <w:rPr>
                <w:color w:val="000000" w:themeColor="text1"/>
                <w:sz w:val="16"/>
                <w:szCs w:val="16"/>
              </w:rPr>
            </w:pPr>
            <w:r w:rsidRPr="00A90732">
              <w:rPr>
                <w:rFonts w:cstheme="majorBidi"/>
                <w:bCs/>
                <w:color w:val="000000" w:themeColor="text1"/>
                <w:sz w:val="16"/>
                <w:szCs w:val="16"/>
              </w:rPr>
              <w:t>Odzież i obuwie</w:t>
            </w:r>
          </w:p>
        </w:tc>
        <w:tc>
          <w:tcPr>
            <w:tcW w:w="1099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FD39F6" w:rsidRPr="00FD39F6" w:rsidRDefault="00FD39F6" w:rsidP="00B250D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D39F6">
              <w:rPr>
                <w:rFonts w:cs="Arial"/>
                <w:color w:val="000000" w:themeColor="text1"/>
                <w:sz w:val="16"/>
                <w:szCs w:val="16"/>
              </w:rPr>
              <w:t>98,8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FD39F6" w:rsidRPr="00FD39F6" w:rsidRDefault="00FD39F6" w:rsidP="00B250D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D39F6">
              <w:rPr>
                <w:rFonts w:cs="Arial"/>
                <w:color w:val="000000" w:themeColor="text1"/>
                <w:sz w:val="16"/>
                <w:szCs w:val="16"/>
              </w:rPr>
              <w:t>99,2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FD39F6" w:rsidRPr="00FD39F6" w:rsidRDefault="00FD39F6" w:rsidP="00B250D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D39F6">
              <w:rPr>
                <w:rFonts w:cs="Arial"/>
                <w:color w:val="000000" w:themeColor="text1"/>
                <w:sz w:val="16"/>
                <w:szCs w:val="16"/>
              </w:rPr>
              <w:t>98,4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FD39F6" w:rsidRPr="00FD39F6" w:rsidRDefault="00FD39F6" w:rsidP="00B250D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D39F6">
              <w:rPr>
                <w:rFonts w:cs="Arial"/>
                <w:color w:val="000000" w:themeColor="text1"/>
                <w:sz w:val="16"/>
                <w:szCs w:val="16"/>
              </w:rPr>
              <w:t>104,3</w:t>
            </w:r>
          </w:p>
        </w:tc>
        <w:tc>
          <w:tcPr>
            <w:tcW w:w="993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FD39F6" w:rsidRPr="00FD39F6" w:rsidRDefault="00FD39F6" w:rsidP="00B250D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D39F6">
              <w:rPr>
                <w:rFonts w:cs="Arial"/>
                <w:color w:val="000000" w:themeColor="text1"/>
                <w:sz w:val="16"/>
                <w:szCs w:val="16"/>
              </w:rPr>
              <w:t>98,1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FD39F6" w:rsidRPr="00FD39F6" w:rsidRDefault="00FD39F6" w:rsidP="00B250D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D39F6">
              <w:rPr>
                <w:rFonts w:cs="Arial"/>
                <w:color w:val="000000" w:themeColor="text1"/>
                <w:sz w:val="16"/>
                <w:szCs w:val="16"/>
              </w:rPr>
              <w:t>-0,04</w:t>
            </w:r>
          </w:p>
        </w:tc>
      </w:tr>
      <w:tr w:rsidR="00FD39F6" w:rsidRPr="00A90732" w:rsidTr="00B250D5">
        <w:trPr>
          <w:cantSplit/>
          <w:trHeight w:val="57"/>
        </w:trPr>
        <w:tc>
          <w:tcPr>
            <w:tcW w:w="227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FD39F6" w:rsidRPr="00A90732" w:rsidRDefault="00FD39F6" w:rsidP="00FD39F6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1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A90732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 xml:space="preserve">Użytkowanie mieszkania </w:t>
            </w:r>
            <w:r w:rsidRPr="00A90732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br/>
              <w:t>lub domu i nośniki energii</w:t>
            </w:r>
          </w:p>
        </w:tc>
        <w:tc>
          <w:tcPr>
            <w:tcW w:w="1099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FD39F6" w:rsidRPr="00FD39F6" w:rsidRDefault="00FD39F6" w:rsidP="00B250D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D39F6">
              <w:rPr>
                <w:rFonts w:cs="Arial"/>
                <w:color w:val="000000" w:themeColor="text1"/>
                <w:sz w:val="16"/>
                <w:szCs w:val="16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FD39F6" w:rsidRPr="00FD39F6" w:rsidRDefault="00FD39F6" w:rsidP="00B250D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D39F6">
              <w:rPr>
                <w:rFonts w:cs="Arial"/>
                <w:color w:val="000000" w:themeColor="text1"/>
                <w:sz w:val="16"/>
                <w:szCs w:val="16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FD39F6" w:rsidRPr="00FD39F6" w:rsidRDefault="00FD39F6" w:rsidP="00B250D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D39F6">
              <w:rPr>
                <w:rFonts w:cs="Arial"/>
                <w:color w:val="000000" w:themeColor="text1"/>
                <w:sz w:val="16"/>
                <w:szCs w:val="16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FD39F6" w:rsidRPr="00FD39F6" w:rsidRDefault="00FD39F6" w:rsidP="00B250D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D39F6">
              <w:rPr>
                <w:rFonts w:cs="Arial"/>
                <w:color w:val="000000" w:themeColor="text1"/>
                <w:sz w:val="16"/>
                <w:szCs w:val="16"/>
              </w:rPr>
              <w:t>100,7</w:t>
            </w:r>
          </w:p>
        </w:tc>
        <w:tc>
          <w:tcPr>
            <w:tcW w:w="993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FD39F6" w:rsidRPr="00FD39F6" w:rsidRDefault="00FD39F6" w:rsidP="00B250D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D39F6">
              <w:rPr>
                <w:rFonts w:cs="Arial"/>
                <w:color w:val="000000" w:themeColor="text1"/>
                <w:sz w:val="16"/>
                <w:szCs w:val="16"/>
              </w:rPr>
              <w:t>101,5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FD39F6" w:rsidRPr="00FD39F6" w:rsidRDefault="00FD39F6" w:rsidP="00B250D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D39F6">
              <w:rPr>
                <w:rFonts w:cs="Arial"/>
                <w:color w:val="000000" w:themeColor="text1"/>
                <w:sz w:val="16"/>
                <w:szCs w:val="16"/>
              </w:rPr>
              <w:t>0,03</w:t>
            </w:r>
          </w:p>
        </w:tc>
      </w:tr>
      <w:tr w:rsidR="00FD39F6" w:rsidRPr="00A90732" w:rsidTr="00B250D5">
        <w:trPr>
          <w:cantSplit/>
          <w:trHeight w:val="57"/>
        </w:trPr>
        <w:tc>
          <w:tcPr>
            <w:tcW w:w="227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FD39F6" w:rsidRPr="00A90732" w:rsidRDefault="00FD39F6" w:rsidP="00FD39F6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A90732">
              <w:rPr>
                <w:rFonts w:cstheme="majorBidi"/>
                <w:bCs/>
                <w:color w:val="000000" w:themeColor="text1"/>
                <w:sz w:val="16"/>
                <w:szCs w:val="16"/>
              </w:rPr>
              <w:t>Wyposażenie mieszkania i prowadzenie gospoda</w:t>
            </w:r>
            <w:r w:rsidRPr="00A90732">
              <w:rPr>
                <w:rFonts w:cstheme="majorBidi"/>
                <w:bCs/>
                <w:color w:val="000000" w:themeColor="text1"/>
                <w:sz w:val="16"/>
                <w:szCs w:val="16"/>
              </w:rPr>
              <w:t>r</w:t>
            </w:r>
            <w:r w:rsidRPr="00A90732">
              <w:rPr>
                <w:rFonts w:cstheme="majorBidi"/>
                <w:bCs/>
                <w:color w:val="000000" w:themeColor="text1"/>
                <w:sz w:val="16"/>
                <w:szCs w:val="16"/>
              </w:rPr>
              <w:t>stwa domowego</w:t>
            </w:r>
          </w:p>
        </w:tc>
        <w:tc>
          <w:tcPr>
            <w:tcW w:w="1099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FD39F6" w:rsidRPr="00FD39F6" w:rsidRDefault="00FD39F6" w:rsidP="00B250D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D39F6">
              <w:rPr>
                <w:rFonts w:cs="Arial"/>
                <w:color w:val="000000" w:themeColor="text1"/>
                <w:sz w:val="16"/>
                <w:szCs w:val="16"/>
              </w:rPr>
              <w:t>100,4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FD39F6" w:rsidRPr="00FD39F6" w:rsidRDefault="00FD39F6" w:rsidP="00B250D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D39F6">
              <w:rPr>
                <w:rFonts w:cs="Arial"/>
                <w:color w:val="000000" w:themeColor="text1"/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FD39F6" w:rsidRPr="00FD39F6" w:rsidRDefault="00FD39F6" w:rsidP="00B250D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D39F6">
              <w:rPr>
                <w:rFonts w:cs="Arial"/>
                <w:color w:val="000000" w:themeColor="text1"/>
                <w:sz w:val="16"/>
                <w:szCs w:val="16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FD39F6" w:rsidRPr="00FD39F6" w:rsidRDefault="00FD39F6" w:rsidP="00B250D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D39F6">
              <w:rPr>
                <w:rFonts w:cs="Arial"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FD39F6" w:rsidRPr="00FD39F6" w:rsidRDefault="00FD39F6" w:rsidP="00B250D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D39F6">
              <w:rPr>
                <w:rFonts w:cs="Arial"/>
                <w:color w:val="000000" w:themeColor="text1"/>
                <w:sz w:val="16"/>
                <w:szCs w:val="16"/>
              </w:rPr>
              <w:t>100,7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FD39F6" w:rsidRPr="00FD39F6" w:rsidRDefault="00FD39F6" w:rsidP="00B250D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D39F6">
              <w:rPr>
                <w:rFonts w:cs="Arial"/>
                <w:color w:val="000000" w:themeColor="text1"/>
                <w:sz w:val="16"/>
                <w:szCs w:val="16"/>
              </w:rPr>
              <w:t>-0,01</w:t>
            </w:r>
          </w:p>
        </w:tc>
      </w:tr>
      <w:tr w:rsidR="00FD39F6" w:rsidRPr="00A90732" w:rsidTr="00B250D5">
        <w:trPr>
          <w:cantSplit/>
          <w:trHeight w:val="57"/>
        </w:trPr>
        <w:tc>
          <w:tcPr>
            <w:tcW w:w="227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FD39F6" w:rsidRPr="00A90732" w:rsidRDefault="00FD39F6" w:rsidP="00FD39F6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A90732">
              <w:rPr>
                <w:rFonts w:cstheme="majorBidi"/>
                <w:bCs/>
                <w:color w:val="000000" w:themeColor="text1"/>
                <w:sz w:val="16"/>
                <w:szCs w:val="16"/>
              </w:rPr>
              <w:t xml:space="preserve">Zdrowie </w:t>
            </w:r>
          </w:p>
        </w:tc>
        <w:tc>
          <w:tcPr>
            <w:tcW w:w="1099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FD39F6" w:rsidRPr="00FD39F6" w:rsidRDefault="00FD39F6" w:rsidP="00B250D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D39F6">
              <w:rPr>
                <w:rFonts w:cs="Arial"/>
                <w:color w:val="000000" w:themeColor="text1"/>
                <w:sz w:val="16"/>
                <w:szCs w:val="16"/>
              </w:rPr>
              <w:t>103,2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FD39F6" w:rsidRPr="00FD39F6" w:rsidRDefault="00FD39F6" w:rsidP="00B250D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D39F6">
              <w:rPr>
                <w:rFonts w:cs="Arial"/>
                <w:color w:val="000000" w:themeColor="text1"/>
                <w:sz w:val="16"/>
                <w:szCs w:val="16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FD39F6" w:rsidRPr="00FD39F6" w:rsidRDefault="00FD39F6" w:rsidP="00B250D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D39F6">
              <w:rPr>
                <w:rFonts w:cs="Arial"/>
                <w:color w:val="000000" w:themeColor="text1"/>
                <w:sz w:val="16"/>
                <w:szCs w:val="16"/>
              </w:rPr>
              <w:t>103,4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FD39F6" w:rsidRPr="00FD39F6" w:rsidRDefault="00FD39F6" w:rsidP="00B250D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D39F6">
              <w:rPr>
                <w:rFonts w:cs="Arial"/>
                <w:color w:val="000000" w:themeColor="text1"/>
                <w:sz w:val="16"/>
                <w:szCs w:val="16"/>
              </w:rPr>
              <w:t>100,5</w:t>
            </w:r>
          </w:p>
        </w:tc>
        <w:tc>
          <w:tcPr>
            <w:tcW w:w="993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FD39F6" w:rsidRPr="00FD39F6" w:rsidRDefault="00FD39F6" w:rsidP="00B250D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D39F6">
              <w:rPr>
                <w:rFonts w:cs="Arial"/>
                <w:color w:val="000000" w:themeColor="text1"/>
                <w:sz w:val="16"/>
                <w:szCs w:val="16"/>
              </w:rPr>
              <w:t>103,2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FD39F6" w:rsidRPr="00FD39F6" w:rsidRDefault="00FD39F6" w:rsidP="00B250D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D39F6">
              <w:rPr>
                <w:rFonts w:cs="Arial"/>
                <w:color w:val="000000" w:themeColor="text1"/>
                <w:sz w:val="16"/>
                <w:szCs w:val="16"/>
              </w:rPr>
              <w:t>0,01</w:t>
            </w:r>
          </w:p>
        </w:tc>
      </w:tr>
      <w:tr w:rsidR="00FD39F6" w:rsidRPr="00A90732" w:rsidTr="00B250D5">
        <w:trPr>
          <w:cantSplit/>
          <w:trHeight w:val="57"/>
        </w:trPr>
        <w:tc>
          <w:tcPr>
            <w:tcW w:w="227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FD39F6" w:rsidRPr="00A90732" w:rsidRDefault="00FD39F6" w:rsidP="00FD39F6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A90732">
              <w:rPr>
                <w:rFonts w:cstheme="majorBidi"/>
                <w:bCs/>
                <w:color w:val="000000" w:themeColor="text1"/>
                <w:sz w:val="16"/>
                <w:szCs w:val="16"/>
              </w:rPr>
              <w:t>Transport</w:t>
            </w:r>
          </w:p>
        </w:tc>
        <w:tc>
          <w:tcPr>
            <w:tcW w:w="1099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FD39F6" w:rsidRPr="00FD39F6" w:rsidRDefault="00FD39F6" w:rsidP="00B250D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D39F6">
              <w:rPr>
                <w:rFonts w:cs="Arial"/>
                <w:color w:val="000000" w:themeColor="text1"/>
                <w:sz w:val="16"/>
                <w:szCs w:val="16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FD39F6" w:rsidRPr="00FD39F6" w:rsidRDefault="00FD39F6" w:rsidP="00B250D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D39F6">
              <w:rPr>
                <w:rFonts w:cs="Arial"/>
                <w:color w:val="000000" w:themeColor="text1"/>
                <w:sz w:val="16"/>
                <w:szCs w:val="16"/>
              </w:rPr>
              <w:t>103,8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FD39F6" w:rsidRPr="00FD39F6" w:rsidRDefault="00FD39F6" w:rsidP="00B250D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D39F6">
              <w:rPr>
                <w:rFonts w:cs="Arial"/>
                <w:color w:val="000000" w:themeColor="text1"/>
                <w:sz w:val="16"/>
                <w:szCs w:val="16"/>
              </w:rPr>
              <w:t>98,0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FD39F6" w:rsidRPr="00FD39F6" w:rsidRDefault="00FD39F6" w:rsidP="00B250D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D39F6">
              <w:rPr>
                <w:rFonts w:cs="Arial"/>
                <w:color w:val="000000" w:themeColor="text1"/>
                <w:sz w:val="16"/>
                <w:szCs w:val="16"/>
              </w:rPr>
              <w:t>98,5</w:t>
            </w:r>
          </w:p>
        </w:tc>
        <w:tc>
          <w:tcPr>
            <w:tcW w:w="993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FD39F6" w:rsidRPr="00FD39F6" w:rsidRDefault="00FD39F6" w:rsidP="00B250D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D39F6">
              <w:rPr>
                <w:rFonts w:cs="Arial"/>
                <w:color w:val="000000" w:themeColor="text1"/>
                <w:sz w:val="16"/>
                <w:szCs w:val="16"/>
              </w:rPr>
              <w:t>100,7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FD39F6" w:rsidRPr="00FD39F6" w:rsidRDefault="00FD39F6" w:rsidP="00B250D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D39F6">
              <w:rPr>
                <w:rFonts w:cs="Arial"/>
                <w:color w:val="000000" w:themeColor="text1"/>
                <w:sz w:val="16"/>
                <w:szCs w:val="16"/>
              </w:rPr>
              <w:t>0,37</w:t>
            </w:r>
          </w:p>
        </w:tc>
      </w:tr>
      <w:tr w:rsidR="00FD39F6" w:rsidRPr="00A90732" w:rsidTr="00B250D5">
        <w:trPr>
          <w:cantSplit/>
          <w:trHeight w:val="57"/>
        </w:trPr>
        <w:tc>
          <w:tcPr>
            <w:tcW w:w="227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FD39F6" w:rsidRPr="00A90732" w:rsidRDefault="00FD39F6" w:rsidP="00FD39F6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A90732">
              <w:rPr>
                <w:rFonts w:cstheme="majorBidi"/>
                <w:bCs/>
                <w:color w:val="000000" w:themeColor="text1"/>
                <w:sz w:val="16"/>
                <w:szCs w:val="16"/>
              </w:rPr>
              <w:t>Łączność</w:t>
            </w:r>
          </w:p>
        </w:tc>
        <w:tc>
          <w:tcPr>
            <w:tcW w:w="1099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FD39F6" w:rsidRPr="00FD39F6" w:rsidRDefault="00FD39F6" w:rsidP="00B250D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D39F6">
              <w:rPr>
                <w:rFonts w:cs="Arial"/>
                <w:color w:val="000000" w:themeColor="text1"/>
                <w:sz w:val="16"/>
                <w:szCs w:val="16"/>
              </w:rPr>
              <w:t>104,3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FD39F6" w:rsidRPr="00FD39F6" w:rsidRDefault="00FD39F6" w:rsidP="00B250D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D39F6">
              <w:rPr>
                <w:rFonts w:cs="Arial"/>
                <w:color w:val="000000" w:themeColor="text1"/>
                <w:sz w:val="16"/>
                <w:szCs w:val="16"/>
              </w:rPr>
              <w:t>100,4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FD39F6" w:rsidRPr="00FD39F6" w:rsidRDefault="00FD39F6" w:rsidP="00B250D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D39F6">
              <w:rPr>
                <w:rFonts w:cs="Arial"/>
                <w:color w:val="000000" w:themeColor="text1"/>
                <w:sz w:val="16"/>
                <w:szCs w:val="16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FD39F6" w:rsidRPr="00FD39F6" w:rsidRDefault="00FD39F6" w:rsidP="00B250D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D39F6">
              <w:rPr>
                <w:rFonts w:cs="Arial"/>
                <w:color w:val="000000" w:themeColor="text1"/>
                <w:sz w:val="16"/>
                <w:szCs w:val="16"/>
              </w:rPr>
              <w:t>99,9</w:t>
            </w:r>
          </w:p>
        </w:tc>
        <w:tc>
          <w:tcPr>
            <w:tcW w:w="993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FD39F6" w:rsidRPr="00FD39F6" w:rsidRDefault="00FD39F6" w:rsidP="00B250D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D39F6">
              <w:rPr>
                <w:rFonts w:cs="Arial"/>
                <w:color w:val="000000" w:themeColor="text1"/>
                <w:sz w:val="16"/>
                <w:szCs w:val="16"/>
              </w:rPr>
              <w:t>99,3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FD39F6" w:rsidRPr="00FD39F6" w:rsidRDefault="00FD39F6" w:rsidP="00B250D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D39F6">
              <w:rPr>
                <w:rFonts w:cs="Arial"/>
                <w:color w:val="000000" w:themeColor="text1"/>
                <w:sz w:val="16"/>
                <w:szCs w:val="16"/>
              </w:rPr>
              <w:t>0,01</w:t>
            </w:r>
          </w:p>
        </w:tc>
      </w:tr>
      <w:tr w:rsidR="00FD39F6" w:rsidRPr="00A90732" w:rsidTr="00B250D5">
        <w:trPr>
          <w:cantSplit/>
          <w:trHeight w:val="57"/>
        </w:trPr>
        <w:tc>
          <w:tcPr>
            <w:tcW w:w="227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FD39F6" w:rsidRPr="00A90732" w:rsidRDefault="00FD39F6" w:rsidP="00FD39F6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A90732">
              <w:rPr>
                <w:rFonts w:cstheme="majorBidi"/>
                <w:bCs/>
                <w:color w:val="000000" w:themeColor="text1"/>
                <w:sz w:val="16"/>
                <w:szCs w:val="16"/>
              </w:rPr>
              <w:t>Rekreacja i kultura</w:t>
            </w:r>
          </w:p>
        </w:tc>
        <w:tc>
          <w:tcPr>
            <w:tcW w:w="1099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FD39F6" w:rsidRPr="00FD39F6" w:rsidRDefault="00FD39F6" w:rsidP="00B250D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D39F6">
              <w:rPr>
                <w:rFonts w:cs="Arial"/>
                <w:color w:val="000000" w:themeColor="text1"/>
                <w:sz w:val="16"/>
                <w:szCs w:val="16"/>
              </w:rPr>
              <w:t>103,6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FD39F6" w:rsidRPr="00FD39F6" w:rsidRDefault="00FD39F6" w:rsidP="00B250D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D39F6">
              <w:rPr>
                <w:rFonts w:cs="Arial"/>
                <w:color w:val="000000" w:themeColor="text1"/>
                <w:sz w:val="16"/>
                <w:szCs w:val="16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FD39F6" w:rsidRPr="00FD39F6" w:rsidRDefault="00FD39F6" w:rsidP="00B250D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D39F6">
              <w:rPr>
                <w:rFonts w:cs="Arial"/>
                <w:color w:val="000000" w:themeColor="text1"/>
                <w:sz w:val="16"/>
                <w:szCs w:val="16"/>
              </w:rPr>
              <w:t>103,2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FD39F6" w:rsidRPr="00FD39F6" w:rsidRDefault="00FD39F6" w:rsidP="00B250D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D39F6">
              <w:rPr>
                <w:rFonts w:cs="Arial"/>
                <w:color w:val="000000" w:themeColor="text1"/>
                <w:sz w:val="16"/>
                <w:szCs w:val="16"/>
              </w:rPr>
              <w:t>99,5</w:t>
            </w:r>
          </w:p>
        </w:tc>
        <w:tc>
          <w:tcPr>
            <w:tcW w:w="993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FD39F6" w:rsidRPr="00FD39F6" w:rsidRDefault="00FD39F6" w:rsidP="00B250D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D39F6">
              <w:rPr>
                <w:rFonts w:cs="Arial"/>
                <w:color w:val="000000" w:themeColor="text1"/>
                <w:sz w:val="16"/>
                <w:szCs w:val="16"/>
              </w:rPr>
              <w:t>102,6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FD39F6" w:rsidRPr="00FD39F6" w:rsidRDefault="00FD39F6" w:rsidP="00B250D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D39F6">
              <w:rPr>
                <w:rFonts w:cs="Arial"/>
                <w:color w:val="000000" w:themeColor="text1"/>
                <w:sz w:val="16"/>
                <w:szCs w:val="16"/>
              </w:rPr>
              <w:t>0,03</w:t>
            </w:r>
          </w:p>
        </w:tc>
      </w:tr>
      <w:tr w:rsidR="00FD39F6" w:rsidRPr="00A90732" w:rsidTr="00B250D5">
        <w:trPr>
          <w:cantSplit/>
          <w:trHeight w:val="57"/>
        </w:trPr>
        <w:tc>
          <w:tcPr>
            <w:tcW w:w="227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FD39F6" w:rsidRPr="00A90732" w:rsidRDefault="00FD39F6" w:rsidP="00FD39F6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A90732">
              <w:rPr>
                <w:rFonts w:cstheme="majorBidi"/>
                <w:bCs/>
                <w:color w:val="000000" w:themeColor="text1"/>
                <w:sz w:val="16"/>
                <w:szCs w:val="16"/>
              </w:rPr>
              <w:t>Edukacja</w:t>
            </w:r>
          </w:p>
        </w:tc>
        <w:tc>
          <w:tcPr>
            <w:tcW w:w="1099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FD39F6" w:rsidRPr="00FD39F6" w:rsidRDefault="00FD39F6" w:rsidP="00B250D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D39F6">
              <w:rPr>
                <w:rFonts w:cs="Arial"/>
                <w:color w:val="000000" w:themeColor="text1"/>
                <w:sz w:val="16"/>
                <w:szCs w:val="16"/>
              </w:rPr>
              <w:t>104,6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FD39F6" w:rsidRPr="00FD39F6" w:rsidRDefault="00FD39F6" w:rsidP="00B250D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D39F6">
              <w:rPr>
                <w:rFonts w:cs="Arial"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FD39F6" w:rsidRPr="00FD39F6" w:rsidRDefault="00FD39F6" w:rsidP="00B250D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D39F6">
              <w:rPr>
                <w:rFonts w:cs="Arial"/>
                <w:color w:val="000000" w:themeColor="text1"/>
                <w:sz w:val="16"/>
                <w:szCs w:val="16"/>
              </w:rPr>
              <w:t>104,7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FD39F6" w:rsidRPr="00FD39F6" w:rsidRDefault="00FD39F6" w:rsidP="00B250D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D39F6">
              <w:rPr>
                <w:rFonts w:cs="Arial"/>
                <w:color w:val="000000" w:themeColor="text1"/>
                <w:sz w:val="16"/>
                <w:szCs w:val="16"/>
              </w:rPr>
              <w:t>102,9</w:t>
            </w:r>
          </w:p>
        </w:tc>
        <w:tc>
          <w:tcPr>
            <w:tcW w:w="993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FD39F6" w:rsidRPr="00FD39F6" w:rsidRDefault="00FD39F6" w:rsidP="00B250D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D39F6">
              <w:rPr>
                <w:rFonts w:cs="Arial"/>
                <w:color w:val="000000" w:themeColor="text1"/>
                <w:sz w:val="16"/>
                <w:szCs w:val="16"/>
              </w:rPr>
              <w:t>103,6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FD39F6" w:rsidRPr="00FD39F6" w:rsidRDefault="00FD39F6" w:rsidP="00B250D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D39F6">
              <w:rPr>
                <w:rFonts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D39F6" w:rsidRPr="00A90732" w:rsidTr="00B250D5">
        <w:trPr>
          <w:cantSplit/>
          <w:trHeight w:val="57"/>
        </w:trPr>
        <w:tc>
          <w:tcPr>
            <w:tcW w:w="227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FD39F6" w:rsidRPr="00A90732" w:rsidRDefault="00FD39F6" w:rsidP="00FD39F6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A90732">
              <w:rPr>
                <w:rFonts w:cstheme="majorBidi"/>
                <w:bCs/>
                <w:color w:val="000000" w:themeColor="text1"/>
                <w:sz w:val="16"/>
                <w:szCs w:val="16"/>
              </w:rPr>
              <w:t>Restauracje i hotele</w:t>
            </w:r>
          </w:p>
        </w:tc>
        <w:tc>
          <w:tcPr>
            <w:tcW w:w="1099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FD39F6" w:rsidRPr="00FD39F6" w:rsidRDefault="00FD39F6" w:rsidP="00B250D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D39F6">
              <w:rPr>
                <w:rFonts w:cs="Arial"/>
                <w:color w:val="000000" w:themeColor="text1"/>
                <w:sz w:val="16"/>
                <w:szCs w:val="16"/>
              </w:rPr>
              <w:t>105,4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FD39F6" w:rsidRPr="00FD39F6" w:rsidRDefault="00FD39F6" w:rsidP="00B250D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D39F6">
              <w:rPr>
                <w:rFonts w:cs="Arial"/>
                <w:color w:val="000000" w:themeColor="text1"/>
                <w:sz w:val="16"/>
                <w:szCs w:val="16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FD39F6" w:rsidRPr="00FD39F6" w:rsidRDefault="00FD39F6" w:rsidP="00B250D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D39F6">
              <w:rPr>
                <w:rFonts w:cs="Arial"/>
                <w:color w:val="000000" w:themeColor="text1"/>
                <w:sz w:val="16"/>
                <w:szCs w:val="16"/>
              </w:rPr>
              <w:t>105,3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FD39F6" w:rsidRPr="00FD39F6" w:rsidRDefault="00FD39F6" w:rsidP="00B250D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D39F6">
              <w:rPr>
                <w:rFonts w:cs="Arial"/>
                <w:color w:val="000000" w:themeColor="text1"/>
                <w:sz w:val="16"/>
                <w:szCs w:val="16"/>
              </w:rPr>
              <w:t>101,3</w:t>
            </w:r>
          </w:p>
        </w:tc>
        <w:tc>
          <w:tcPr>
            <w:tcW w:w="993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FD39F6" w:rsidRPr="00FD39F6" w:rsidRDefault="00FD39F6" w:rsidP="00B250D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D39F6">
              <w:rPr>
                <w:rFonts w:cs="Arial"/>
                <w:color w:val="000000" w:themeColor="text1"/>
                <w:sz w:val="16"/>
                <w:szCs w:val="16"/>
              </w:rPr>
              <w:t>104,4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FD39F6" w:rsidRPr="00FD39F6" w:rsidRDefault="00FD39F6" w:rsidP="00B250D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D39F6">
              <w:rPr>
                <w:rFonts w:cs="Arial"/>
                <w:color w:val="000000" w:themeColor="text1"/>
                <w:sz w:val="16"/>
                <w:szCs w:val="16"/>
              </w:rPr>
              <w:t>0,02</w:t>
            </w:r>
          </w:p>
        </w:tc>
      </w:tr>
      <w:tr w:rsidR="00FD39F6" w:rsidRPr="00A90732" w:rsidTr="00B250D5">
        <w:trPr>
          <w:cantSplit/>
          <w:trHeight w:val="57"/>
        </w:trPr>
        <w:tc>
          <w:tcPr>
            <w:tcW w:w="2270" w:type="dxa"/>
            <w:tcBorders>
              <w:top w:val="single" w:sz="4" w:space="0" w:color="212492"/>
              <w:bottom w:val="nil"/>
            </w:tcBorders>
            <w:vAlign w:val="center"/>
          </w:tcPr>
          <w:p w:rsidR="00FD39F6" w:rsidRPr="00A90732" w:rsidRDefault="00FD39F6" w:rsidP="00FD39F6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A90732">
              <w:rPr>
                <w:rFonts w:cstheme="majorBidi"/>
                <w:bCs/>
                <w:color w:val="000000" w:themeColor="text1"/>
                <w:sz w:val="16"/>
                <w:szCs w:val="16"/>
              </w:rPr>
              <w:t>Inne towary i usługi</w:t>
            </w:r>
          </w:p>
        </w:tc>
        <w:tc>
          <w:tcPr>
            <w:tcW w:w="1099" w:type="dxa"/>
            <w:tcBorders>
              <w:top w:val="single" w:sz="4" w:space="0" w:color="212492"/>
              <w:bottom w:val="nil"/>
            </w:tcBorders>
            <w:vAlign w:val="center"/>
          </w:tcPr>
          <w:p w:rsidR="00FD39F6" w:rsidRPr="00FD39F6" w:rsidRDefault="00FD39F6" w:rsidP="00B250D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D39F6">
              <w:rPr>
                <w:rFonts w:cs="Arial"/>
                <w:color w:val="000000" w:themeColor="text1"/>
                <w:sz w:val="16"/>
                <w:szCs w:val="16"/>
              </w:rPr>
              <w:t>103,2</w:t>
            </w:r>
          </w:p>
        </w:tc>
        <w:tc>
          <w:tcPr>
            <w:tcW w:w="992" w:type="dxa"/>
            <w:tcBorders>
              <w:top w:val="single" w:sz="4" w:space="0" w:color="212492"/>
              <w:bottom w:val="nil"/>
            </w:tcBorders>
            <w:vAlign w:val="center"/>
          </w:tcPr>
          <w:p w:rsidR="00FD39F6" w:rsidRPr="00FD39F6" w:rsidRDefault="00FD39F6" w:rsidP="00B250D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D39F6">
              <w:rPr>
                <w:rFonts w:cs="Arial"/>
                <w:color w:val="000000" w:themeColor="text1"/>
                <w:sz w:val="16"/>
                <w:szCs w:val="16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212492"/>
              <w:bottom w:val="nil"/>
            </w:tcBorders>
            <w:vAlign w:val="center"/>
          </w:tcPr>
          <w:p w:rsidR="00FD39F6" w:rsidRPr="00FD39F6" w:rsidRDefault="00FD39F6" w:rsidP="00B250D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D39F6">
              <w:rPr>
                <w:rFonts w:cs="Arial"/>
                <w:color w:val="000000" w:themeColor="text1"/>
                <w:sz w:val="16"/>
                <w:szCs w:val="16"/>
              </w:rPr>
              <w:t>102,1</w:t>
            </w:r>
          </w:p>
        </w:tc>
        <w:tc>
          <w:tcPr>
            <w:tcW w:w="992" w:type="dxa"/>
            <w:tcBorders>
              <w:top w:val="single" w:sz="4" w:space="0" w:color="212492"/>
              <w:bottom w:val="nil"/>
            </w:tcBorders>
            <w:vAlign w:val="center"/>
          </w:tcPr>
          <w:p w:rsidR="00FD39F6" w:rsidRPr="00FD39F6" w:rsidRDefault="00FD39F6" w:rsidP="00B250D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D39F6">
              <w:rPr>
                <w:rFonts w:cs="Arial"/>
                <w:color w:val="000000" w:themeColor="text1"/>
                <w:sz w:val="16"/>
                <w:szCs w:val="16"/>
              </w:rPr>
              <w:t>101,6</w:t>
            </w:r>
          </w:p>
        </w:tc>
        <w:tc>
          <w:tcPr>
            <w:tcW w:w="993" w:type="dxa"/>
            <w:tcBorders>
              <w:top w:val="single" w:sz="4" w:space="0" w:color="212492"/>
              <w:bottom w:val="nil"/>
            </w:tcBorders>
            <w:vAlign w:val="center"/>
          </w:tcPr>
          <w:p w:rsidR="00FD39F6" w:rsidRPr="00FD39F6" w:rsidRDefault="00FD39F6" w:rsidP="00B250D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D39F6">
              <w:rPr>
                <w:rFonts w:cs="Arial"/>
                <w:color w:val="000000" w:themeColor="text1"/>
                <w:sz w:val="16"/>
                <w:szCs w:val="16"/>
              </w:rPr>
              <w:t>101,4</w:t>
            </w:r>
          </w:p>
        </w:tc>
        <w:tc>
          <w:tcPr>
            <w:tcW w:w="945" w:type="dxa"/>
            <w:tcBorders>
              <w:top w:val="single" w:sz="4" w:space="0" w:color="212492"/>
              <w:bottom w:val="nil"/>
            </w:tcBorders>
            <w:vAlign w:val="center"/>
          </w:tcPr>
          <w:p w:rsidR="00FD39F6" w:rsidRPr="00FD39F6" w:rsidRDefault="00FD39F6" w:rsidP="00B250D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D39F6">
              <w:rPr>
                <w:rFonts w:cs="Arial"/>
                <w:color w:val="000000" w:themeColor="text1"/>
                <w:sz w:val="16"/>
                <w:szCs w:val="16"/>
              </w:rPr>
              <w:t>0,08</w:t>
            </w:r>
          </w:p>
        </w:tc>
      </w:tr>
    </w:tbl>
    <w:p w:rsidR="000B60D7" w:rsidRDefault="000B60D7">
      <w:pPr>
        <w:spacing w:before="0" w:after="160" w:line="259" w:lineRule="auto"/>
        <w:rPr>
          <w:rFonts w:ascii="Fira Sans SemiBold" w:eastAsia="Times New Roman" w:hAnsi="Fira Sans SemiBold" w:cs="Times New Roman"/>
          <w:bCs/>
          <w:color w:val="001D77"/>
          <w:szCs w:val="24"/>
          <w:shd w:val="clear" w:color="auto" w:fill="FFFFFF"/>
          <w:lang w:eastAsia="pl-PL"/>
        </w:rPr>
      </w:pPr>
    </w:p>
    <w:p w:rsidR="00FD39F6" w:rsidRDefault="00FD39F6">
      <w:pPr>
        <w:spacing w:before="0" w:after="160" w:line="259" w:lineRule="auto"/>
        <w:rPr>
          <w:rFonts w:ascii="Fira Sans SemiBold" w:eastAsia="Times New Roman" w:hAnsi="Fira Sans SemiBold" w:cs="Times New Roman"/>
          <w:bCs/>
          <w:color w:val="001D77"/>
          <w:szCs w:val="24"/>
          <w:shd w:val="clear" w:color="auto" w:fill="FFFFFF"/>
          <w:lang w:eastAsia="pl-PL"/>
        </w:rPr>
      </w:pPr>
    </w:p>
    <w:p w:rsidR="00A07F00" w:rsidRPr="00CD352D" w:rsidRDefault="000B5393" w:rsidP="00296EB3">
      <w:pPr>
        <w:spacing w:line="240" w:lineRule="auto"/>
        <w:rPr>
          <w:rFonts w:ascii="Fira Sans SemiBold" w:eastAsia="Times New Roman" w:hAnsi="Fira Sans SemiBold" w:cs="Times New Roman"/>
          <w:bCs/>
          <w:color w:val="001D77"/>
          <w:szCs w:val="24"/>
          <w:shd w:val="clear" w:color="auto" w:fill="FFFFFF"/>
          <w:lang w:eastAsia="pl-PL"/>
        </w:rPr>
      </w:pPr>
      <w:r w:rsidRPr="00CD352D">
        <w:rPr>
          <w:rFonts w:ascii="Fira Sans SemiBold" w:eastAsia="Times New Roman" w:hAnsi="Fira Sans SemiBold" w:cs="Times New Roman"/>
          <w:bCs/>
          <w:color w:val="001D77"/>
          <w:szCs w:val="24"/>
          <w:shd w:val="clear" w:color="auto" w:fill="FFFFFF"/>
          <w:lang w:eastAsia="pl-PL"/>
        </w:rPr>
        <w:lastRenderedPageBreak/>
        <w:t>Wpływ</w:t>
      </w:r>
      <w:r w:rsidR="00A07F00" w:rsidRPr="00CD352D">
        <w:rPr>
          <w:rFonts w:ascii="Fira Sans SemiBold" w:eastAsia="Times New Roman" w:hAnsi="Fira Sans SemiBold" w:cs="Times New Roman"/>
          <w:bCs/>
          <w:color w:val="001D77"/>
          <w:szCs w:val="24"/>
          <w:shd w:val="clear" w:color="auto" w:fill="FFFFFF"/>
          <w:lang w:eastAsia="pl-PL"/>
        </w:rPr>
        <w:t xml:space="preserve"> zmian cen na wskaźnik</w:t>
      </w:r>
      <w:r w:rsidR="00B97152" w:rsidRPr="00CD352D">
        <w:rPr>
          <w:rFonts w:ascii="Fira Sans SemiBold" w:eastAsia="Times New Roman" w:hAnsi="Fira Sans SemiBold" w:cs="Times New Roman"/>
          <w:bCs/>
          <w:color w:val="001D77"/>
          <w:szCs w:val="24"/>
          <w:shd w:val="clear" w:color="auto" w:fill="FFFFFF"/>
          <w:lang w:eastAsia="pl-PL"/>
        </w:rPr>
        <w:t xml:space="preserve"> cen</w:t>
      </w:r>
      <w:r w:rsidR="00A07F00" w:rsidRPr="00CD352D">
        <w:rPr>
          <w:rFonts w:ascii="Fira Sans SemiBold" w:eastAsia="Times New Roman" w:hAnsi="Fira Sans SemiBold" w:cs="Times New Roman"/>
          <w:bCs/>
          <w:color w:val="001D77"/>
          <w:szCs w:val="24"/>
          <w:shd w:val="clear" w:color="auto" w:fill="FFFFFF"/>
          <w:lang w:eastAsia="pl-PL"/>
        </w:rPr>
        <w:t xml:space="preserve"> towarów i usług konsumpcyjnych ogółem</w:t>
      </w:r>
    </w:p>
    <w:p w:rsidR="00A07F00" w:rsidRPr="00C11CBD" w:rsidRDefault="00A07F00" w:rsidP="00285768">
      <w:r w:rsidRPr="00A60AEE">
        <w:t>W</w:t>
      </w:r>
      <w:r w:rsidR="00A90732">
        <w:t xml:space="preserve"> grudniu </w:t>
      </w:r>
      <w:r w:rsidRPr="005316C2">
        <w:t xml:space="preserve">br. w porównaniu z poprzednim miesiącem największy wpływ na wskaźnik cen </w:t>
      </w:r>
      <w:r w:rsidR="00917CCF" w:rsidRPr="005316C2">
        <w:br/>
      </w:r>
      <w:r w:rsidRPr="005316C2">
        <w:t xml:space="preserve">towarów i usług konsumpcyjnych ogółem miały </w:t>
      </w:r>
      <w:r w:rsidR="005316C2" w:rsidRPr="005316C2">
        <w:t>wyższe</w:t>
      </w:r>
      <w:r w:rsidRPr="005316C2">
        <w:t xml:space="preserve"> ceny </w:t>
      </w:r>
      <w:r w:rsidR="00F04C11" w:rsidRPr="005316C2">
        <w:t xml:space="preserve">w zakresie </w:t>
      </w:r>
      <w:r w:rsidR="00A60AEE" w:rsidRPr="005316C2">
        <w:t xml:space="preserve">transportu </w:t>
      </w:r>
      <w:r w:rsidR="00FA0677" w:rsidRPr="005316C2">
        <w:t>(o </w:t>
      </w:r>
      <w:r w:rsidR="005316C2" w:rsidRPr="005316C2">
        <w:t>3,8</w:t>
      </w:r>
      <w:r w:rsidR="006920EA" w:rsidRPr="005316C2">
        <w:t>%)</w:t>
      </w:r>
      <w:r w:rsidR="005316C2">
        <w:t xml:space="preserve"> </w:t>
      </w:r>
      <w:r w:rsidR="005316C2" w:rsidRPr="005316C2">
        <w:t>i</w:t>
      </w:r>
      <w:r w:rsidR="005316C2">
        <w:t> </w:t>
      </w:r>
      <w:r w:rsidR="005316C2" w:rsidRPr="005316C2">
        <w:t>żywności (o 1,3</w:t>
      </w:r>
      <w:r w:rsidR="006920EA" w:rsidRPr="005316C2">
        <w:t>%)</w:t>
      </w:r>
      <w:r w:rsidR="00B611C1" w:rsidRPr="005316C2">
        <w:t xml:space="preserve">, </w:t>
      </w:r>
      <w:r w:rsidRPr="005316C2">
        <w:t xml:space="preserve">które </w:t>
      </w:r>
      <w:r w:rsidR="005316C2" w:rsidRPr="005316C2">
        <w:t xml:space="preserve">podwyższyły </w:t>
      </w:r>
      <w:r w:rsidR="00B611C1" w:rsidRPr="005316C2">
        <w:t>wskaźnik odpowi</w:t>
      </w:r>
      <w:r w:rsidR="005316C2" w:rsidRPr="005316C2">
        <w:t>ednio o 0,3</w:t>
      </w:r>
      <w:r w:rsidR="00A60AEE" w:rsidRPr="005316C2">
        <w:t>7</w:t>
      </w:r>
      <w:r w:rsidR="00DE64C5" w:rsidRPr="005316C2">
        <w:t xml:space="preserve"> p. proc.</w:t>
      </w:r>
      <w:r w:rsidR="008C1A52" w:rsidRPr="005316C2">
        <w:t xml:space="preserve"> </w:t>
      </w:r>
      <w:r w:rsidR="00030ACD" w:rsidRPr="005316C2">
        <w:t>i </w:t>
      </w:r>
      <w:r w:rsidR="005316C2" w:rsidRPr="005316C2">
        <w:t>0,31</w:t>
      </w:r>
      <w:r w:rsidR="003A7D83" w:rsidRPr="005316C2">
        <w:t> </w:t>
      </w:r>
      <w:r w:rsidR="00DE64C5" w:rsidRPr="005316C2">
        <w:t>p. </w:t>
      </w:r>
      <w:r w:rsidR="00B611C1" w:rsidRPr="005316C2">
        <w:t>proc.</w:t>
      </w:r>
      <w:r w:rsidR="00B611C1" w:rsidRPr="00A90732">
        <w:rPr>
          <w:highlight w:val="yellow"/>
        </w:rPr>
        <w:t xml:space="preserve"> </w:t>
      </w:r>
      <w:r w:rsidR="005316C2" w:rsidRPr="005316C2">
        <w:t>Niższe</w:t>
      </w:r>
      <w:r w:rsidRPr="005316C2">
        <w:t xml:space="preserve"> ceny </w:t>
      </w:r>
      <w:r w:rsidR="00B611C1" w:rsidRPr="005316C2">
        <w:t xml:space="preserve">odzieży i obuwia </w:t>
      </w:r>
      <w:r w:rsidR="00486EE6" w:rsidRPr="005316C2">
        <w:t xml:space="preserve">(o </w:t>
      </w:r>
      <w:r w:rsidR="005316C2" w:rsidRPr="005316C2">
        <w:t>0,8</w:t>
      </w:r>
      <w:r w:rsidR="00486EE6" w:rsidRPr="005316C2">
        <w:t xml:space="preserve">%) </w:t>
      </w:r>
      <w:r w:rsidR="005316C2" w:rsidRPr="005316C2">
        <w:t>obniżyły</w:t>
      </w:r>
      <w:r w:rsidRPr="005316C2">
        <w:t xml:space="preserve"> ten wskaźnik</w:t>
      </w:r>
      <w:bookmarkStart w:id="0" w:name="_GoBack"/>
      <w:bookmarkEnd w:id="0"/>
      <w:r w:rsidRPr="005316C2">
        <w:t xml:space="preserve"> </w:t>
      </w:r>
      <w:r w:rsidR="005316C2" w:rsidRPr="005316C2">
        <w:t>o 0,04</w:t>
      </w:r>
      <w:r w:rsidR="00B611C1" w:rsidRPr="005316C2">
        <w:t xml:space="preserve"> p. proc</w:t>
      </w:r>
      <w:r w:rsidR="005316C2" w:rsidRPr="005316C2">
        <w:t>.</w:t>
      </w:r>
      <w:r w:rsidR="00917CCF" w:rsidRPr="00A90732">
        <w:rPr>
          <w:highlight w:val="yellow"/>
        </w:rPr>
        <w:br/>
      </w:r>
      <w:r w:rsidRPr="005316C2">
        <w:t xml:space="preserve">W porównaniu z miesiącem analogicznym poprzedniego roku wyższe ceny </w:t>
      </w:r>
      <w:r w:rsidR="00EC2274" w:rsidRPr="005316C2">
        <w:t>żywności</w:t>
      </w:r>
      <w:r w:rsidR="005762F6" w:rsidRPr="005316C2">
        <w:t xml:space="preserve"> </w:t>
      </w:r>
      <w:r w:rsidRPr="005316C2">
        <w:t>(o </w:t>
      </w:r>
      <w:r w:rsidR="005316C2" w:rsidRPr="005316C2">
        <w:t>7</w:t>
      </w:r>
      <w:r w:rsidR="00C11CBD" w:rsidRPr="005316C2">
        <w:t>,</w:t>
      </w:r>
      <w:r w:rsidR="005316C2" w:rsidRPr="005316C2">
        <w:t>5</w:t>
      </w:r>
      <w:r w:rsidR="00674A8B" w:rsidRPr="005316C2">
        <w:t>%)</w:t>
      </w:r>
      <w:r w:rsidR="004B4C23">
        <w:t>,</w:t>
      </w:r>
      <w:r w:rsidR="00C11CBD" w:rsidRPr="005316C2">
        <w:t xml:space="preserve"> </w:t>
      </w:r>
      <w:r w:rsidR="00AB27B9" w:rsidRPr="004B4C23">
        <w:t xml:space="preserve">w zakresie </w:t>
      </w:r>
      <w:r w:rsidR="0094622C" w:rsidRPr="004B4C23">
        <w:t xml:space="preserve">mieszkania </w:t>
      </w:r>
      <w:r w:rsidRPr="004B4C23">
        <w:t>(o</w:t>
      </w:r>
      <w:r w:rsidR="00C11CBD" w:rsidRPr="004B4C23">
        <w:t xml:space="preserve"> 1,6%)</w:t>
      </w:r>
      <w:r w:rsidR="004B4C23">
        <w:t>, restauracji i hoteli (o 5,4%) oraz rekreacji i kultury (o 3,6%)</w:t>
      </w:r>
      <w:r w:rsidR="00C11CBD" w:rsidRPr="004B4C23">
        <w:t xml:space="preserve"> </w:t>
      </w:r>
      <w:r w:rsidRPr="004B4C23">
        <w:t>pod</w:t>
      </w:r>
      <w:r w:rsidRPr="004B4C23">
        <w:softHyphen/>
      </w:r>
      <w:r w:rsidR="00D401C9" w:rsidRPr="004B4C23">
        <w:t>wyższyły</w:t>
      </w:r>
      <w:r w:rsidRPr="004B4C23">
        <w:t xml:space="preserve"> wskaźnik </w:t>
      </w:r>
      <w:r w:rsidR="00E82C7E" w:rsidRPr="004B4C23">
        <w:t>cen towarów i </w:t>
      </w:r>
      <w:r w:rsidR="00D401C9" w:rsidRPr="004B4C23">
        <w:t xml:space="preserve">usług konsumpcyjnych </w:t>
      </w:r>
      <w:r w:rsidRPr="004B4C23">
        <w:t>odpowiednio o </w:t>
      </w:r>
      <w:r w:rsidR="005316C2" w:rsidRPr="004B4C23">
        <w:t>1,69</w:t>
      </w:r>
      <w:r w:rsidRPr="004B4C23">
        <w:t xml:space="preserve"> p. proc.</w:t>
      </w:r>
      <w:r w:rsidR="004B4C23" w:rsidRPr="004B4C23">
        <w:t xml:space="preserve">, </w:t>
      </w:r>
      <w:r w:rsidR="00A06D23">
        <w:br/>
      </w:r>
      <w:r w:rsidR="004B4C23" w:rsidRPr="004B4C23">
        <w:t>0,41</w:t>
      </w:r>
      <w:r w:rsidR="00B250D5">
        <w:t xml:space="preserve"> </w:t>
      </w:r>
      <w:r w:rsidR="00B250D5" w:rsidRPr="004B4C23">
        <w:t>p. proc.</w:t>
      </w:r>
      <w:r w:rsidR="00A06D23">
        <w:t>,</w:t>
      </w:r>
      <w:r w:rsidR="00C11CBD" w:rsidRPr="004B4C23">
        <w:t xml:space="preserve"> </w:t>
      </w:r>
      <w:r w:rsidR="009D1423" w:rsidRPr="004B4C23">
        <w:t>0,</w:t>
      </w:r>
      <w:r w:rsidR="004B4C23" w:rsidRPr="004B4C23">
        <w:t>34</w:t>
      </w:r>
      <w:r w:rsidR="00FA0677" w:rsidRPr="004B4C23">
        <w:t> </w:t>
      </w:r>
      <w:r w:rsidR="009D1423" w:rsidRPr="004B4C23">
        <w:t>p. proc</w:t>
      </w:r>
      <w:r w:rsidRPr="004B4C23">
        <w:t>.</w:t>
      </w:r>
      <w:r w:rsidR="004B4C23" w:rsidRPr="004B4C23">
        <w:t xml:space="preserve"> i 0,23 p. proc.</w:t>
      </w:r>
      <w:r w:rsidRPr="004B4C23">
        <w:t xml:space="preserve"> </w:t>
      </w:r>
      <w:r w:rsidRPr="004B4C23">
        <w:rPr>
          <w:spacing w:val="-2"/>
        </w:rPr>
        <w:t>Niższe ceny</w:t>
      </w:r>
      <w:r w:rsidR="00C11CBD" w:rsidRPr="004B4C23">
        <w:rPr>
          <w:spacing w:val="-2"/>
        </w:rPr>
        <w:t xml:space="preserve"> odzieży i obuwia</w:t>
      </w:r>
      <w:r w:rsidR="003405A4" w:rsidRPr="004B4C23">
        <w:rPr>
          <w:spacing w:val="-2"/>
        </w:rPr>
        <w:t xml:space="preserve"> (o 1,</w:t>
      </w:r>
      <w:r w:rsidR="00C11CBD" w:rsidRPr="004B4C23">
        <w:rPr>
          <w:spacing w:val="-2"/>
        </w:rPr>
        <w:t>2</w:t>
      </w:r>
      <w:r w:rsidR="003405A4" w:rsidRPr="004B4C23">
        <w:rPr>
          <w:spacing w:val="-2"/>
        </w:rPr>
        <w:t>%)</w:t>
      </w:r>
      <w:r w:rsidR="00674A8B" w:rsidRPr="004B4C23">
        <w:rPr>
          <w:spacing w:val="-2"/>
        </w:rPr>
        <w:t xml:space="preserve"> </w:t>
      </w:r>
      <w:r w:rsidRPr="004B4C23">
        <w:rPr>
          <w:spacing w:val="-2"/>
        </w:rPr>
        <w:t xml:space="preserve">obniżyły </w:t>
      </w:r>
      <w:r w:rsidR="00D401C9" w:rsidRPr="004B4C23">
        <w:rPr>
          <w:spacing w:val="-2"/>
        </w:rPr>
        <w:t xml:space="preserve">ten </w:t>
      </w:r>
      <w:r w:rsidRPr="004B4C23">
        <w:rPr>
          <w:spacing w:val="-2"/>
        </w:rPr>
        <w:t>wskaźnik o</w:t>
      </w:r>
      <w:r w:rsidR="00A06D23">
        <w:rPr>
          <w:spacing w:val="-2"/>
        </w:rPr>
        <w:t> </w:t>
      </w:r>
      <w:r w:rsidR="00C11CBD" w:rsidRPr="004B4C23">
        <w:rPr>
          <w:spacing w:val="-2"/>
        </w:rPr>
        <w:t>0,06</w:t>
      </w:r>
      <w:r w:rsidR="00A06D23">
        <w:rPr>
          <w:spacing w:val="-2"/>
        </w:rPr>
        <w:t> </w:t>
      </w:r>
      <w:r w:rsidR="003A7D83" w:rsidRPr="004B4C23">
        <w:rPr>
          <w:spacing w:val="-2"/>
        </w:rPr>
        <w:t>p. </w:t>
      </w:r>
      <w:r w:rsidR="00CC6180" w:rsidRPr="004B4C23">
        <w:rPr>
          <w:spacing w:val="-2"/>
        </w:rPr>
        <w:t>proc</w:t>
      </w:r>
      <w:r w:rsidRPr="004B4C23">
        <w:rPr>
          <w:spacing w:val="-2"/>
        </w:rPr>
        <w:t>.</w:t>
      </w:r>
    </w:p>
    <w:p w:rsidR="00A07F00" w:rsidRPr="00876337" w:rsidRDefault="00A07F00" w:rsidP="00C27D75">
      <w:pPr>
        <w:rPr>
          <w:highlight w:val="yellow"/>
        </w:rPr>
      </w:pPr>
    </w:p>
    <w:p w:rsidR="00A07F00" w:rsidRPr="00AE777C" w:rsidRDefault="00AE777C" w:rsidP="00B617A5">
      <w:pPr>
        <w:pStyle w:val="tytuwykresu"/>
        <w:ind w:left="794" w:hanging="794"/>
        <w:rPr>
          <w:shd w:val="clear" w:color="auto" w:fill="FFFFFF"/>
        </w:rPr>
      </w:pPr>
      <w:r w:rsidRPr="00AE777C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D6FF81C" wp14:editId="2B8E23F0">
            <wp:simplePos x="0" y="0"/>
            <wp:positionH relativeFrom="column">
              <wp:posOffset>0</wp:posOffset>
            </wp:positionH>
            <wp:positionV relativeFrom="paragraph">
              <wp:posOffset>442595</wp:posOffset>
            </wp:positionV>
            <wp:extent cx="5122800" cy="2660400"/>
            <wp:effectExtent l="0" t="0" r="0" b="0"/>
            <wp:wrapSquare wrapText="bothSides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7F00" w:rsidRPr="00AE777C">
        <w:t xml:space="preserve">Wykres </w:t>
      </w:r>
      <w:r w:rsidR="00761070" w:rsidRPr="00AE777C">
        <w:t>1</w:t>
      </w:r>
      <w:r w:rsidR="00A07F00" w:rsidRPr="00AE777C">
        <w:t>.</w:t>
      </w:r>
      <w:r w:rsidR="00A07F00" w:rsidRPr="00AE777C">
        <w:rPr>
          <w:shd w:val="clear" w:color="auto" w:fill="FFFFFF"/>
        </w:rPr>
        <w:t xml:space="preserve"> Wpływ zmian cen wybranych grup t</w:t>
      </w:r>
      <w:r w:rsidR="00A90732" w:rsidRPr="00AE777C">
        <w:rPr>
          <w:shd w:val="clear" w:color="auto" w:fill="FFFFFF"/>
        </w:rPr>
        <w:t xml:space="preserve">owarów i usług konsumpcyjnych w grudniu </w:t>
      </w:r>
      <w:r w:rsidR="00A07F00" w:rsidRPr="00AE777C">
        <w:rPr>
          <w:shd w:val="clear" w:color="auto" w:fill="FFFFFF"/>
        </w:rPr>
        <w:t>201</w:t>
      </w:r>
      <w:r w:rsidR="000B5393" w:rsidRPr="00AE777C">
        <w:rPr>
          <w:shd w:val="clear" w:color="auto" w:fill="FFFFFF"/>
        </w:rPr>
        <w:t>9</w:t>
      </w:r>
      <w:r w:rsidR="00A07F00" w:rsidRPr="00AE777C">
        <w:rPr>
          <w:shd w:val="clear" w:color="auto" w:fill="FFFFFF"/>
        </w:rPr>
        <w:t xml:space="preserve"> r.</w:t>
      </w:r>
      <w:r w:rsidR="0051646A" w:rsidRPr="00AE777C">
        <w:rPr>
          <w:noProof/>
          <w:shd w:val="clear" w:color="auto" w:fill="FFFFFF"/>
          <w:lang w:eastAsia="pl-PL"/>
        </w:rPr>
        <w:br/>
        <w:t>(z</w:t>
      </w:r>
      <w:r w:rsidR="0051646A" w:rsidRPr="00AE777C">
        <w:rPr>
          <w:shd w:val="clear" w:color="auto" w:fill="FFFFFF"/>
        </w:rPr>
        <w:t>miana w p. proc. do okresu poprzedniego)</w:t>
      </w:r>
    </w:p>
    <w:p w:rsidR="00F60B5D" w:rsidRPr="00C27CB6" w:rsidRDefault="00F60B5D" w:rsidP="00B617A5">
      <w:pPr>
        <w:pStyle w:val="tytuwykresu"/>
        <w:ind w:left="794" w:hanging="794"/>
        <w:rPr>
          <w:highlight w:val="yellow"/>
          <w:shd w:val="clear" w:color="auto" w:fill="FFFFFF"/>
        </w:rPr>
      </w:pPr>
    </w:p>
    <w:p w:rsidR="00C73B5E" w:rsidRPr="00C27CB6" w:rsidRDefault="00B617A5" w:rsidP="00B617A5">
      <w:pPr>
        <w:spacing w:before="0" w:after="160" w:line="259" w:lineRule="auto"/>
        <w:ind w:left="794" w:hanging="794"/>
        <w:rPr>
          <w:b/>
          <w:spacing w:val="-2"/>
          <w:sz w:val="18"/>
          <w:highlight w:val="yellow"/>
        </w:rPr>
      </w:pPr>
      <w:r w:rsidRPr="00666DED">
        <w:rPr>
          <w:noProof/>
          <w:lang w:val="en-GB" w:eastAsia="en-GB"/>
        </w:rPr>
        <w:drawing>
          <wp:anchor distT="0" distB="0" distL="114300" distR="114300" simplePos="0" relativeHeight="251805696" behindDoc="0" locked="0" layoutInCell="1" allowOverlap="1" wp14:anchorId="070578E5" wp14:editId="77FBA056">
            <wp:simplePos x="0" y="0"/>
            <wp:positionH relativeFrom="column">
              <wp:posOffset>-66675</wp:posOffset>
            </wp:positionH>
            <wp:positionV relativeFrom="line">
              <wp:posOffset>447040</wp:posOffset>
            </wp:positionV>
            <wp:extent cx="5122545" cy="3599815"/>
            <wp:effectExtent l="0" t="0" r="0" b="0"/>
            <wp:wrapSquare wrapText="bothSides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06F">
        <w:rPr>
          <w:b/>
          <w:noProof/>
          <w:spacing w:val="-2"/>
          <w:sz w:val="18"/>
          <w:lang w:val="en-GB" w:eastAsia="en-GB"/>
        </w:rPr>
        <w:pict>
          <v:shape id="_x0000_s1028" type="#_x0000_t202" style="position:absolute;left:0;text-align:left;margin-left:414.75pt;margin-top:529.5pt;width:135.85pt;height:168.75pt;z-index:-251532288;visibility:visible;mso-wrap-distance-top:3.6pt;mso-wrap-distance-bottom:3.6pt;mso-position-horizontal-relative:text;mso-position-vertical-relative:pag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" filled="f" stroked="f">
            <v:textbox style="mso-next-textbox:#_x0000_s1028">
              <w:txbxContent>
                <w:p w:rsidR="009A206F" w:rsidRPr="00BF2F65" w:rsidRDefault="009A206F" w:rsidP="00FB2D00">
                  <w:pPr>
                    <w:pStyle w:val="Tekstprzypisudolnego"/>
                    <w:spacing w:line="240" w:lineRule="exact"/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>W 2019 r., podobnie jak w </w:t>
                  </w:r>
                  <w:r w:rsidRPr="00CD352D"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 xml:space="preserve">latach poprzednich, naj-większy </w:t>
                  </w: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>udział wydatków w </w:t>
                  </w:r>
                  <w:r w:rsidRPr="00CD352D"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>obliczeniach wskaźnika cen towarów i usług konsumpcy</w:t>
                  </w:r>
                  <w:r w:rsidRPr="00CD352D"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>j</w:t>
                  </w:r>
                  <w:r w:rsidRPr="00CD352D"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 xml:space="preserve">nych mają żywność i napoje bezalkoholowe (24,89%) </w:t>
                  </w: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>oraz towary i usługi związane z </w:t>
                  </w:r>
                  <w:r w:rsidRPr="00CD352D"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>użytkowaniem mieszkania lub domu i nośniki energii (19,17%)</w:t>
                  </w:r>
                </w:p>
              </w:txbxContent>
            </v:textbox>
            <w10:wrap type="tight" anchory="page"/>
          </v:shape>
        </w:pict>
      </w:r>
      <w:r w:rsidR="005F4399" w:rsidRPr="00666DED">
        <w:rPr>
          <w:b/>
          <w:spacing w:val="-2"/>
          <w:sz w:val="18"/>
        </w:rPr>
        <w:t xml:space="preserve">Wykres 2. System wag stosowany w obliczeniach wskaźników cen towarów i usług </w:t>
      </w:r>
      <w:r w:rsidRPr="00666DED">
        <w:rPr>
          <w:b/>
          <w:spacing w:val="-2"/>
          <w:sz w:val="18"/>
        </w:rPr>
        <w:br/>
      </w:r>
      <w:r w:rsidR="00927AD2" w:rsidRPr="00666DED">
        <w:rPr>
          <w:b/>
          <w:spacing w:val="-2"/>
          <w:sz w:val="18"/>
        </w:rPr>
        <w:t>konsumpcyjnych w 2019</w:t>
      </w:r>
      <w:r w:rsidR="005F4399" w:rsidRPr="00666DED">
        <w:rPr>
          <w:b/>
          <w:spacing w:val="-2"/>
          <w:sz w:val="18"/>
        </w:rPr>
        <w:t xml:space="preserve"> r.</w:t>
      </w:r>
      <w:r w:rsidR="00C73B5E" w:rsidRPr="00C27CB6">
        <w:rPr>
          <w:highlight w:val="yellow"/>
        </w:rPr>
        <w:br w:type="page"/>
      </w:r>
    </w:p>
    <w:p w:rsidR="003A440F" w:rsidRPr="00C27CB6" w:rsidRDefault="00171DA5" w:rsidP="00C27D75">
      <w:pPr>
        <w:pStyle w:val="tytuwykresu"/>
        <w:rPr>
          <w:b w:val="0"/>
          <w:noProof/>
          <w:highlight w:val="yellow"/>
          <w:shd w:val="clear" w:color="auto" w:fill="FFFFFF"/>
          <w:lang w:eastAsia="pl-PL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7216" behindDoc="0" locked="0" layoutInCell="1" allowOverlap="0" wp14:anchorId="0B42F776" wp14:editId="231C12DB">
            <wp:simplePos x="0" y="0"/>
            <wp:positionH relativeFrom="column">
              <wp:posOffset>0</wp:posOffset>
            </wp:positionH>
            <wp:positionV relativeFrom="paragraph">
              <wp:posOffset>282161</wp:posOffset>
            </wp:positionV>
            <wp:extent cx="5112000" cy="2530800"/>
            <wp:effectExtent l="0" t="0" r="0" b="3175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440F" w:rsidRPr="00C110DB">
        <w:t xml:space="preserve">Wykres </w:t>
      </w:r>
      <w:r w:rsidR="00CF08EF" w:rsidRPr="00C110DB">
        <w:t>3</w:t>
      </w:r>
      <w:r w:rsidR="003A440F" w:rsidRPr="00C110DB">
        <w:t>.</w:t>
      </w:r>
      <w:r w:rsidR="003A440F" w:rsidRPr="00C110DB">
        <w:rPr>
          <w:shd w:val="clear" w:color="auto" w:fill="FFFFFF"/>
        </w:rPr>
        <w:t xml:space="preserve"> C</w:t>
      </w:r>
      <w:r w:rsidR="003A440F" w:rsidRPr="00C110DB">
        <w:rPr>
          <w:bCs/>
          <w:shd w:val="clear" w:color="auto" w:fill="FFFFFF"/>
        </w:rPr>
        <w:t xml:space="preserve">eny towarów i usług konsumpcyjnych </w:t>
      </w:r>
      <w:r w:rsidR="003A440F" w:rsidRPr="00C110DB">
        <w:rPr>
          <w:shd w:val="clear" w:color="auto" w:fill="FFFFFF"/>
        </w:rPr>
        <w:t>(zmiana w % do okresu poprzedniego)</w:t>
      </w:r>
      <w:r w:rsidR="003A440F" w:rsidRPr="00C110DB">
        <w:rPr>
          <w:b w:val="0"/>
          <w:noProof/>
          <w:shd w:val="clear" w:color="auto" w:fill="FFFFFF"/>
          <w:lang w:eastAsia="pl-PL"/>
        </w:rPr>
        <w:t xml:space="preserve"> </w:t>
      </w:r>
    </w:p>
    <w:p w:rsidR="00DA0243" w:rsidRPr="00C27CB6" w:rsidRDefault="00DA0243" w:rsidP="0026302B">
      <w:pPr>
        <w:pStyle w:val="LID"/>
        <w:rPr>
          <w:b w:val="0"/>
          <w:spacing w:val="-2"/>
          <w:sz w:val="18"/>
          <w:highlight w:val="yellow"/>
        </w:rPr>
      </w:pPr>
    </w:p>
    <w:p w:rsidR="00034160" w:rsidRPr="00C27CB6" w:rsidRDefault="009A206F" w:rsidP="000609C1">
      <w:pPr>
        <w:pStyle w:val="tytuwykresu"/>
        <w:ind w:left="822" w:hanging="822"/>
        <w:rPr>
          <w:highlight w:val="yellow"/>
          <w:shd w:val="clear" w:color="auto" w:fill="FFFFFF"/>
        </w:rPr>
      </w:pPr>
      <w:r>
        <w:rPr>
          <w:noProof/>
          <w:lang w:val="en-GB" w:eastAsia="en-GB"/>
        </w:rPr>
        <w:pict>
          <v:shape id="Text Box 25" o:spid="_x0000_s1029" type="#_x0000_t202" style="position:absolute;left:0;text-align:left;margin-left:414.75pt;margin-top:315.75pt;width:135.85pt;height:114.2pt;z-index:-251566080;visibility:visible;mso-wrap-distance-top:3.6pt;mso-wrap-distance-bottom:3.6pt;mso-position-vertical-relative:pag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" filled="f" stroked="f">
            <v:textbox style="mso-next-textbox:#Text Box 25">
              <w:txbxContent>
                <w:p w:rsidR="009A206F" w:rsidRPr="00BF2F65" w:rsidRDefault="009A206F" w:rsidP="00FB2D00">
                  <w:pPr>
                    <w:pStyle w:val="Tekstprzypisudolnego"/>
                    <w:spacing w:line="240" w:lineRule="exact"/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</w:pPr>
                  <w:r w:rsidRPr="00696549"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 xml:space="preserve">W grudniu 2019 r. wskaźnik cen towarów i usług </w:t>
                  </w:r>
                  <w:r w:rsidRPr="00696549"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br/>
                    <w:t xml:space="preserve">konsumpcyjnych znajdował się w granicach odchyleń od celu inflacyjnego </w:t>
                  </w:r>
                  <w:r w:rsidRPr="00696549"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br/>
                    <w:t xml:space="preserve">określonego przez Radę </w:t>
                  </w:r>
                  <w:r w:rsidRPr="00696549"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br/>
                    <w:t xml:space="preserve">Polityki Pieniężnej </w:t>
                  </w:r>
                  <w:r w:rsidRPr="00696549"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br/>
                    <w:t>(2,5% +/- 1 p. proc.)</w:t>
                  </w:r>
                </w:p>
              </w:txbxContent>
            </v:textbox>
            <w10:wrap type="tight" anchory="page"/>
          </v:shape>
        </w:pict>
      </w:r>
      <w:r w:rsidR="00034160" w:rsidRPr="00E67A17">
        <w:t xml:space="preserve">Wykres </w:t>
      </w:r>
      <w:r w:rsidR="00CF08EF" w:rsidRPr="00E67A17">
        <w:t>4</w:t>
      </w:r>
      <w:r w:rsidR="00034160" w:rsidRPr="00E67A17">
        <w:t>.</w:t>
      </w:r>
      <w:r w:rsidR="00034160" w:rsidRPr="00E67A17">
        <w:rPr>
          <w:shd w:val="clear" w:color="auto" w:fill="FFFFFF"/>
        </w:rPr>
        <w:t xml:space="preserve"> C</w:t>
      </w:r>
      <w:r w:rsidR="00034160" w:rsidRPr="00E67A17">
        <w:rPr>
          <w:bCs/>
          <w:shd w:val="clear" w:color="auto" w:fill="FFFFFF"/>
        </w:rPr>
        <w:t xml:space="preserve">eny towarów i usług konsumpcyjnych </w:t>
      </w:r>
      <w:r w:rsidR="000609C1" w:rsidRPr="00E67A17">
        <w:rPr>
          <w:bCs/>
          <w:shd w:val="clear" w:color="auto" w:fill="FFFFFF"/>
        </w:rPr>
        <w:br/>
      </w:r>
      <w:r w:rsidR="00034160" w:rsidRPr="00E67A17">
        <w:rPr>
          <w:shd w:val="clear" w:color="auto" w:fill="FFFFFF"/>
        </w:rPr>
        <w:t>(zmiana w % do analogicznego okresu roku poprzedniego)</w:t>
      </w:r>
    </w:p>
    <w:p w:rsidR="00034160" w:rsidRPr="00C27CB6" w:rsidRDefault="00696549" w:rsidP="00740107">
      <w:pPr>
        <w:spacing w:before="0" w:line="259" w:lineRule="auto"/>
        <w:rPr>
          <w:sz w:val="18"/>
          <w:highlight w:val="yellow"/>
        </w:rPr>
      </w:pPr>
      <w:r>
        <w:rPr>
          <w:noProof/>
          <w:lang w:val="en-GB" w:eastAsia="en-GB"/>
        </w:rPr>
        <w:drawing>
          <wp:inline distT="0" distB="0" distL="0" distR="0" wp14:anchorId="070C1CC0" wp14:editId="76B7A646">
            <wp:extent cx="5122545" cy="2559685"/>
            <wp:effectExtent l="0" t="0" r="0" b="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A206F" w:rsidRPr="009A206F" w:rsidRDefault="009A206F" w:rsidP="000609C1">
      <w:pPr>
        <w:pStyle w:val="tytuwykresu"/>
        <w:ind w:left="822" w:hanging="822"/>
        <w:rPr>
          <w:b w:val="0"/>
        </w:rPr>
      </w:pPr>
    </w:p>
    <w:p w:rsidR="001E7DBB" w:rsidRPr="00CD352D" w:rsidRDefault="00883763" w:rsidP="000609C1">
      <w:pPr>
        <w:pStyle w:val="tytuwykresu"/>
        <w:ind w:left="822" w:hanging="822"/>
        <w:rPr>
          <w:bCs/>
          <w:shd w:val="clear" w:color="auto" w:fill="FFFFFF"/>
        </w:rPr>
      </w:pPr>
      <w:r w:rsidRPr="003A7D83">
        <w:t xml:space="preserve">Wykres </w:t>
      </w:r>
      <w:r w:rsidR="00CF08EF" w:rsidRPr="003A7D83">
        <w:t>5</w:t>
      </w:r>
      <w:r w:rsidRPr="003A7D83">
        <w:t>.</w:t>
      </w:r>
      <w:r w:rsidRPr="003A7D83">
        <w:rPr>
          <w:shd w:val="clear" w:color="auto" w:fill="FFFFFF"/>
        </w:rPr>
        <w:t xml:space="preserve"> </w:t>
      </w:r>
      <w:r w:rsidR="00761070" w:rsidRPr="003A7D83">
        <w:rPr>
          <w:bCs/>
          <w:shd w:val="clear" w:color="auto" w:fill="FFFFFF"/>
        </w:rPr>
        <w:t xml:space="preserve">Wskaźnik cen towarów i usług konsumpcyjnych (CPI) oraz </w:t>
      </w:r>
      <w:r w:rsidR="001E7DBB" w:rsidRPr="003A7D83">
        <w:rPr>
          <w:bCs/>
          <w:shd w:val="clear" w:color="auto" w:fill="FFFFFF"/>
        </w:rPr>
        <w:t>z</w:t>
      </w:r>
      <w:r w:rsidR="00761070" w:rsidRPr="003A7D83">
        <w:rPr>
          <w:bCs/>
          <w:shd w:val="clear" w:color="auto" w:fill="FFFFFF"/>
        </w:rPr>
        <w:t xml:space="preserve">harmonizowany </w:t>
      </w:r>
      <w:r w:rsidR="001E7DBB" w:rsidRPr="003A7D83">
        <w:rPr>
          <w:bCs/>
          <w:shd w:val="clear" w:color="auto" w:fill="FFFFFF"/>
        </w:rPr>
        <w:t xml:space="preserve">wskaźnik </w:t>
      </w:r>
      <w:r w:rsidR="00511F19" w:rsidRPr="003A7D83">
        <w:rPr>
          <w:bCs/>
          <w:shd w:val="clear" w:color="auto" w:fill="FFFFFF"/>
        </w:rPr>
        <w:br/>
      </w:r>
      <w:r w:rsidR="001E7DBB" w:rsidRPr="003A7D83">
        <w:rPr>
          <w:bCs/>
          <w:shd w:val="clear" w:color="auto" w:fill="FFFFFF"/>
        </w:rPr>
        <w:t xml:space="preserve">cen konsumpcyjnych (HICP) </w:t>
      </w:r>
      <w:r w:rsidR="001E7DBB" w:rsidRPr="003A7D83">
        <w:rPr>
          <w:shd w:val="clear" w:color="auto" w:fill="FFFFFF"/>
        </w:rPr>
        <w:t>(zmiana w % do analogicznego okresu roku poprzedniego)</w:t>
      </w:r>
    </w:p>
    <w:p w:rsidR="00820461" w:rsidRPr="00876337" w:rsidRDefault="000A0FD3">
      <w:pPr>
        <w:spacing w:before="0" w:after="160" w:line="259" w:lineRule="auto"/>
        <w:rPr>
          <w:b/>
          <w:noProof/>
          <w:sz w:val="18"/>
          <w:szCs w:val="19"/>
          <w:highlight w:val="yellow"/>
          <w:lang w:eastAsia="pl-PL"/>
        </w:rPr>
      </w:pPr>
      <w:r w:rsidRPr="00876337">
        <w:rPr>
          <w:sz w:val="18"/>
          <w:highlight w:val="yellow"/>
        </w:rPr>
        <w:t xml:space="preserve"> </w:t>
      </w:r>
      <w:r w:rsidR="005A6C7D">
        <w:rPr>
          <w:noProof/>
          <w:lang w:val="en-GB" w:eastAsia="en-GB"/>
        </w:rPr>
        <w:drawing>
          <wp:inline distT="0" distB="0" distL="0" distR="0" wp14:anchorId="7E72B1EE" wp14:editId="1120E3E3">
            <wp:extent cx="5122545" cy="2470785"/>
            <wp:effectExtent l="0" t="0" r="0" b="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820461" w:rsidRPr="00876337">
        <w:rPr>
          <w:sz w:val="18"/>
          <w:highlight w:val="yellow"/>
        </w:rPr>
        <w:br w:type="page"/>
      </w:r>
    </w:p>
    <w:p w:rsidR="00516A50" w:rsidRDefault="00516A50" w:rsidP="00516A50">
      <w:pPr>
        <w:pStyle w:val="LID"/>
        <w:rPr>
          <w:bCs/>
          <w:sz w:val="18"/>
          <w:shd w:val="clear" w:color="auto" w:fill="FFFFFF"/>
        </w:rPr>
      </w:pPr>
      <w:r w:rsidRPr="003A7D83">
        <w:rPr>
          <w:sz w:val="18"/>
        </w:rPr>
        <w:lastRenderedPageBreak/>
        <w:t xml:space="preserve">Tablica </w:t>
      </w:r>
      <w:r w:rsidR="00CF08EF" w:rsidRPr="003A7D83">
        <w:rPr>
          <w:sz w:val="18"/>
        </w:rPr>
        <w:t>2</w:t>
      </w:r>
      <w:r w:rsidRPr="003A7D83">
        <w:rPr>
          <w:sz w:val="18"/>
        </w:rPr>
        <w:t>.</w:t>
      </w:r>
      <w:r w:rsidRPr="003A7D83">
        <w:rPr>
          <w:sz w:val="18"/>
          <w:shd w:val="clear" w:color="auto" w:fill="FFFFFF"/>
        </w:rPr>
        <w:t xml:space="preserve"> </w:t>
      </w:r>
      <w:r w:rsidRPr="003A7D83">
        <w:rPr>
          <w:bCs/>
          <w:sz w:val="18"/>
          <w:shd w:val="clear" w:color="auto" w:fill="FFFFFF"/>
        </w:rPr>
        <w:t>Wskaźniki cen towarów i usług konsumpcyjnych w</w:t>
      </w:r>
      <w:r w:rsidR="000B60D7">
        <w:rPr>
          <w:bCs/>
          <w:sz w:val="18"/>
          <w:shd w:val="clear" w:color="auto" w:fill="FFFFFF"/>
        </w:rPr>
        <w:t xml:space="preserve"> grudniu </w:t>
      </w:r>
      <w:r w:rsidRPr="003A7D83">
        <w:rPr>
          <w:sz w:val="18"/>
        </w:rPr>
        <w:t>201</w:t>
      </w:r>
      <w:r w:rsidR="00CD352D" w:rsidRPr="003A7D83">
        <w:rPr>
          <w:sz w:val="18"/>
        </w:rPr>
        <w:t>9</w:t>
      </w:r>
      <w:r w:rsidRPr="003A7D83">
        <w:rPr>
          <w:sz w:val="18"/>
        </w:rPr>
        <w:t> </w:t>
      </w:r>
      <w:r w:rsidRPr="003A7D83">
        <w:rPr>
          <w:bCs/>
          <w:sz w:val="18"/>
          <w:shd w:val="clear" w:color="auto" w:fill="FFFFFF"/>
        </w:rPr>
        <w:t>r.</w:t>
      </w:r>
    </w:p>
    <w:p w:rsidR="00460C26" w:rsidRDefault="00460C26" w:rsidP="00516A50">
      <w:pPr>
        <w:pStyle w:val="LID"/>
        <w:rPr>
          <w:bCs/>
          <w:sz w:val="18"/>
          <w:shd w:val="clear" w:color="auto" w:fill="FFFFFF"/>
        </w:rPr>
      </w:pPr>
    </w:p>
    <w:tbl>
      <w:tblPr>
        <w:tblW w:w="80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921"/>
        <w:gridCol w:w="922"/>
        <w:gridCol w:w="921"/>
        <w:gridCol w:w="922"/>
        <w:gridCol w:w="992"/>
      </w:tblGrid>
      <w:tr w:rsidR="000B60D7" w:rsidRPr="000B60D7" w:rsidTr="000B60D7">
        <w:trPr>
          <w:trHeight w:val="315"/>
          <w:tblHeader/>
        </w:trPr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B60D7" w:rsidRPr="000B60D7" w:rsidRDefault="000B60D7" w:rsidP="000B60D7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0B60D7" w:rsidRPr="000B60D7" w:rsidRDefault="000B60D7" w:rsidP="000B60D7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XII 2019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0B60D7" w:rsidRPr="000B60D7" w:rsidRDefault="000B60D7" w:rsidP="000B60D7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X-XII 2019</w:t>
            </w:r>
          </w:p>
        </w:tc>
        <w:tc>
          <w:tcPr>
            <w:tcW w:w="992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0B60D7" w:rsidRPr="000B60D7" w:rsidRDefault="000B60D7" w:rsidP="000B60D7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I-XII 2019</w:t>
            </w:r>
          </w:p>
        </w:tc>
      </w:tr>
      <w:tr w:rsidR="000B60D7" w:rsidRPr="000B60D7" w:rsidTr="000B60D7">
        <w:trPr>
          <w:trHeight w:val="465"/>
          <w:tblHeader/>
        </w:trPr>
        <w:tc>
          <w:tcPr>
            <w:tcW w:w="3402" w:type="dxa"/>
            <w:vMerge/>
            <w:tcBorders>
              <w:top w:val="nil"/>
              <w:left w:val="nil"/>
              <w:bottom w:val="single" w:sz="12" w:space="0" w:color="212492"/>
              <w:right w:val="single" w:sz="8" w:space="0" w:color="212492"/>
            </w:tcBorders>
            <w:vAlign w:val="center"/>
            <w:hideMark/>
          </w:tcPr>
          <w:p w:rsidR="000B60D7" w:rsidRPr="000B60D7" w:rsidRDefault="000B60D7" w:rsidP="000B60D7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single" w:sz="8" w:space="0" w:color="212492"/>
              <w:bottom w:val="single" w:sz="12" w:space="0" w:color="212492"/>
              <w:right w:val="nil"/>
            </w:tcBorders>
            <w:shd w:val="clear" w:color="auto" w:fill="auto"/>
            <w:vAlign w:val="center"/>
            <w:hideMark/>
          </w:tcPr>
          <w:p w:rsidR="000B60D7" w:rsidRPr="000B60D7" w:rsidRDefault="000B60D7" w:rsidP="000B60D7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XII 2018</w:t>
            </w:r>
            <w:r w:rsidRPr="000B60D7">
              <w:rPr>
                <w:rFonts w:eastAsia="Times New Roman" w:cs="Calibri"/>
                <w:sz w:val="16"/>
                <w:szCs w:val="16"/>
                <w:lang w:eastAsia="pl-PL"/>
              </w:rPr>
              <w:t>=</w:t>
            </w:r>
            <w:r w:rsidRPr="000B60D7">
              <w:rPr>
                <w:rFonts w:eastAsia="Times New Roman" w:cs="Calibri"/>
                <w:sz w:val="16"/>
                <w:szCs w:val="16"/>
                <w:lang w:eastAsia="pl-PL"/>
              </w:rPr>
              <w:br/>
              <w:t>=100</w:t>
            </w:r>
          </w:p>
        </w:tc>
        <w:tc>
          <w:tcPr>
            <w:tcW w:w="922" w:type="dxa"/>
            <w:tcBorders>
              <w:top w:val="nil"/>
              <w:left w:val="single" w:sz="8" w:space="0" w:color="212492"/>
              <w:bottom w:val="single" w:sz="12" w:space="0" w:color="212492"/>
              <w:right w:val="nil"/>
            </w:tcBorders>
            <w:shd w:val="clear" w:color="auto" w:fill="auto"/>
            <w:vAlign w:val="center"/>
            <w:hideMark/>
          </w:tcPr>
          <w:p w:rsidR="000B60D7" w:rsidRPr="000B60D7" w:rsidRDefault="000B60D7" w:rsidP="000B60D7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XI 2019</w:t>
            </w:r>
            <w:r w:rsidRPr="000B60D7">
              <w:rPr>
                <w:rFonts w:eastAsia="Times New Roman" w:cs="Calibri"/>
                <w:sz w:val="16"/>
                <w:szCs w:val="16"/>
                <w:lang w:eastAsia="pl-PL"/>
              </w:rPr>
              <w:t>=</w:t>
            </w:r>
            <w:r w:rsidRPr="000B60D7">
              <w:rPr>
                <w:rFonts w:eastAsia="Times New Roman" w:cs="Calibri"/>
                <w:sz w:val="16"/>
                <w:szCs w:val="16"/>
                <w:lang w:eastAsia="pl-PL"/>
              </w:rPr>
              <w:br/>
              <w:t>=100</w:t>
            </w:r>
          </w:p>
        </w:tc>
        <w:tc>
          <w:tcPr>
            <w:tcW w:w="921" w:type="dxa"/>
            <w:tcBorders>
              <w:top w:val="nil"/>
              <w:left w:val="single" w:sz="8" w:space="0" w:color="212492"/>
              <w:bottom w:val="single" w:sz="12" w:space="0" w:color="212492"/>
              <w:right w:val="single" w:sz="8" w:space="0" w:color="212492"/>
            </w:tcBorders>
            <w:vAlign w:val="center"/>
          </w:tcPr>
          <w:p w:rsidR="000B60D7" w:rsidRPr="000B60D7" w:rsidRDefault="000B60D7" w:rsidP="000B60D7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Calibri"/>
                <w:sz w:val="16"/>
                <w:szCs w:val="16"/>
                <w:lang w:eastAsia="pl-PL"/>
              </w:rPr>
              <w:t>X-XII</w:t>
            </w:r>
            <w:r w:rsidRPr="000B60D7">
              <w:rPr>
                <w:rFonts w:eastAsia="Times New Roman" w:cs="Calibri"/>
                <w:sz w:val="16"/>
                <w:szCs w:val="16"/>
                <w:lang w:eastAsia="pl-PL"/>
              </w:rPr>
              <w:br/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>2018</w:t>
            </w:r>
            <w:r w:rsidRPr="000B60D7">
              <w:rPr>
                <w:rFonts w:eastAsia="Times New Roman" w:cs="Calibri"/>
                <w:sz w:val="16"/>
                <w:szCs w:val="16"/>
                <w:lang w:eastAsia="pl-PL"/>
              </w:rPr>
              <w:t>=100</w:t>
            </w:r>
          </w:p>
        </w:tc>
        <w:tc>
          <w:tcPr>
            <w:tcW w:w="922" w:type="dxa"/>
            <w:tcBorders>
              <w:top w:val="nil"/>
              <w:left w:val="single" w:sz="8" w:space="0" w:color="212492"/>
              <w:bottom w:val="single" w:sz="12" w:space="0" w:color="212492"/>
              <w:right w:val="single" w:sz="8" w:space="0" w:color="212492"/>
            </w:tcBorders>
            <w:vAlign w:val="center"/>
          </w:tcPr>
          <w:p w:rsidR="000B60D7" w:rsidRPr="000B60D7" w:rsidRDefault="000B60D7" w:rsidP="000B60D7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VII-IX 2019</w:t>
            </w:r>
            <w:r w:rsidRPr="000B60D7">
              <w:rPr>
                <w:rFonts w:eastAsia="Times New Roman" w:cs="Calibri"/>
                <w:sz w:val="16"/>
                <w:szCs w:val="16"/>
                <w:lang w:eastAsia="pl-PL"/>
              </w:rPr>
              <w:t>=100</w:t>
            </w:r>
          </w:p>
        </w:tc>
        <w:tc>
          <w:tcPr>
            <w:tcW w:w="992" w:type="dxa"/>
            <w:tcBorders>
              <w:top w:val="nil"/>
              <w:left w:val="single" w:sz="8" w:space="0" w:color="212492"/>
              <w:bottom w:val="single" w:sz="12" w:space="0" w:color="212492"/>
              <w:right w:val="nil"/>
            </w:tcBorders>
            <w:shd w:val="clear" w:color="auto" w:fill="auto"/>
            <w:vAlign w:val="center"/>
            <w:hideMark/>
          </w:tcPr>
          <w:p w:rsidR="000B60D7" w:rsidRPr="000B60D7" w:rsidRDefault="000B60D7" w:rsidP="000B60D7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Calibri"/>
                <w:sz w:val="16"/>
                <w:szCs w:val="16"/>
                <w:lang w:eastAsia="pl-PL"/>
              </w:rPr>
              <w:t xml:space="preserve">I-XII </w:t>
            </w:r>
          </w:p>
          <w:p w:rsidR="000B60D7" w:rsidRPr="000B60D7" w:rsidRDefault="000B60D7" w:rsidP="000B60D7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2018</w:t>
            </w:r>
            <w:r w:rsidRPr="000B60D7">
              <w:rPr>
                <w:rFonts w:eastAsia="Times New Roman" w:cs="Calibri"/>
                <w:sz w:val="16"/>
                <w:szCs w:val="16"/>
                <w:lang w:eastAsia="pl-PL"/>
              </w:rPr>
              <w:t>=100</w:t>
            </w:r>
          </w:p>
        </w:tc>
      </w:tr>
      <w:tr w:rsidR="00920A9B" w:rsidRPr="000B60D7" w:rsidTr="00892238">
        <w:trPr>
          <w:trHeight w:val="330"/>
        </w:trPr>
        <w:tc>
          <w:tcPr>
            <w:tcW w:w="3402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921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/>
                <w:bCs/>
                <w:color w:val="000000"/>
                <w:sz w:val="16"/>
                <w:szCs w:val="16"/>
              </w:rPr>
              <w:t>103,4</w:t>
            </w:r>
          </w:p>
        </w:tc>
        <w:tc>
          <w:tcPr>
            <w:tcW w:w="922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/>
                <w:bCs/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921" w:type="dxa"/>
            <w:tcBorders>
              <w:top w:val="single" w:sz="12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/>
                <w:bCs/>
                <w:color w:val="000000"/>
                <w:sz w:val="16"/>
                <w:szCs w:val="16"/>
              </w:rPr>
              <w:t>102,8</w:t>
            </w:r>
          </w:p>
        </w:tc>
        <w:tc>
          <w:tcPr>
            <w:tcW w:w="922" w:type="dxa"/>
            <w:tcBorders>
              <w:top w:val="single" w:sz="12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/>
                <w:bCs/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992" w:type="dxa"/>
            <w:tcBorders>
              <w:top w:val="single" w:sz="12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/>
                <w:bCs/>
                <w:color w:val="000000"/>
                <w:sz w:val="16"/>
                <w:szCs w:val="16"/>
              </w:rPr>
              <w:t>102,3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Towary</w:t>
            </w:r>
          </w:p>
        </w:tc>
        <w:tc>
          <w:tcPr>
            <w:tcW w:w="921" w:type="dxa"/>
            <w:tcBorders>
              <w:top w:val="nil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922" w:type="dxa"/>
            <w:tcBorders>
              <w:top w:val="nil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921" w:type="dxa"/>
            <w:tcBorders>
              <w:top w:val="nil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922" w:type="dxa"/>
            <w:tcBorders>
              <w:top w:val="nil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992" w:type="dxa"/>
            <w:tcBorders>
              <w:top w:val="nil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101,7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</w:t>
            </w:r>
          </w:p>
        </w:tc>
        <w:tc>
          <w:tcPr>
            <w:tcW w:w="921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106,1</w:t>
            </w:r>
          </w:p>
        </w:tc>
        <w:tc>
          <w:tcPr>
            <w:tcW w:w="922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921" w:type="dxa"/>
            <w:tcBorders>
              <w:top w:val="single" w:sz="8" w:space="0" w:color="212492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105,4</w:t>
            </w:r>
          </w:p>
        </w:tc>
        <w:tc>
          <w:tcPr>
            <w:tcW w:w="922" w:type="dxa"/>
            <w:tcBorders>
              <w:top w:val="single" w:sz="8" w:space="0" w:color="212492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103,9</w:t>
            </w:r>
          </w:p>
        </w:tc>
      </w:tr>
      <w:tr w:rsidR="00920A9B" w:rsidRPr="000B60D7" w:rsidTr="00892238">
        <w:trPr>
          <w:trHeight w:val="46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aps/>
                <w:color w:val="000000"/>
                <w:sz w:val="16"/>
                <w:szCs w:val="16"/>
                <w:lang w:eastAsia="pl-PL"/>
              </w:rPr>
              <w:t xml:space="preserve">Żywność, napoje bezalkoholowe </w:t>
            </w:r>
            <w:r w:rsidRPr="000B60D7">
              <w:rPr>
                <w:rFonts w:eastAsia="Times New Roman" w:cs="Arial"/>
                <w:caps/>
                <w:color w:val="000000"/>
                <w:sz w:val="16"/>
                <w:szCs w:val="16"/>
                <w:lang w:eastAsia="pl-PL"/>
              </w:rPr>
              <w:br/>
              <w:t>i alkoholowe oraz wyroby tytoniowe</w:t>
            </w:r>
          </w:p>
        </w:tc>
        <w:tc>
          <w:tcPr>
            <w:tcW w:w="921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922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921" w:type="dxa"/>
            <w:tcBorders>
              <w:top w:val="single" w:sz="8" w:space="0" w:color="212492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105,5</w:t>
            </w:r>
          </w:p>
        </w:tc>
        <w:tc>
          <w:tcPr>
            <w:tcW w:w="922" w:type="dxa"/>
            <w:tcBorders>
              <w:top w:val="single" w:sz="8" w:space="0" w:color="212492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104,2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ŻYWNOŚĆ I NAPOJE BEZALKOHOLOWE</w:t>
            </w:r>
          </w:p>
        </w:tc>
        <w:tc>
          <w:tcPr>
            <w:tcW w:w="921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106,9</w:t>
            </w:r>
          </w:p>
        </w:tc>
        <w:tc>
          <w:tcPr>
            <w:tcW w:w="922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921" w:type="dxa"/>
            <w:tcBorders>
              <w:top w:val="single" w:sz="8" w:space="0" w:color="212492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106,5</w:t>
            </w:r>
          </w:p>
        </w:tc>
        <w:tc>
          <w:tcPr>
            <w:tcW w:w="922" w:type="dxa"/>
            <w:tcBorders>
              <w:top w:val="single" w:sz="8" w:space="0" w:color="212492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104,9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Żywność</w:t>
            </w:r>
          </w:p>
        </w:tc>
        <w:tc>
          <w:tcPr>
            <w:tcW w:w="921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107,5</w:t>
            </w:r>
          </w:p>
        </w:tc>
        <w:tc>
          <w:tcPr>
            <w:tcW w:w="922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921" w:type="dxa"/>
            <w:tcBorders>
              <w:top w:val="single" w:sz="8" w:space="0" w:color="212492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922" w:type="dxa"/>
            <w:tcBorders>
              <w:top w:val="single" w:sz="8" w:space="0" w:color="212492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105,3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Ryż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921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106,5</w:t>
            </w:r>
          </w:p>
        </w:tc>
        <w:tc>
          <w:tcPr>
            <w:tcW w:w="922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992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104,4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Mąka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107,3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98,2</w:t>
            </w:r>
          </w:p>
        </w:tc>
        <w:tc>
          <w:tcPr>
            <w:tcW w:w="921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107,7</w:t>
            </w:r>
          </w:p>
        </w:tc>
        <w:tc>
          <w:tcPr>
            <w:tcW w:w="922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992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108,0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Pieczywo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921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106,4</w:t>
            </w:r>
          </w:p>
        </w:tc>
        <w:tc>
          <w:tcPr>
            <w:tcW w:w="922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101,8</w:t>
            </w:r>
          </w:p>
        </w:tc>
        <w:tc>
          <w:tcPr>
            <w:tcW w:w="992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108,6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Makarony i produkty makaronowe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103,7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921" w:type="dxa"/>
            <w:tcBorders>
              <w:top w:val="nil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103,7</w:t>
            </w:r>
          </w:p>
        </w:tc>
        <w:tc>
          <w:tcPr>
            <w:tcW w:w="922" w:type="dxa"/>
            <w:tcBorders>
              <w:top w:val="nil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101,4</w:t>
            </w:r>
          </w:p>
        </w:tc>
        <w:tc>
          <w:tcPr>
            <w:tcW w:w="992" w:type="dxa"/>
            <w:tcBorders>
              <w:top w:val="nil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103,0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Mięso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112,8</w:t>
            </w:r>
          </w:p>
        </w:tc>
        <w:tc>
          <w:tcPr>
            <w:tcW w:w="922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102,8</w:t>
            </w:r>
          </w:p>
        </w:tc>
        <w:tc>
          <w:tcPr>
            <w:tcW w:w="92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92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105,6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Mięso wołowe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921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922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992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101,0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Mięso cielęce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21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102,9</w:t>
            </w:r>
          </w:p>
        </w:tc>
        <w:tc>
          <w:tcPr>
            <w:tcW w:w="922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992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102,3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Mięso wieprzowe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123,6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106,8</w:t>
            </w:r>
          </w:p>
        </w:tc>
        <w:tc>
          <w:tcPr>
            <w:tcW w:w="92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117,9</w:t>
            </w:r>
          </w:p>
        </w:tc>
        <w:tc>
          <w:tcPr>
            <w:tcW w:w="92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104,1</w:t>
            </w:r>
          </w:p>
        </w:tc>
        <w:tc>
          <w:tcPr>
            <w:tcW w:w="992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109,6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Mięso drobiowe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107,1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92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92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98,4</w:t>
            </w:r>
          </w:p>
        </w:tc>
        <w:tc>
          <w:tcPr>
            <w:tcW w:w="992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102,1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Wędliny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111,9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921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92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102,9</w:t>
            </w:r>
          </w:p>
        </w:tc>
        <w:tc>
          <w:tcPr>
            <w:tcW w:w="992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105,8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Ryby i owoce morza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104,7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21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104,7</w:t>
            </w:r>
          </w:p>
        </w:tc>
        <w:tc>
          <w:tcPr>
            <w:tcW w:w="922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992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103,9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Mleko, sery i jaja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921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922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992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100,2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920A9B" w:rsidRPr="000B60D7" w:rsidTr="00892238">
        <w:trPr>
          <w:trHeight w:val="318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Mleko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92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992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99,8</w:t>
            </w:r>
          </w:p>
        </w:tc>
      </w:tr>
      <w:tr w:rsidR="00920A9B" w:rsidRPr="000B60D7" w:rsidTr="00892238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ind w:left="34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Jogurt, śmietana, napoje </w:t>
            </w: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i desery mleczne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102,6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92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992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102,4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Sery i twarogi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922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101,7</w:t>
            </w:r>
          </w:p>
        </w:tc>
        <w:tc>
          <w:tcPr>
            <w:tcW w:w="92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101,6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Jaja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96,3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95,6</w:t>
            </w:r>
          </w:p>
        </w:tc>
        <w:tc>
          <w:tcPr>
            <w:tcW w:w="92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92,4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Oleje i tłuszcze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96,8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99,0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95,9</w:t>
            </w:r>
          </w:p>
        </w:tc>
        <w:tc>
          <w:tcPr>
            <w:tcW w:w="92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992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97,8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Tłuszcze roślinne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101,7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98,6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92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992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Tłuszcze zwierzęce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93,1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99,3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92,3</w:t>
            </w:r>
          </w:p>
        </w:tc>
        <w:tc>
          <w:tcPr>
            <w:tcW w:w="92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992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96,1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ind w:firstLineChars="300" w:firstLine="48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 masło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91,4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98,8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90,9</w:t>
            </w:r>
          </w:p>
        </w:tc>
        <w:tc>
          <w:tcPr>
            <w:tcW w:w="92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992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95,5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Owoce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112,1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113,2</w:t>
            </w:r>
          </w:p>
        </w:tc>
        <w:tc>
          <w:tcPr>
            <w:tcW w:w="92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992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98,7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Warzywa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112,3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103,6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114,8</w:t>
            </w:r>
          </w:p>
        </w:tc>
        <w:tc>
          <w:tcPr>
            <w:tcW w:w="92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98,5</w:t>
            </w:r>
          </w:p>
        </w:tc>
        <w:tc>
          <w:tcPr>
            <w:tcW w:w="992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119,8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Cukier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120,7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122,5</w:t>
            </w:r>
          </w:p>
        </w:tc>
        <w:tc>
          <w:tcPr>
            <w:tcW w:w="92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992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116,9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Napoje bezalkoholowe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101,8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92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992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101,4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Kawa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92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992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100,8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Herbata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92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992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100,3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Kakao i czekolada w proszku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104,2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104,3</w:t>
            </w:r>
          </w:p>
        </w:tc>
        <w:tc>
          <w:tcPr>
            <w:tcW w:w="92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992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103,5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Wody mineralne lub źródlane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98,8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92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992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102,6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Soki owocowe i warzywne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102,6</w:t>
            </w:r>
          </w:p>
        </w:tc>
        <w:tc>
          <w:tcPr>
            <w:tcW w:w="92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992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101,9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4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lastRenderedPageBreak/>
              <w:t>NAPOJE ALKOHOLOWE I WYROBY TYTONIOWE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101,4</w:t>
            </w:r>
          </w:p>
        </w:tc>
        <w:tc>
          <w:tcPr>
            <w:tcW w:w="92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992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101,3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Napoje alkoholowe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101,4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92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101,6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Wyroby tytoniowe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92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992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100,6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ODZIEŻ I OBUWIE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98,8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98,4</w:t>
            </w:r>
          </w:p>
        </w:tc>
        <w:tc>
          <w:tcPr>
            <w:tcW w:w="92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104,3</w:t>
            </w:r>
          </w:p>
        </w:tc>
        <w:tc>
          <w:tcPr>
            <w:tcW w:w="992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98,1</w:t>
            </w:r>
          </w:p>
        </w:tc>
      </w:tr>
      <w:tr w:rsidR="00920A9B" w:rsidRPr="000B60D7" w:rsidTr="00276F83">
        <w:trPr>
          <w:trHeight w:val="262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Odzież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98,7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98,2</w:t>
            </w:r>
          </w:p>
        </w:tc>
        <w:tc>
          <w:tcPr>
            <w:tcW w:w="922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104,6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97,8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Obuwie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98,7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98,6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98,4</w:t>
            </w:r>
          </w:p>
        </w:tc>
        <w:tc>
          <w:tcPr>
            <w:tcW w:w="922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103,7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98,3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MIESZKANIE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922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101,4</w:t>
            </w:r>
          </w:p>
        </w:tc>
      </w:tr>
      <w:tr w:rsidR="00920A9B" w:rsidRPr="000B60D7" w:rsidTr="00892238">
        <w:trPr>
          <w:trHeight w:val="46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UŻYTKOWANIE MIESZKANIA LUB DOMU </w:t>
            </w: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I NOŚNIKI ENERGII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922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101,5</w:t>
            </w:r>
          </w:p>
        </w:tc>
      </w:tr>
      <w:tr w:rsidR="00920A9B" w:rsidRPr="000B60D7" w:rsidTr="00276F83">
        <w:trPr>
          <w:trHeight w:val="189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0B60D7" w:rsidRDefault="00920A9B" w:rsidP="00276F83">
            <w:pPr>
              <w:spacing w:before="40" w:after="4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Opłaty na rzecz właścicieli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105,3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105,3</w:t>
            </w:r>
          </w:p>
        </w:tc>
        <w:tc>
          <w:tcPr>
            <w:tcW w:w="922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104,9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Zaopatrywanie w wodę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922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102,1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Wywóz śmieci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132,2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131,7</w:t>
            </w:r>
          </w:p>
        </w:tc>
        <w:tc>
          <w:tcPr>
            <w:tcW w:w="922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121,4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kanalizacyjne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104,1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104,1</w:t>
            </w:r>
          </w:p>
        </w:tc>
        <w:tc>
          <w:tcPr>
            <w:tcW w:w="922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103,7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Nośniki energii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98,2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98,2</w:t>
            </w:r>
          </w:p>
        </w:tc>
        <w:tc>
          <w:tcPr>
            <w:tcW w:w="922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98,6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Energia elektryczna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94,2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94,2</w:t>
            </w:r>
          </w:p>
        </w:tc>
        <w:tc>
          <w:tcPr>
            <w:tcW w:w="922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93,9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Gaz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922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102,7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Opał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922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100,4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Energia cieplna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922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101,9</w:t>
            </w:r>
          </w:p>
        </w:tc>
      </w:tr>
      <w:tr w:rsidR="00920A9B" w:rsidRPr="000B60D7" w:rsidTr="00892238">
        <w:trPr>
          <w:trHeight w:val="46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WYPOSAŻENIE MIESZKANIA I PROWADZENIE GOSPODARSTWA DOMOWEGO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922" w:type="dxa"/>
            <w:tcBorders>
              <w:top w:val="nil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100,7</w:t>
            </w:r>
          </w:p>
        </w:tc>
      </w:tr>
      <w:tr w:rsidR="00920A9B" w:rsidRPr="000B60D7" w:rsidTr="002F321F">
        <w:trPr>
          <w:trHeight w:val="228"/>
        </w:trPr>
        <w:tc>
          <w:tcPr>
            <w:tcW w:w="3402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0B60D7" w:rsidRDefault="00920A9B" w:rsidP="002F321F">
            <w:pPr>
              <w:spacing w:before="40" w:after="4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920A9B" w:rsidRPr="000B60D7" w:rsidTr="00892238">
        <w:trPr>
          <w:trHeight w:val="46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Meble, artykuły dekoracyjne, </w:t>
            </w: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sprzęt oświetleniowy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99,3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922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99,3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100,7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Urządzenia gospodarstwa domowego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98,4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98,5</w:t>
            </w:r>
          </w:p>
        </w:tc>
        <w:tc>
          <w:tcPr>
            <w:tcW w:w="922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99,2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Środki czyszczące i konserwujące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922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100,8</w:t>
            </w:r>
          </w:p>
        </w:tc>
      </w:tr>
      <w:tr w:rsidR="00920A9B" w:rsidRPr="000B60D7" w:rsidTr="00892238">
        <w:trPr>
          <w:trHeight w:val="46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związane z prowadzeniem</w:t>
            </w: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gospodarstwa domowego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105,7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105,6</w:t>
            </w:r>
          </w:p>
        </w:tc>
        <w:tc>
          <w:tcPr>
            <w:tcW w:w="922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101,4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105,1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ZDROWIE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103,4</w:t>
            </w:r>
          </w:p>
        </w:tc>
        <w:tc>
          <w:tcPr>
            <w:tcW w:w="922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103,2</w:t>
            </w:r>
          </w:p>
        </w:tc>
      </w:tr>
      <w:tr w:rsidR="00920A9B" w:rsidRPr="000B60D7" w:rsidTr="002F321F">
        <w:trPr>
          <w:trHeight w:val="218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0B60D7" w:rsidRDefault="00920A9B" w:rsidP="002F321F">
            <w:pPr>
              <w:spacing w:before="40" w:after="4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Wyroby farmaceutyczne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922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103,1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Urządzenia i sprzęt terapeutyczny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922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101,4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lekarskie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106,3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106,2</w:t>
            </w:r>
          </w:p>
        </w:tc>
        <w:tc>
          <w:tcPr>
            <w:tcW w:w="922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105,3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stomatologiczne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104,4</w:t>
            </w:r>
          </w:p>
        </w:tc>
        <w:tc>
          <w:tcPr>
            <w:tcW w:w="922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103,8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szpitalne i sanatoryjne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922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92,2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101,8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TRANSPORT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98,0</w:t>
            </w:r>
          </w:p>
        </w:tc>
        <w:tc>
          <w:tcPr>
            <w:tcW w:w="922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98,5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100,7</w:t>
            </w:r>
          </w:p>
        </w:tc>
      </w:tr>
      <w:tr w:rsidR="00920A9B" w:rsidRPr="000B60D7" w:rsidTr="002F321F">
        <w:trPr>
          <w:trHeight w:val="194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0B60D7" w:rsidRDefault="00920A9B" w:rsidP="002F321F">
            <w:pPr>
              <w:spacing w:before="40" w:after="4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Środki transportu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97,2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96,5</w:t>
            </w:r>
          </w:p>
        </w:tc>
        <w:tc>
          <w:tcPr>
            <w:tcW w:w="922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97,9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96,2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 samochody osobowe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97,0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96,2</w:t>
            </w:r>
          </w:p>
        </w:tc>
        <w:tc>
          <w:tcPr>
            <w:tcW w:w="922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97,9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96,0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Paliwa do prywatnych środków transportu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96,6</w:t>
            </w:r>
          </w:p>
        </w:tc>
        <w:tc>
          <w:tcPr>
            <w:tcW w:w="922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98,2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101,6</w:t>
            </w:r>
          </w:p>
        </w:tc>
      </w:tr>
      <w:tr w:rsidR="00920A9B" w:rsidRPr="000B60D7" w:rsidTr="002F321F">
        <w:trPr>
          <w:trHeight w:val="171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2F321F">
            <w:pPr>
              <w:spacing w:before="40" w:after="4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Olej napędowy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98,2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96,1</w:t>
            </w:r>
          </w:p>
        </w:tc>
        <w:tc>
          <w:tcPr>
            <w:tcW w:w="922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99,0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103,1</w:t>
            </w:r>
          </w:p>
        </w:tc>
      </w:tr>
      <w:tr w:rsidR="00920A9B" w:rsidRPr="000B60D7" w:rsidTr="002F321F">
        <w:trPr>
          <w:trHeight w:val="202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2F321F">
            <w:pPr>
              <w:spacing w:before="40" w:after="4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Benzyna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98,5</w:t>
            </w:r>
          </w:p>
        </w:tc>
        <w:tc>
          <w:tcPr>
            <w:tcW w:w="922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96,9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101,6</w:t>
            </w:r>
          </w:p>
        </w:tc>
      </w:tr>
      <w:tr w:rsidR="00920A9B" w:rsidRPr="000B60D7" w:rsidTr="00892238">
        <w:trPr>
          <w:trHeight w:val="46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ind w:left="17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Gaz ciekły i pozostałe paliwa </w:t>
            </w: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 xml:space="preserve">do prywatnych środków </w:t>
            </w: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transportu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98,1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114,3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86,4</w:t>
            </w:r>
          </w:p>
        </w:tc>
        <w:tc>
          <w:tcPr>
            <w:tcW w:w="922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104,3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96,2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transportowe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107,5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129,4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922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97,8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103,5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lastRenderedPageBreak/>
              <w:t>ŁĄCZNOŚĆ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104,3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922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99,3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Sprzęt telekomunikacyjny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92,3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96,4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92,3</w:t>
            </w:r>
          </w:p>
        </w:tc>
        <w:tc>
          <w:tcPr>
            <w:tcW w:w="922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98,7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90,3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telekomunikacyjne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104,7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922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99,7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REKREACJA I KULTURA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103,6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922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102,6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920A9B" w:rsidRPr="000B60D7" w:rsidTr="00892238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Sprzęt audiowizualny, </w:t>
            </w:r>
            <w:r w:rsidRPr="000B60D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fotograficzny </w:t>
            </w:r>
            <w:r w:rsidRPr="000B60D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br/>
              <w:t>i informatyczny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95,5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95,4</w:t>
            </w:r>
          </w:p>
        </w:tc>
        <w:tc>
          <w:tcPr>
            <w:tcW w:w="922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95,3</w:t>
            </w:r>
          </w:p>
        </w:tc>
      </w:tr>
      <w:tr w:rsidR="00920A9B" w:rsidRPr="000B60D7" w:rsidTr="00892238">
        <w:trPr>
          <w:trHeight w:val="300"/>
        </w:trPr>
        <w:tc>
          <w:tcPr>
            <w:tcW w:w="3402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Usługi związane z rekreacją </w:t>
            </w:r>
            <w:r w:rsidRPr="000B60D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 kulturą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102,6</w:t>
            </w:r>
          </w:p>
        </w:tc>
        <w:tc>
          <w:tcPr>
            <w:tcW w:w="922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92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102,0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920A9B" w:rsidRPr="000B60D7" w:rsidTr="00892238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związane z rekreacją i sportem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103,7</w:t>
            </w:r>
          </w:p>
        </w:tc>
        <w:tc>
          <w:tcPr>
            <w:tcW w:w="922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103,3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związane z kulturą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922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92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99,3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101,5</w:t>
            </w:r>
          </w:p>
        </w:tc>
      </w:tr>
      <w:tr w:rsidR="00920A9B" w:rsidRPr="000B60D7" w:rsidTr="00892238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 opłaty radiowo-telewizyjne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922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98,2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100,2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Książki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922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92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105,8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103,0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Gazety i czasopisma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104,3</w:t>
            </w:r>
          </w:p>
        </w:tc>
        <w:tc>
          <w:tcPr>
            <w:tcW w:w="922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105,4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Artykuły piśmienne, malarskie, kreślarskie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922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103,2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Turystyka zorganizowana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108,7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922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96,1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105,9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Turystyka zorganizowana w kraju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106,5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105,5</w:t>
            </w:r>
          </w:p>
        </w:tc>
        <w:tc>
          <w:tcPr>
            <w:tcW w:w="922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96,8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104,0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Turystyka zorganizowana za granicą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110,4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109,9</w:t>
            </w:r>
          </w:p>
        </w:tc>
        <w:tc>
          <w:tcPr>
            <w:tcW w:w="922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95,5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107,3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EDUKACJA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104,6</w:t>
            </w:r>
          </w:p>
        </w:tc>
        <w:tc>
          <w:tcPr>
            <w:tcW w:w="922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104,7</w:t>
            </w:r>
          </w:p>
        </w:tc>
        <w:tc>
          <w:tcPr>
            <w:tcW w:w="92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102,9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103,6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RESTAURACJE I HOTELE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105,4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105,3</w:t>
            </w:r>
          </w:p>
        </w:tc>
        <w:tc>
          <w:tcPr>
            <w:tcW w:w="922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104,4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INNE TOWARY I USŁUGI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922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101,4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Higiena osobista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922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101,1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ind w:left="17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Usługi fryzjerskie, kosmetyczne </w:t>
            </w: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i pielęgnacyjne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105,7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105,6</w:t>
            </w:r>
          </w:p>
        </w:tc>
        <w:tc>
          <w:tcPr>
            <w:tcW w:w="922" w:type="dxa"/>
            <w:tcBorders>
              <w:top w:val="nil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105,1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ind w:left="17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Artykuły do higieny osobistej </w:t>
            </w: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i kosmetyki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922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92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100,4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Opieka społeczna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922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92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101,7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104,9</w:t>
            </w:r>
          </w:p>
        </w:tc>
      </w:tr>
      <w:tr w:rsidR="00920A9B" w:rsidRPr="000B60D7" w:rsidTr="0089223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Ubezpieczenia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107,8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107,8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922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104,2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102,2</w:t>
            </w:r>
          </w:p>
        </w:tc>
      </w:tr>
      <w:tr w:rsidR="00920A9B" w:rsidRPr="000B60D7" w:rsidTr="00892238">
        <w:trPr>
          <w:trHeight w:val="45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0B60D7" w:rsidRDefault="00920A9B" w:rsidP="00920A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B60D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finansowe świadczone przez banki i inne instytucje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21" w:type="dxa"/>
            <w:tcBorders>
              <w:top w:val="single" w:sz="8" w:space="0" w:color="212492"/>
              <w:left w:val="nil"/>
              <w:bottom w:val="nil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922" w:type="dxa"/>
            <w:tcBorders>
              <w:top w:val="nil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992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A9B" w:rsidRPr="00920A9B" w:rsidRDefault="00920A9B" w:rsidP="00892238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20A9B">
              <w:rPr>
                <w:rFonts w:cs="Calibri"/>
                <w:bCs/>
                <w:color w:val="000000"/>
                <w:sz w:val="16"/>
                <w:szCs w:val="16"/>
              </w:rPr>
              <w:t>98,2</w:t>
            </w:r>
          </w:p>
        </w:tc>
      </w:tr>
    </w:tbl>
    <w:p w:rsidR="000B60D7" w:rsidRPr="003A7D83" w:rsidRDefault="000B60D7" w:rsidP="00516A50">
      <w:pPr>
        <w:pStyle w:val="LID"/>
        <w:rPr>
          <w:bCs/>
          <w:sz w:val="18"/>
          <w:shd w:val="clear" w:color="auto" w:fill="FFFFFF"/>
        </w:rPr>
      </w:pPr>
    </w:p>
    <w:p w:rsidR="009E3FA7" w:rsidRPr="00C27CB6" w:rsidRDefault="009E3FA7" w:rsidP="00516A50">
      <w:pPr>
        <w:pStyle w:val="LID"/>
        <w:rPr>
          <w:bCs/>
          <w:sz w:val="18"/>
          <w:highlight w:val="yellow"/>
          <w:shd w:val="clear" w:color="auto" w:fill="FFFFFF"/>
        </w:rPr>
      </w:pPr>
    </w:p>
    <w:p w:rsidR="00685123" w:rsidRPr="00876337" w:rsidRDefault="00685123" w:rsidP="00883763">
      <w:pPr>
        <w:spacing w:before="0" w:after="160" w:line="259" w:lineRule="auto"/>
        <w:rPr>
          <w:b/>
          <w:noProof/>
          <w:szCs w:val="19"/>
          <w:highlight w:val="yellow"/>
          <w:lang w:eastAsia="pl-PL"/>
        </w:rPr>
        <w:sectPr w:rsidR="00685123" w:rsidRPr="00876337" w:rsidSect="00EF7B36">
          <w:headerReference w:type="default" r:id="rId18"/>
          <w:footerReference w:type="default" r:id="rId19"/>
          <w:headerReference w:type="first" r:id="rId20"/>
          <w:footerReference w:type="first" r:id="rId21"/>
          <w:footnotePr>
            <w:numFmt w:val="lowerLetter"/>
          </w:footnotePr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p w:rsidR="000470AA" w:rsidRPr="00876337" w:rsidRDefault="000470AA" w:rsidP="000470AA">
      <w:pPr>
        <w:rPr>
          <w:sz w:val="18"/>
          <w:highlight w:val="yellow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356"/>
        <w:gridCol w:w="3927"/>
      </w:tblGrid>
      <w:tr w:rsidR="00883763" w:rsidRPr="00876337" w:rsidTr="00EE696D">
        <w:trPr>
          <w:trHeight w:val="1912"/>
        </w:trPr>
        <w:tc>
          <w:tcPr>
            <w:tcW w:w="4379" w:type="dxa"/>
          </w:tcPr>
          <w:p w:rsidR="00883763" w:rsidRPr="00A7152F" w:rsidRDefault="00883763" w:rsidP="00EE696D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</w:rPr>
            </w:pPr>
            <w:r w:rsidRPr="00A7152F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="00883763" w:rsidRPr="001E4443" w:rsidRDefault="00883763" w:rsidP="00EE696D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1E4443">
              <w:rPr>
                <w:rFonts w:cs="Arial"/>
                <w:b/>
                <w:color w:val="000000" w:themeColor="text1"/>
                <w:sz w:val="20"/>
              </w:rPr>
              <w:t>Departament Handlu i Usług</w:t>
            </w:r>
          </w:p>
          <w:p w:rsidR="000C68F7" w:rsidRPr="001E4443" w:rsidRDefault="000C68F7" w:rsidP="000C68F7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1E4443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Dyrektor Ewa Adach-Stankiewicz</w:t>
            </w:r>
          </w:p>
          <w:p w:rsidR="00883763" w:rsidRPr="00BB27AF" w:rsidRDefault="000C68F7" w:rsidP="000C68F7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highlight w:val="yellow"/>
                <w:lang w:val="en-GB"/>
              </w:rPr>
            </w:pPr>
            <w:r w:rsidRPr="00BB27AF">
              <w:rPr>
                <w:rFonts w:ascii="Fira Sans" w:hAnsi="Fira Sans" w:cs="Arial"/>
                <w:color w:val="000000" w:themeColor="text1"/>
                <w:sz w:val="20"/>
                <w:szCs w:val="28"/>
              </w:rPr>
              <w:t>Tel: 22 608 31 24</w:t>
            </w:r>
          </w:p>
        </w:tc>
        <w:tc>
          <w:tcPr>
            <w:tcW w:w="3942" w:type="dxa"/>
          </w:tcPr>
          <w:p w:rsidR="00883763" w:rsidRPr="00D47B8D" w:rsidRDefault="00883763" w:rsidP="00EE696D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D47B8D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D47B8D">
              <w:rPr>
                <w:rFonts w:cs="Arial"/>
                <w:color w:val="000000" w:themeColor="text1"/>
                <w:sz w:val="20"/>
              </w:rPr>
              <w:br/>
            </w:r>
            <w:r w:rsidRPr="00D47B8D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0C68F7" w:rsidRPr="00087888" w:rsidRDefault="000C68F7" w:rsidP="000C68F7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08788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Banaszek</w:t>
            </w:r>
          </w:p>
          <w:p w:rsidR="000C68F7" w:rsidRPr="00087888" w:rsidRDefault="000C68F7" w:rsidP="000C68F7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08788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695 255 011</w:t>
            </w:r>
          </w:p>
          <w:p w:rsidR="00883763" w:rsidRPr="00876337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0470AA" w:rsidRPr="00876337" w:rsidRDefault="000470AA" w:rsidP="000470AA">
      <w:pPr>
        <w:rPr>
          <w:sz w:val="18"/>
          <w:highlight w:val="yellow"/>
          <w:lang w:val="en-GB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0470AA" w:rsidRPr="00876337" w:rsidTr="00C057E5">
        <w:trPr>
          <w:trHeight w:val="610"/>
        </w:trPr>
        <w:tc>
          <w:tcPr>
            <w:tcW w:w="2721" w:type="pct"/>
            <w:vMerge w:val="restart"/>
          </w:tcPr>
          <w:p w:rsidR="000470AA" w:rsidRPr="00A7152F" w:rsidRDefault="000470AA" w:rsidP="00C057E5">
            <w:pPr>
              <w:spacing w:before="200"/>
              <w:rPr>
                <w:b/>
                <w:sz w:val="20"/>
              </w:rPr>
            </w:pPr>
            <w:r w:rsidRPr="00A7152F">
              <w:rPr>
                <w:b/>
                <w:sz w:val="20"/>
              </w:rPr>
              <w:t xml:space="preserve">Wydział Współpracy z Mediami </w:t>
            </w:r>
          </w:p>
          <w:p w:rsidR="000470AA" w:rsidRPr="00A7152F" w:rsidRDefault="00C057E5" w:rsidP="00C057E5">
            <w:pPr>
              <w:rPr>
                <w:sz w:val="20"/>
              </w:rPr>
            </w:pPr>
            <w:r w:rsidRPr="00A7152F">
              <w:rPr>
                <w:sz w:val="20"/>
              </w:rPr>
              <w:t>T</w:t>
            </w:r>
            <w:r w:rsidR="000609C1">
              <w:rPr>
                <w:sz w:val="20"/>
              </w:rPr>
              <w:t>el</w:t>
            </w:r>
            <w:r w:rsidR="000470AA" w:rsidRPr="00A7152F">
              <w:rPr>
                <w:sz w:val="20"/>
              </w:rPr>
              <w:t xml:space="preserve">: </w:t>
            </w:r>
            <w:r w:rsidR="00097840" w:rsidRPr="00A7152F">
              <w:rPr>
                <w:sz w:val="20"/>
              </w:rPr>
              <w:t>22 608 34 91, 22</w:t>
            </w:r>
            <w:r w:rsidR="000470AA" w:rsidRPr="00A7152F">
              <w:rPr>
                <w:sz w:val="20"/>
              </w:rPr>
              <w:t xml:space="preserve"> 608 38 04 </w:t>
            </w:r>
          </w:p>
          <w:p w:rsidR="000470AA" w:rsidRPr="00876337" w:rsidRDefault="000470AA" w:rsidP="00C057E5">
            <w:pPr>
              <w:rPr>
                <w:sz w:val="18"/>
                <w:highlight w:val="yellow"/>
                <w:lang w:val="en-GB"/>
              </w:rPr>
            </w:pPr>
            <w:r w:rsidRPr="00A7152F">
              <w:rPr>
                <w:b/>
                <w:sz w:val="20"/>
                <w:lang w:val="en-GB"/>
              </w:rPr>
              <w:t>e-</w:t>
            </w:r>
            <w:r w:rsidRPr="00A7152F">
              <w:rPr>
                <w:b/>
                <w:color w:val="000000" w:themeColor="text1"/>
                <w:sz w:val="20"/>
                <w:lang w:val="en-GB"/>
              </w:rPr>
              <w:t xml:space="preserve">mail: </w:t>
            </w:r>
            <w:hyperlink r:id="rId22" w:history="1">
              <w:r w:rsidRPr="00A7152F">
                <w:rPr>
                  <w:rStyle w:val="Hipercze"/>
                  <w:rFonts w:cstheme="minorBidi"/>
                  <w:b/>
                  <w:color w:val="000000" w:themeColor="text1"/>
                  <w:sz w:val="20"/>
                  <w:lang w:val="en-GB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A7152F" w:rsidRDefault="000470AA" w:rsidP="000470AA">
            <w:pPr>
              <w:rPr>
                <w:sz w:val="18"/>
                <w:lang w:val="en-GB"/>
              </w:rPr>
            </w:pPr>
            <w:r w:rsidRPr="00A7152F"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732992" behindDoc="0" locked="0" layoutInCell="1" allowOverlap="1" wp14:anchorId="35D328A6" wp14:editId="00CB3017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Pr="000609C1" w:rsidRDefault="009A206F" w:rsidP="000470AA">
            <w:pPr>
              <w:rPr>
                <w:color w:val="000000" w:themeColor="text1"/>
                <w:sz w:val="18"/>
              </w:rPr>
            </w:pPr>
            <w:hyperlink r:id="rId24" w:history="1">
              <w:r w:rsidR="000470AA" w:rsidRPr="000609C1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</w:rPr>
                <w:t>www.stat.gov.pl</w:t>
              </w:r>
            </w:hyperlink>
          </w:p>
        </w:tc>
      </w:tr>
      <w:tr w:rsidR="000470AA" w:rsidRPr="00876337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876337" w:rsidRDefault="000470AA" w:rsidP="000470AA">
            <w:pPr>
              <w:rPr>
                <w:sz w:val="18"/>
                <w:highlight w:val="yellow"/>
              </w:rPr>
            </w:pPr>
          </w:p>
        </w:tc>
        <w:tc>
          <w:tcPr>
            <w:tcW w:w="369" w:type="pct"/>
            <w:vAlign w:val="center"/>
          </w:tcPr>
          <w:p w:rsidR="000470AA" w:rsidRPr="00A7152F" w:rsidRDefault="000470AA" w:rsidP="000470AA">
            <w:pPr>
              <w:rPr>
                <w:sz w:val="18"/>
              </w:rPr>
            </w:pPr>
            <w:r w:rsidRPr="00A7152F"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735040" behindDoc="0" locked="0" layoutInCell="1" allowOverlap="1" wp14:anchorId="0E009649" wp14:editId="47921D47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0609C1" w:rsidRDefault="009A206F" w:rsidP="000470AA">
            <w:pPr>
              <w:rPr>
                <w:color w:val="000000" w:themeColor="text1"/>
                <w:sz w:val="18"/>
              </w:rPr>
            </w:pPr>
            <w:hyperlink r:id="rId26" w:history="1">
              <w:r w:rsidR="000470AA" w:rsidRPr="000609C1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</w:rPr>
                <w:t>@GUS_STAT</w:t>
              </w:r>
            </w:hyperlink>
          </w:p>
        </w:tc>
      </w:tr>
      <w:tr w:rsidR="000470AA" w:rsidRPr="00876337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876337" w:rsidRDefault="000470AA" w:rsidP="000470AA">
            <w:pPr>
              <w:rPr>
                <w:sz w:val="18"/>
                <w:highlight w:val="yellow"/>
              </w:rPr>
            </w:pPr>
          </w:p>
        </w:tc>
        <w:tc>
          <w:tcPr>
            <w:tcW w:w="369" w:type="pct"/>
            <w:vAlign w:val="center"/>
          </w:tcPr>
          <w:p w:rsidR="000470AA" w:rsidRPr="00A7152F" w:rsidRDefault="000470AA" w:rsidP="000470AA">
            <w:pPr>
              <w:rPr>
                <w:sz w:val="18"/>
              </w:rPr>
            </w:pPr>
            <w:r w:rsidRPr="00A7152F"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734016" behindDoc="0" locked="0" layoutInCell="1" allowOverlap="1" wp14:anchorId="4B79F8F5" wp14:editId="2150AE2A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0609C1" w:rsidRDefault="009A206F" w:rsidP="000470AA">
            <w:pPr>
              <w:rPr>
                <w:color w:val="000000" w:themeColor="text1"/>
                <w:sz w:val="20"/>
              </w:rPr>
            </w:pPr>
            <w:hyperlink r:id="rId28" w:history="1">
              <w:r w:rsidR="000470AA" w:rsidRPr="000609C1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</w:rPr>
                <w:t>@</w:t>
              </w:r>
              <w:proofErr w:type="spellStart"/>
              <w:r w:rsidR="000470AA" w:rsidRPr="000609C1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</w:rPr>
                <w:t>GlownyUrzadStatystyczny</w:t>
              </w:r>
              <w:proofErr w:type="spellEnd"/>
            </w:hyperlink>
          </w:p>
        </w:tc>
      </w:tr>
    </w:tbl>
    <w:p w:rsidR="00D261A2" w:rsidRPr="00065E4D" w:rsidRDefault="009A206F" w:rsidP="00E76D26">
      <w:pPr>
        <w:rPr>
          <w:sz w:val="18"/>
        </w:rPr>
      </w:pPr>
      <w:r>
        <w:rPr>
          <w:noProof/>
          <w:sz w:val="18"/>
          <w:highlight w:val="yellow"/>
          <w:lang w:val="en-GB" w:eastAsia="en-GB"/>
        </w:rPr>
        <w:pict>
          <v:shape id="_x0000_s1030" type="#_x0000_t202" style="position:absolute;margin-left:1.5pt;margin-top:34.7pt;width:516.5pt;height:349.85pt;z-index:251744256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" fillcolor="#f2f2f2 [3052]" strokecolor="white [3212]">
            <v:textbox>
              <w:txbxContent>
                <w:p w:rsidR="009A206F" w:rsidRDefault="009A206F" w:rsidP="00883763">
                  <w:pPr>
                    <w:rPr>
                      <w:b/>
                    </w:rPr>
                  </w:pPr>
                </w:p>
                <w:p w:rsidR="009A206F" w:rsidRPr="006761A7" w:rsidRDefault="009A206F" w:rsidP="00883763">
                  <w:pPr>
                    <w:rPr>
                      <w:b/>
                    </w:rPr>
                  </w:pPr>
                  <w:r w:rsidRPr="006761A7">
                    <w:rPr>
                      <w:b/>
                    </w:rPr>
                    <w:t>Powiązane opracowania</w:t>
                  </w:r>
                </w:p>
                <w:p w:rsidR="009A206F" w:rsidRPr="006761A7" w:rsidRDefault="009A206F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29" w:history="1">
                    <w:r w:rsidRPr="006761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Komunikaty i obwieszczenia Prezesa GUS</w:t>
                    </w:r>
                  </w:hyperlink>
                </w:p>
                <w:p w:rsidR="009A206F" w:rsidRPr="006761A7" w:rsidRDefault="009A206F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30" w:history="1">
                    <w:r w:rsidRPr="006761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Informacje sygnalne</w:t>
                    </w:r>
                  </w:hyperlink>
                </w:p>
                <w:p w:rsidR="009A206F" w:rsidRPr="00E233EA" w:rsidRDefault="009A206F" w:rsidP="00883763">
                  <w:pPr>
                    <w:rPr>
                      <w:b/>
                      <w:color w:val="000000" w:themeColor="text1"/>
                      <w:szCs w:val="24"/>
                    </w:rPr>
                  </w:pPr>
                </w:p>
                <w:p w:rsidR="009A206F" w:rsidRPr="00E233EA" w:rsidRDefault="009A206F" w:rsidP="00883763">
                  <w:pPr>
                    <w:rPr>
                      <w:b/>
                      <w:color w:val="000000" w:themeColor="text1"/>
                      <w:szCs w:val="24"/>
                    </w:rPr>
                  </w:pPr>
                  <w:r w:rsidRPr="00E233EA">
                    <w:rPr>
                      <w:b/>
                      <w:color w:val="000000" w:themeColor="text1"/>
                      <w:szCs w:val="24"/>
                    </w:rPr>
                    <w:t>Temat dostępny w bazach danych</w:t>
                  </w:r>
                </w:p>
                <w:p w:rsidR="009A206F" w:rsidRPr="006761A7" w:rsidRDefault="009A206F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31" w:history="1">
                    <w:r w:rsidRPr="006761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Dziedzinowa Baza Wiedzy (DBW) Ceny</w:t>
                    </w:r>
                  </w:hyperlink>
                </w:p>
                <w:p w:rsidR="009A206F" w:rsidRPr="006761A7" w:rsidRDefault="009A206F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32" w:history="1">
                    <w:r w:rsidRPr="006761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Bank Danych Makroekonomicznych (BDM)</w:t>
                    </w:r>
                  </w:hyperlink>
                </w:p>
                <w:p w:rsidR="009A206F" w:rsidRPr="006761A7" w:rsidRDefault="009A206F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33" w:history="1">
                    <w:r w:rsidRPr="006761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Bank Danych Lokalnych (BDL)</w:t>
                    </w:r>
                  </w:hyperlink>
                </w:p>
                <w:p w:rsidR="009A206F" w:rsidRPr="006761A7" w:rsidRDefault="009A206F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34" w:history="1">
                    <w:r w:rsidRPr="006761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Wskaźniki cen (Obszary tematyczne: Ceny. Handel)</w:t>
                    </w:r>
                  </w:hyperlink>
                </w:p>
                <w:p w:rsidR="009A206F" w:rsidRPr="006761A7" w:rsidRDefault="009A206F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35" w:history="1">
                    <w:r w:rsidRPr="006761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Ceny (Obszary tematyczne: Ceny. Handel)</w:t>
                    </w:r>
                  </w:hyperlink>
                </w:p>
                <w:p w:rsidR="009A206F" w:rsidRPr="006761A7" w:rsidRDefault="009A206F" w:rsidP="00883763">
                  <w:pPr>
                    <w:rPr>
                      <w:b/>
                      <w:color w:val="000000" w:themeColor="text1"/>
                      <w:szCs w:val="24"/>
                    </w:rPr>
                  </w:pPr>
                </w:p>
                <w:p w:rsidR="009A206F" w:rsidRDefault="009A206F" w:rsidP="00883763">
                  <w:pPr>
                    <w:rPr>
                      <w:b/>
                      <w:color w:val="000000" w:themeColor="text1"/>
                      <w:szCs w:val="24"/>
                    </w:rPr>
                  </w:pPr>
                  <w:r>
                    <w:rPr>
                      <w:b/>
                      <w:color w:val="000000" w:themeColor="text1"/>
                      <w:szCs w:val="24"/>
                    </w:rPr>
                    <w:t>Ważniejsze</w:t>
                  </w:r>
                  <w:r w:rsidRPr="00505A92">
                    <w:rPr>
                      <w:b/>
                      <w:color w:val="000000" w:themeColor="text1"/>
                      <w:szCs w:val="24"/>
                    </w:rPr>
                    <w:t xml:space="preserve"> pojęcia dostępne w słowniku</w:t>
                  </w:r>
                </w:p>
                <w:p w:rsidR="009A206F" w:rsidRPr="006761A7" w:rsidRDefault="009A206F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36" w:history="1">
                    <w:r w:rsidRPr="006761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Wskaźnik cen towarów i usług konsumpcyjnych</w:t>
                    </w:r>
                  </w:hyperlink>
                </w:p>
                <w:p w:rsidR="009A206F" w:rsidRPr="00065E4D" w:rsidRDefault="009A206F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37" w:history="1">
                    <w:r w:rsidRPr="00065E4D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Cena detaliczna</w:t>
                    </w:r>
                  </w:hyperlink>
                </w:p>
              </w:txbxContent>
            </v:textbox>
            <w10:wrap type="square" anchorx="margin"/>
          </v:shape>
        </w:pict>
      </w:r>
    </w:p>
    <w:sectPr w:rsidR="00D261A2" w:rsidRPr="00065E4D" w:rsidSect="00EF7B36">
      <w:headerReference w:type="default" r:id="rId38"/>
      <w:footerReference w:type="default" r:id="rId39"/>
      <w:footnotePr>
        <w:numFmt w:val="lowerLetter"/>
      </w:footnotePr>
      <w:pgSz w:w="11906" w:h="16838" w:code="9"/>
      <w:pgMar w:top="720" w:right="3119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06F" w:rsidRDefault="009A206F" w:rsidP="000662E2">
      <w:pPr>
        <w:spacing w:after="0" w:line="240" w:lineRule="auto"/>
      </w:pPr>
      <w:r>
        <w:separator/>
      </w:r>
    </w:p>
  </w:endnote>
  <w:endnote w:type="continuationSeparator" w:id="0">
    <w:p w:rsidR="009A206F" w:rsidRDefault="009A206F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0487"/>
      <w:docPartObj>
        <w:docPartGallery w:val="Page Numbers (Bottom of Page)"/>
        <w:docPartUnique/>
      </w:docPartObj>
    </w:sdtPr>
    <w:sdtContent>
      <w:p w:rsidR="009A206F" w:rsidRDefault="009A206F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4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0488"/>
      <w:docPartObj>
        <w:docPartGallery w:val="Page Numbers (Bottom of Page)"/>
        <w:docPartUnique/>
      </w:docPartObj>
    </w:sdtPr>
    <w:sdtContent>
      <w:p w:rsidR="009A206F" w:rsidRDefault="009A206F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4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636839"/>
      <w:docPartObj>
        <w:docPartGallery w:val="Page Numbers (Bottom of Page)"/>
        <w:docPartUnique/>
      </w:docPartObj>
    </w:sdtPr>
    <w:sdtContent>
      <w:p w:rsidR="009A206F" w:rsidRDefault="009A206F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4C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06F" w:rsidRDefault="009A206F" w:rsidP="000662E2">
      <w:pPr>
        <w:spacing w:after="0" w:line="240" w:lineRule="auto"/>
      </w:pPr>
      <w:r>
        <w:separator/>
      </w:r>
    </w:p>
  </w:footnote>
  <w:footnote w:type="continuationSeparator" w:id="0">
    <w:p w:rsidR="009A206F" w:rsidRDefault="009A206F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06F" w:rsidRDefault="009A206F">
    <w:pPr>
      <w:pStyle w:val="Nagwek"/>
    </w:pPr>
    <w:r>
      <w:rPr>
        <w:noProof/>
        <w:lang w:val="en-GB" w:eastAsia="en-GB"/>
      </w:rPr>
      <w:pict>
        <v:rect id="Prostokąt 24" o:spid="_x0000_s2052" style="position:absolute;margin-left:410.6pt;margin-top:-14.05pt;width:147.6pt;height:1785.85pt;z-index:-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<v:path arrowok="t"/>
        </v:rect>
      </w:pict>
    </w:r>
  </w:p>
  <w:p w:rsidR="009A206F" w:rsidRDefault="009A20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06F" w:rsidRDefault="009A206F">
    <w:pPr>
      <w:pStyle w:val="Nagwek"/>
      <w:rPr>
        <w:noProof/>
        <w:lang w:eastAsia="pl-PL"/>
      </w:rPr>
    </w:pPr>
    <w:r>
      <w:rPr>
        <w:noProof/>
        <w:lang w:val="en-GB" w:eastAsia="en-GB"/>
      </w:rPr>
      <w:pict>
        <v:rect id="Prostokąt 10" o:spid="_x0000_s2050" style="position:absolute;margin-left:411.45pt;margin-top:15.3pt;width:147.4pt;height:812.4pt;z-index:-251650048;visibility:visible;mso-width-relative:margin;mso-height-relative:margin;v-text-anchor:middle" wrapcoords="-110 0 -110 21591 21600 21591 21600 0 -110 0" fillcolor="#f2f2f2" stroked="f" strokeweight="1pt">
          <v:path arrowok="t"/>
          <w10:wrap type="tight"/>
        </v:rect>
      </w:pict>
    </w:r>
    <w:r w:rsidRPr="00502F8C">
      <w:rPr>
        <w:noProof/>
        <w:lang w:val="en-GB" w:eastAsia="en-GB"/>
      </w:rPr>
      <w:drawing>
        <wp:inline distT="0" distB="0" distL="0" distR="0" wp14:anchorId="2E0B48CC" wp14:editId="01F47442">
          <wp:extent cx="1153274" cy="720000"/>
          <wp:effectExtent l="0" t="0" r="0" b="4445"/>
          <wp:docPr id="6" name="Obraz 6" descr="logo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pict>
        <v:shape id="Schemat blokowy: opóźnienie 6" o:spid="_x0000_s2051" style="position:absolute;margin-left:396.6pt;margin-top:15.65pt;width:162.25pt;height:28.15pt;flip:x;z-index:251668480;visibility:visible;mso-position-horizontal-relative:text;mso-position-vertical-relative:text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Gga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7K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waRoGk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<v:stroke joinstyle="miter"/>
          <v:formulas/>
          <v:path arrowok="t" o:connecttype="custom" o:connectlocs="0,0;1881761,0;2060575,178753;1881761,357505;0,357505;0,0" o:connectangles="0,0,0,0,0,0" textboxrect="0,0,3527018,612140"/>
          <v:textbox style="mso-next-textbox:#Schemat blokowy: opóźnienie 6">
            <w:txbxContent>
              <w:p w:rsidR="009A206F" w:rsidRPr="003C6C8D" w:rsidRDefault="009A206F" w:rsidP="00074DD8">
                <w:pPr>
                  <w:spacing w:before="0" w:after="0" w:line="240" w:lineRule="auto"/>
                  <w:ind w:left="227"/>
                  <w:jc w:val="both"/>
                  <w:rPr>
                    <w:rFonts w:ascii="Fira Sans SemiBold" w:hAnsi="Fira Sans SemiBold"/>
                  </w:rPr>
                </w:pPr>
                <w:r>
                  <w:rPr>
                    <w:rFonts w:ascii="Fira Sans SemiBold" w:hAnsi="Fira Sans SemiBold"/>
                  </w:rPr>
                  <w:t>INFORMACJE SYGNALNE</w:t>
                </w:r>
              </w:p>
            </w:txbxContent>
          </v:textbox>
        </v:shape>
      </w:pict>
    </w:r>
  </w:p>
  <w:p w:rsidR="009A206F" w:rsidRDefault="009A206F">
    <w:pPr>
      <w:pStyle w:val="Nagwek"/>
      <w:rPr>
        <w:noProof/>
        <w:lang w:eastAsia="pl-PL"/>
      </w:rPr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1pt;margin-top:20.95pt;width:112.8pt;height:26.5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CIw1m&#10;EAIAAP4DAAAOAAAAAAAAAAAAAAAAAC4CAABkcnMvZTJvRG9jLnhtbFBLAQItABQABgAIAAAAIQBr&#10;Z3Ed3gAAAAoBAAAPAAAAAAAAAAAAAAAAAGoEAABkcnMvZG93bnJldi54bWxQSwUGAAAAAAQABADz&#10;AAAAdQUAAAAA&#10;" filled="f" stroked="f">
          <v:textbox style="mso-next-textbox:#_x0000_s2049">
            <w:txbxContent>
              <w:p w:rsidR="009A206F" w:rsidRPr="00C97596" w:rsidRDefault="009A206F" w:rsidP="00F37172">
                <w:pPr>
                  <w:jc w:val="both"/>
                  <w:rPr>
                    <w:rFonts w:ascii="Fira Sans SemiBold" w:hAnsi="Fira Sans SemiBold"/>
                    <w:color w:val="001D77"/>
                  </w:rPr>
                </w:pPr>
                <w:r>
                  <w:rPr>
                    <w:rFonts w:ascii="Fira Sans SemiBold" w:hAnsi="Fira Sans SemiBold"/>
                    <w:color w:val="001D77"/>
                  </w:rPr>
                  <w:t>15.01.2020</w:t>
                </w:r>
                <w:r w:rsidRPr="00C97596">
                  <w:rPr>
                    <w:rFonts w:ascii="Fira Sans SemiBold" w:hAnsi="Fira Sans SemiBold"/>
                    <w:color w:val="001D77"/>
                  </w:rPr>
                  <w:t xml:space="preserve"> r.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06F" w:rsidRDefault="009A206F">
    <w:pPr>
      <w:pStyle w:val="Nagwek"/>
    </w:pPr>
  </w:p>
  <w:p w:rsidR="009A206F" w:rsidRDefault="009A20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3pt;height:125.25pt;visibility:visible" o:bullet="t">
        <v:imagedata r:id="rId1" o:title=""/>
      </v:shape>
    </w:pict>
  </w:numPicBullet>
  <w:numPicBullet w:numPicBulletId="1">
    <w:pict>
      <v:shape id="_x0000_i1031" type="#_x0000_t75" style="width:123.75pt;height:125.25pt;visibility:visible" o:bullet="t">
        <v:imagedata r:id="rId2" o:title=""/>
      </v:shape>
    </w:pict>
  </w:numPicBullet>
  <w:abstractNum w:abstractNumId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54"/>
    <o:shapelayout v:ext="edit">
      <o:idmap v:ext="edit" data="2"/>
    </o:shapelayout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D87"/>
    <w:rsid w:val="0000074C"/>
    <w:rsid w:val="00001C5B"/>
    <w:rsid w:val="00003437"/>
    <w:rsid w:val="0000709F"/>
    <w:rsid w:val="000108B8"/>
    <w:rsid w:val="000152F5"/>
    <w:rsid w:val="0001700C"/>
    <w:rsid w:val="000201FC"/>
    <w:rsid w:val="00024B66"/>
    <w:rsid w:val="00024EE7"/>
    <w:rsid w:val="00026BA3"/>
    <w:rsid w:val="00030ACD"/>
    <w:rsid w:val="00034160"/>
    <w:rsid w:val="0003614E"/>
    <w:rsid w:val="0004015D"/>
    <w:rsid w:val="0004582E"/>
    <w:rsid w:val="0004646A"/>
    <w:rsid w:val="000470AA"/>
    <w:rsid w:val="000531EB"/>
    <w:rsid w:val="00057CA1"/>
    <w:rsid w:val="000609C1"/>
    <w:rsid w:val="00065E4D"/>
    <w:rsid w:val="000662E2"/>
    <w:rsid w:val="00066883"/>
    <w:rsid w:val="00072D35"/>
    <w:rsid w:val="00074B1B"/>
    <w:rsid w:val="00074DD8"/>
    <w:rsid w:val="000800B4"/>
    <w:rsid w:val="000806F7"/>
    <w:rsid w:val="00097840"/>
    <w:rsid w:val="000A014D"/>
    <w:rsid w:val="000A0FD3"/>
    <w:rsid w:val="000A350D"/>
    <w:rsid w:val="000A6963"/>
    <w:rsid w:val="000A7F1A"/>
    <w:rsid w:val="000B0727"/>
    <w:rsid w:val="000B5393"/>
    <w:rsid w:val="000B60D7"/>
    <w:rsid w:val="000C135D"/>
    <w:rsid w:val="000C68F7"/>
    <w:rsid w:val="000D1D43"/>
    <w:rsid w:val="000D225C"/>
    <w:rsid w:val="000D2465"/>
    <w:rsid w:val="000D2A5C"/>
    <w:rsid w:val="000E0918"/>
    <w:rsid w:val="000F2650"/>
    <w:rsid w:val="001011C3"/>
    <w:rsid w:val="00102EAC"/>
    <w:rsid w:val="00110D87"/>
    <w:rsid w:val="001149A1"/>
    <w:rsid w:val="00114DB9"/>
    <w:rsid w:val="00116087"/>
    <w:rsid w:val="00130296"/>
    <w:rsid w:val="001315A3"/>
    <w:rsid w:val="00132297"/>
    <w:rsid w:val="00133A82"/>
    <w:rsid w:val="00135B65"/>
    <w:rsid w:val="00142037"/>
    <w:rsid w:val="001423B6"/>
    <w:rsid w:val="001441A0"/>
    <w:rsid w:val="001448A3"/>
    <w:rsid w:val="001448A7"/>
    <w:rsid w:val="00145121"/>
    <w:rsid w:val="00146621"/>
    <w:rsid w:val="00162325"/>
    <w:rsid w:val="00165856"/>
    <w:rsid w:val="00171DA5"/>
    <w:rsid w:val="00194845"/>
    <w:rsid w:val="001951DA"/>
    <w:rsid w:val="001A3A7F"/>
    <w:rsid w:val="001A7573"/>
    <w:rsid w:val="001A78D0"/>
    <w:rsid w:val="001B7E7B"/>
    <w:rsid w:val="001C1375"/>
    <w:rsid w:val="001C3269"/>
    <w:rsid w:val="001C7312"/>
    <w:rsid w:val="001D1DB4"/>
    <w:rsid w:val="001E1D94"/>
    <w:rsid w:val="001E4443"/>
    <w:rsid w:val="001E7DBB"/>
    <w:rsid w:val="001F439C"/>
    <w:rsid w:val="001F60D1"/>
    <w:rsid w:val="002268BB"/>
    <w:rsid w:val="0024416D"/>
    <w:rsid w:val="002574F9"/>
    <w:rsid w:val="00257A17"/>
    <w:rsid w:val="002621B1"/>
    <w:rsid w:val="00262B61"/>
    <w:rsid w:val="0026302B"/>
    <w:rsid w:val="002724FF"/>
    <w:rsid w:val="00275FA6"/>
    <w:rsid w:val="00276811"/>
    <w:rsid w:val="00276C9A"/>
    <w:rsid w:val="00276F83"/>
    <w:rsid w:val="00280D7C"/>
    <w:rsid w:val="00282699"/>
    <w:rsid w:val="00285768"/>
    <w:rsid w:val="00290CB6"/>
    <w:rsid w:val="002926DF"/>
    <w:rsid w:val="00295056"/>
    <w:rsid w:val="00296697"/>
    <w:rsid w:val="00296EB3"/>
    <w:rsid w:val="002A4D80"/>
    <w:rsid w:val="002B0472"/>
    <w:rsid w:val="002B5049"/>
    <w:rsid w:val="002B6B12"/>
    <w:rsid w:val="002D0020"/>
    <w:rsid w:val="002E6140"/>
    <w:rsid w:val="002E6985"/>
    <w:rsid w:val="002E71B6"/>
    <w:rsid w:val="002F321F"/>
    <w:rsid w:val="002F77C8"/>
    <w:rsid w:val="003047EF"/>
    <w:rsid w:val="00304F22"/>
    <w:rsid w:val="00305162"/>
    <w:rsid w:val="00306C7C"/>
    <w:rsid w:val="003077B5"/>
    <w:rsid w:val="00310F90"/>
    <w:rsid w:val="00317C90"/>
    <w:rsid w:val="00322EDD"/>
    <w:rsid w:val="00332320"/>
    <w:rsid w:val="00336B88"/>
    <w:rsid w:val="003405A4"/>
    <w:rsid w:val="00341C29"/>
    <w:rsid w:val="00343BBC"/>
    <w:rsid w:val="00347D72"/>
    <w:rsid w:val="00357611"/>
    <w:rsid w:val="00367237"/>
    <w:rsid w:val="0037077F"/>
    <w:rsid w:val="00372411"/>
    <w:rsid w:val="0037258A"/>
    <w:rsid w:val="00373882"/>
    <w:rsid w:val="003843DB"/>
    <w:rsid w:val="003901AC"/>
    <w:rsid w:val="00393761"/>
    <w:rsid w:val="00397181"/>
    <w:rsid w:val="00397D18"/>
    <w:rsid w:val="003A1B36"/>
    <w:rsid w:val="003A440F"/>
    <w:rsid w:val="003A7D83"/>
    <w:rsid w:val="003B1454"/>
    <w:rsid w:val="003B18B6"/>
    <w:rsid w:val="003B5096"/>
    <w:rsid w:val="003C59E0"/>
    <w:rsid w:val="003C6C8D"/>
    <w:rsid w:val="003D3B24"/>
    <w:rsid w:val="003D4F95"/>
    <w:rsid w:val="003D5F42"/>
    <w:rsid w:val="003D60A9"/>
    <w:rsid w:val="003D67C8"/>
    <w:rsid w:val="003D7BC2"/>
    <w:rsid w:val="003E3529"/>
    <w:rsid w:val="003E6F8F"/>
    <w:rsid w:val="003F4C97"/>
    <w:rsid w:val="003F54AA"/>
    <w:rsid w:val="003F7FE6"/>
    <w:rsid w:val="00400193"/>
    <w:rsid w:val="004002CD"/>
    <w:rsid w:val="004009D2"/>
    <w:rsid w:val="00417625"/>
    <w:rsid w:val="004212E7"/>
    <w:rsid w:val="0042446D"/>
    <w:rsid w:val="004276B0"/>
    <w:rsid w:val="00427BF8"/>
    <w:rsid w:val="00431C02"/>
    <w:rsid w:val="00437395"/>
    <w:rsid w:val="00445047"/>
    <w:rsid w:val="00453304"/>
    <w:rsid w:val="00454E14"/>
    <w:rsid w:val="004566AB"/>
    <w:rsid w:val="0045762F"/>
    <w:rsid w:val="004601AC"/>
    <w:rsid w:val="00460C26"/>
    <w:rsid w:val="00463E39"/>
    <w:rsid w:val="004657FC"/>
    <w:rsid w:val="004733F6"/>
    <w:rsid w:val="00474E69"/>
    <w:rsid w:val="0048486C"/>
    <w:rsid w:val="00486EE6"/>
    <w:rsid w:val="0049189D"/>
    <w:rsid w:val="00493217"/>
    <w:rsid w:val="0049621B"/>
    <w:rsid w:val="004B2431"/>
    <w:rsid w:val="004B4C23"/>
    <w:rsid w:val="004C1895"/>
    <w:rsid w:val="004C6D40"/>
    <w:rsid w:val="004D119F"/>
    <w:rsid w:val="004D3ABE"/>
    <w:rsid w:val="004E21A3"/>
    <w:rsid w:val="004F0C3C"/>
    <w:rsid w:val="004F63FC"/>
    <w:rsid w:val="00501254"/>
    <w:rsid w:val="00501F76"/>
    <w:rsid w:val="00502E6F"/>
    <w:rsid w:val="00505A92"/>
    <w:rsid w:val="005077D1"/>
    <w:rsid w:val="00511F19"/>
    <w:rsid w:val="0051646A"/>
    <w:rsid w:val="00516A50"/>
    <w:rsid w:val="005203F1"/>
    <w:rsid w:val="0052058B"/>
    <w:rsid w:val="005214FA"/>
    <w:rsid w:val="00521BC3"/>
    <w:rsid w:val="00526A58"/>
    <w:rsid w:val="005316C2"/>
    <w:rsid w:val="00533632"/>
    <w:rsid w:val="0053648F"/>
    <w:rsid w:val="00541E6E"/>
    <w:rsid w:val="0054251F"/>
    <w:rsid w:val="00542AFC"/>
    <w:rsid w:val="005520D8"/>
    <w:rsid w:val="00556CF1"/>
    <w:rsid w:val="00573DFA"/>
    <w:rsid w:val="005762A7"/>
    <w:rsid w:val="005762F6"/>
    <w:rsid w:val="0058363D"/>
    <w:rsid w:val="005875EB"/>
    <w:rsid w:val="005877DE"/>
    <w:rsid w:val="005916D7"/>
    <w:rsid w:val="0059573F"/>
    <w:rsid w:val="005A2784"/>
    <w:rsid w:val="005A698C"/>
    <w:rsid w:val="005A69F2"/>
    <w:rsid w:val="005A6C7D"/>
    <w:rsid w:val="005C1AF8"/>
    <w:rsid w:val="005C209B"/>
    <w:rsid w:val="005D0389"/>
    <w:rsid w:val="005D1C04"/>
    <w:rsid w:val="005D470D"/>
    <w:rsid w:val="005E0799"/>
    <w:rsid w:val="005E2757"/>
    <w:rsid w:val="005E418C"/>
    <w:rsid w:val="005E6437"/>
    <w:rsid w:val="005F4399"/>
    <w:rsid w:val="005F5A80"/>
    <w:rsid w:val="006044FF"/>
    <w:rsid w:val="00604FF5"/>
    <w:rsid w:val="00607CC5"/>
    <w:rsid w:val="00613AEC"/>
    <w:rsid w:val="006149F0"/>
    <w:rsid w:val="0061655B"/>
    <w:rsid w:val="0062307C"/>
    <w:rsid w:val="006321A2"/>
    <w:rsid w:val="00633014"/>
    <w:rsid w:val="0063437B"/>
    <w:rsid w:val="006346A9"/>
    <w:rsid w:val="00636A57"/>
    <w:rsid w:val="00644254"/>
    <w:rsid w:val="00660778"/>
    <w:rsid w:val="00666DED"/>
    <w:rsid w:val="006673CA"/>
    <w:rsid w:val="006718A3"/>
    <w:rsid w:val="00673C26"/>
    <w:rsid w:val="00674A8B"/>
    <w:rsid w:val="006812AF"/>
    <w:rsid w:val="00682B23"/>
    <w:rsid w:val="0068327D"/>
    <w:rsid w:val="00683EDE"/>
    <w:rsid w:val="00685123"/>
    <w:rsid w:val="00691225"/>
    <w:rsid w:val="00691316"/>
    <w:rsid w:val="006920EA"/>
    <w:rsid w:val="00694AF0"/>
    <w:rsid w:val="00696549"/>
    <w:rsid w:val="00696814"/>
    <w:rsid w:val="006A4686"/>
    <w:rsid w:val="006B0B72"/>
    <w:rsid w:val="006B0E9E"/>
    <w:rsid w:val="006B208D"/>
    <w:rsid w:val="006B20B4"/>
    <w:rsid w:val="006B5AE4"/>
    <w:rsid w:val="006D1507"/>
    <w:rsid w:val="006D4054"/>
    <w:rsid w:val="006D5C42"/>
    <w:rsid w:val="006D6B72"/>
    <w:rsid w:val="006E02EC"/>
    <w:rsid w:val="006E2D00"/>
    <w:rsid w:val="006F145E"/>
    <w:rsid w:val="006F6B1F"/>
    <w:rsid w:val="007059D5"/>
    <w:rsid w:val="007063C3"/>
    <w:rsid w:val="007122CC"/>
    <w:rsid w:val="007162EB"/>
    <w:rsid w:val="007211B1"/>
    <w:rsid w:val="0072400B"/>
    <w:rsid w:val="00733D55"/>
    <w:rsid w:val="00740107"/>
    <w:rsid w:val="007408FF"/>
    <w:rsid w:val="007418B3"/>
    <w:rsid w:val="0074537D"/>
    <w:rsid w:val="00746187"/>
    <w:rsid w:val="00752A67"/>
    <w:rsid w:val="00761070"/>
    <w:rsid w:val="0076254F"/>
    <w:rsid w:val="007676D7"/>
    <w:rsid w:val="00774934"/>
    <w:rsid w:val="00776D79"/>
    <w:rsid w:val="007801F5"/>
    <w:rsid w:val="00781552"/>
    <w:rsid w:val="00783CA4"/>
    <w:rsid w:val="007842FB"/>
    <w:rsid w:val="00786124"/>
    <w:rsid w:val="0078756B"/>
    <w:rsid w:val="0079022D"/>
    <w:rsid w:val="00792E24"/>
    <w:rsid w:val="00793154"/>
    <w:rsid w:val="0079514B"/>
    <w:rsid w:val="00797060"/>
    <w:rsid w:val="007A2DC1"/>
    <w:rsid w:val="007A77F5"/>
    <w:rsid w:val="007B74D8"/>
    <w:rsid w:val="007D3319"/>
    <w:rsid w:val="007D335D"/>
    <w:rsid w:val="007E3314"/>
    <w:rsid w:val="007E4B03"/>
    <w:rsid w:val="007F045B"/>
    <w:rsid w:val="007F324B"/>
    <w:rsid w:val="007F3983"/>
    <w:rsid w:val="007F6195"/>
    <w:rsid w:val="008006E1"/>
    <w:rsid w:val="00802A9A"/>
    <w:rsid w:val="0080553C"/>
    <w:rsid w:val="00805B46"/>
    <w:rsid w:val="00820461"/>
    <w:rsid w:val="00820B10"/>
    <w:rsid w:val="0082498D"/>
    <w:rsid w:val="00825DC2"/>
    <w:rsid w:val="00831172"/>
    <w:rsid w:val="00834AD3"/>
    <w:rsid w:val="00843795"/>
    <w:rsid w:val="008473E0"/>
    <w:rsid w:val="00847F0F"/>
    <w:rsid w:val="00852448"/>
    <w:rsid w:val="00860851"/>
    <w:rsid w:val="00866B61"/>
    <w:rsid w:val="00876337"/>
    <w:rsid w:val="0088258A"/>
    <w:rsid w:val="008832C4"/>
    <w:rsid w:val="00883763"/>
    <w:rsid w:val="00885F63"/>
    <w:rsid w:val="00886332"/>
    <w:rsid w:val="00887348"/>
    <w:rsid w:val="00892238"/>
    <w:rsid w:val="008A26D9"/>
    <w:rsid w:val="008A4C58"/>
    <w:rsid w:val="008B4AE0"/>
    <w:rsid w:val="008C0C29"/>
    <w:rsid w:val="008C1A52"/>
    <w:rsid w:val="008C7879"/>
    <w:rsid w:val="008C7A01"/>
    <w:rsid w:val="008E64EF"/>
    <w:rsid w:val="008F3638"/>
    <w:rsid w:val="008F4441"/>
    <w:rsid w:val="008F6F31"/>
    <w:rsid w:val="008F74DF"/>
    <w:rsid w:val="0091008E"/>
    <w:rsid w:val="009127BA"/>
    <w:rsid w:val="00912EB7"/>
    <w:rsid w:val="00916782"/>
    <w:rsid w:val="00917CCF"/>
    <w:rsid w:val="00920A9B"/>
    <w:rsid w:val="009227A6"/>
    <w:rsid w:val="00927AD2"/>
    <w:rsid w:val="00933B26"/>
    <w:rsid w:val="00933EC1"/>
    <w:rsid w:val="00942DCA"/>
    <w:rsid w:val="0094622C"/>
    <w:rsid w:val="009530DB"/>
    <w:rsid w:val="00953676"/>
    <w:rsid w:val="009668F9"/>
    <w:rsid w:val="009705EE"/>
    <w:rsid w:val="00971217"/>
    <w:rsid w:val="0097339D"/>
    <w:rsid w:val="00977927"/>
    <w:rsid w:val="0098135C"/>
    <w:rsid w:val="0098156A"/>
    <w:rsid w:val="00982640"/>
    <w:rsid w:val="0098469A"/>
    <w:rsid w:val="00984980"/>
    <w:rsid w:val="00990133"/>
    <w:rsid w:val="00991BAC"/>
    <w:rsid w:val="009A206F"/>
    <w:rsid w:val="009A6EA0"/>
    <w:rsid w:val="009B1399"/>
    <w:rsid w:val="009B6D11"/>
    <w:rsid w:val="009B746F"/>
    <w:rsid w:val="009C1335"/>
    <w:rsid w:val="009C1AB2"/>
    <w:rsid w:val="009C5407"/>
    <w:rsid w:val="009C7251"/>
    <w:rsid w:val="009D0FBC"/>
    <w:rsid w:val="009D1423"/>
    <w:rsid w:val="009E2E91"/>
    <w:rsid w:val="009E3BF4"/>
    <w:rsid w:val="009E3FA7"/>
    <w:rsid w:val="009E410D"/>
    <w:rsid w:val="009F4D4A"/>
    <w:rsid w:val="009F5815"/>
    <w:rsid w:val="009F5AB7"/>
    <w:rsid w:val="00A06D23"/>
    <w:rsid w:val="00A07F00"/>
    <w:rsid w:val="00A12435"/>
    <w:rsid w:val="00A139F5"/>
    <w:rsid w:val="00A15A51"/>
    <w:rsid w:val="00A2136A"/>
    <w:rsid w:val="00A27522"/>
    <w:rsid w:val="00A3060E"/>
    <w:rsid w:val="00A34C24"/>
    <w:rsid w:val="00A365F4"/>
    <w:rsid w:val="00A37CE0"/>
    <w:rsid w:val="00A459FF"/>
    <w:rsid w:val="00A460E6"/>
    <w:rsid w:val="00A46BD5"/>
    <w:rsid w:val="00A47937"/>
    <w:rsid w:val="00A47D80"/>
    <w:rsid w:val="00A51051"/>
    <w:rsid w:val="00A51BB2"/>
    <w:rsid w:val="00A53132"/>
    <w:rsid w:val="00A563F2"/>
    <w:rsid w:val="00A566E8"/>
    <w:rsid w:val="00A60AEE"/>
    <w:rsid w:val="00A6676F"/>
    <w:rsid w:val="00A70953"/>
    <w:rsid w:val="00A7152F"/>
    <w:rsid w:val="00A810F9"/>
    <w:rsid w:val="00A8165F"/>
    <w:rsid w:val="00A82477"/>
    <w:rsid w:val="00A845DC"/>
    <w:rsid w:val="00A86ECC"/>
    <w:rsid w:val="00A86FCC"/>
    <w:rsid w:val="00A90732"/>
    <w:rsid w:val="00A93892"/>
    <w:rsid w:val="00AA569E"/>
    <w:rsid w:val="00AA710D"/>
    <w:rsid w:val="00AB0B8F"/>
    <w:rsid w:val="00AB27B9"/>
    <w:rsid w:val="00AB6D25"/>
    <w:rsid w:val="00AB7B31"/>
    <w:rsid w:val="00AD4947"/>
    <w:rsid w:val="00AD5F17"/>
    <w:rsid w:val="00AE20FD"/>
    <w:rsid w:val="00AE2D4B"/>
    <w:rsid w:val="00AE3075"/>
    <w:rsid w:val="00AE4F99"/>
    <w:rsid w:val="00AE777C"/>
    <w:rsid w:val="00B048A4"/>
    <w:rsid w:val="00B06265"/>
    <w:rsid w:val="00B10BBE"/>
    <w:rsid w:val="00B11B69"/>
    <w:rsid w:val="00B14952"/>
    <w:rsid w:val="00B2412D"/>
    <w:rsid w:val="00B250D5"/>
    <w:rsid w:val="00B31357"/>
    <w:rsid w:val="00B31E5A"/>
    <w:rsid w:val="00B322EC"/>
    <w:rsid w:val="00B42DDD"/>
    <w:rsid w:val="00B609CE"/>
    <w:rsid w:val="00B611C1"/>
    <w:rsid w:val="00B617A5"/>
    <w:rsid w:val="00B653AB"/>
    <w:rsid w:val="00B65F9E"/>
    <w:rsid w:val="00B66B19"/>
    <w:rsid w:val="00B674A5"/>
    <w:rsid w:val="00B81B60"/>
    <w:rsid w:val="00B84277"/>
    <w:rsid w:val="00B86545"/>
    <w:rsid w:val="00B914E9"/>
    <w:rsid w:val="00B91831"/>
    <w:rsid w:val="00B94737"/>
    <w:rsid w:val="00B956EE"/>
    <w:rsid w:val="00B97152"/>
    <w:rsid w:val="00BA1AD0"/>
    <w:rsid w:val="00BA2BA1"/>
    <w:rsid w:val="00BA3562"/>
    <w:rsid w:val="00BA5A42"/>
    <w:rsid w:val="00BB27AF"/>
    <w:rsid w:val="00BB4BE0"/>
    <w:rsid w:val="00BB4F09"/>
    <w:rsid w:val="00BB6447"/>
    <w:rsid w:val="00BB6E9C"/>
    <w:rsid w:val="00BC17C7"/>
    <w:rsid w:val="00BC2318"/>
    <w:rsid w:val="00BC427F"/>
    <w:rsid w:val="00BD4E33"/>
    <w:rsid w:val="00BE4B65"/>
    <w:rsid w:val="00BF790C"/>
    <w:rsid w:val="00C00EDA"/>
    <w:rsid w:val="00C030DE"/>
    <w:rsid w:val="00C057E5"/>
    <w:rsid w:val="00C110DB"/>
    <w:rsid w:val="00C11CBD"/>
    <w:rsid w:val="00C1766A"/>
    <w:rsid w:val="00C22105"/>
    <w:rsid w:val="00C244B6"/>
    <w:rsid w:val="00C27CB6"/>
    <w:rsid w:val="00C27D75"/>
    <w:rsid w:val="00C3702F"/>
    <w:rsid w:val="00C4500A"/>
    <w:rsid w:val="00C45CAF"/>
    <w:rsid w:val="00C522A5"/>
    <w:rsid w:val="00C55C91"/>
    <w:rsid w:val="00C56FB5"/>
    <w:rsid w:val="00C57F14"/>
    <w:rsid w:val="00C57FE4"/>
    <w:rsid w:val="00C61795"/>
    <w:rsid w:val="00C61D89"/>
    <w:rsid w:val="00C64A37"/>
    <w:rsid w:val="00C7158E"/>
    <w:rsid w:val="00C7250B"/>
    <w:rsid w:val="00C7346B"/>
    <w:rsid w:val="00C73B5E"/>
    <w:rsid w:val="00C77C0E"/>
    <w:rsid w:val="00C8000E"/>
    <w:rsid w:val="00C91687"/>
    <w:rsid w:val="00C920B2"/>
    <w:rsid w:val="00C924A8"/>
    <w:rsid w:val="00C945FE"/>
    <w:rsid w:val="00C950B4"/>
    <w:rsid w:val="00C954CE"/>
    <w:rsid w:val="00C96FAA"/>
    <w:rsid w:val="00C97A04"/>
    <w:rsid w:val="00CA107B"/>
    <w:rsid w:val="00CA484D"/>
    <w:rsid w:val="00CA4FB6"/>
    <w:rsid w:val="00CC17BD"/>
    <w:rsid w:val="00CC6180"/>
    <w:rsid w:val="00CC72FC"/>
    <w:rsid w:val="00CC739E"/>
    <w:rsid w:val="00CC75D3"/>
    <w:rsid w:val="00CD1E2E"/>
    <w:rsid w:val="00CD352D"/>
    <w:rsid w:val="00CD58B7"/>
    <w:rsid w:val="00CF08EF"/>
    <w:rsid w:val="00CF4099"/>
    <w:rsid w:val="00D00796"/>
    <w:rsid w:val="00D02D2C"/>
    <w:rsid w:val="00D14C59"/>
    <w:rsid w:val="00D1564D"/>
    <w:rsid w:val="00D261A2"/>
    <w:rsid w:val="00D3440A"/>
    <w:rsid w:val="00D34567"/>
    <w:rsid w:val="00D401C9"/>
    <w:rsid w:val="00D43419"/>
    <w:rsid w:val="00D47B8D"/>
    <w:rsid w:val="00D538E4"/>
    <w:rsid w:val="00D54B01"/>
    <w:rsid w:val="00D616D2"/>
    <w:rsid w:val="00D63B5F"/>
    <w:rsid w:val="00D7066F"/>
    <w:rsid w:val="00D70EF7"/>
    <w:rsid w:val="00D7217D"/>
    <w:rsid w:val="00D7664A"/>
    <w:rsid w:val="00D76A0A"/>
    <w:rsid w:val="00D815F5"/>
    <w:rsid w:val="00D81F2B"/>
    <w:rsid w:val="00D8397C"/>
    <w:rsid w:val="00D9456F"/>
    <w:rsid w:val="00D94EED"/>
    <w:rsid w:val="00D96026"/>
    <w:rsid w:val="00DA0243"/>
    <w:rsid w:val="00DA0C7E"/>
    <w:rsid w:val="00DA433C"/>
    <w:rsid w:val="00DA52A7"/>
    <w:rsid w:val="00DA7C1C"/>
    <w:rsid w:val="00DB147A"/>
    <w:rsid w:val="00DB1B7A"/>
    <w:rsid w:val="00DC6708"/>
    <w:rsid w:val="00DC7CFA"/>
    <w:rsid w:val="00DE64C5"/>
    <w:rsid w:val="00DF712D"/>
    <w:rsid w:val="00E01436"/>
    <w:rsid w:val="00E045BD"/>
    <w:rsid w:val="00E17A9F"/>
    <w:rsid w:val="00E17B77"/>
    <w:rsid w:val="00E23337"/>
    <w:rsid w:val="00E24A25"/>
    <w:rsid w:val="00E259EA"/>
    <w:rsid w:val="00E27E85"/>
    <w:rsid w:val="00E30793"/>
    <w:rsid w:val="00E32061"/>
    <w:rsid w:val="00E41FCF"/>
    <w:rsid w:val="00E42801"/>
    <w:rsid w:val="00E42FF9"/>
    <w:rsid w:val="00E4714C"/>
    <w:rsid w:val="00E51AEB"/>
    <w:rsid w:val="00E52175"/>
    <w:rsid w:val="00E522A7"/>
    <w:rsid w:val="00E54452"/>
    <w:rsid w:val="00E63312"/>
    <w:rsid w:val="00E664C5"/>
    <w:rsid w:val="00E671A2"/>
    <w:rsid w:val="00E67A17"/>
    <w:rsid w:val="00E76D26"/>
    <w:rsid w:val="00E82C7E"/>
    <w:rsid w:val="00E93CDB"/>
    <w:rsid w:val="00E963C8"/>
    <w:rsid w:val="00EB02C9"/>
    <w:rsid w:val="00EB1390"/>
    <w:rsid w:val="00EB2C71"/>
    <w:rsid w:val="00EB4340"/>
    <w:rsid w:val="00EB4822"/>
    <w:rsid w:val="00EB4D71"/>
    <w:rsid w:val="00EB556D"/>
    <w:rsid w:val="00EB5A7D"/>
    <w:rsid w:val="00EB73D7"/>
    <w:rsid w:val="00EC2274"/>
    <w:rsid w:val="00ED55C0"/>
    <w:rsid w:val="00ED682B"/>
    <w:rsid w:val="00EE3F46"/>
    <w:rsid w:val="00EE41D5"/>
    <w:rsid w:val="00EE4ADB"/>
    <w:rsid w:val="00EE696D"/>
    <w:rsid w:val="00EF7B36"/>
    <w:rsid w:val="00F037A4"/>
    <w:rsid w:val="00F04465"/>
    <w:rsid w:val="00F04C11"/>
    <w:rsid w:val="00F10D63"/>
    <w:rsid w:val="00F12FEC"/>
    <w:rsid w:val="00F26013"/>
    <w:rsid w:val="00F27C8F"/>
    <w:rsid w:val="00F30A0C"/>
    <w:rsid w:val="00F32749"/>
    <w:rsid w:val="00F37172"/>
    <w:rsid w:val="00F4477E"/>
    <w:rsid w:val="00F45717"/>
    <w:rsid w:val="00F57391"/>
    <w:rsid w:val="00F60B5D"/>
    <w:rsid w:val="00F65EEC"/>
    <w:rsid w:val="00F6637E"/>
    <w:rsid w:val="00F67D8F"/>
    <w:rsid w:val="00F739B3"/>
    <w:rsid w:val="00F73C5D"/>
    <w:rsid w:val="00F74B10"/>
    <w:rsid w:val="00F80247"/>
    <w:rsid w:val="00F802BE"/>
    <w:rsid w:val="00F80E93"/>
    <w:rsid w:val="00F86024"/>
    <w:rsid w:val="00F8611A"/>
    <w:rsid w:val="00F86C02"/>
    <w:rsid w:val="00F90BB1"/>
    <w:rsid w:val="00F93CA3"/>
    <w:rsid w:val="00FA0677"/>
    <w:rsid w:val="00FA5128"/>
    <w:rsid w:val="00FB2D00"/>
    <w:rsid w:val="00FB42D4"/>
    <w:rsid w:val="00FB5906"/>
    <w:rsid w:val="00FB762F"/>
    <w:rsid w:val="00FC1516"/>
    <w:rsid w:val="00FC2AED"/>
    <w:rsid w:val="00FC6AF0"/>
    <w:rsid w:val="00FD39F6"/>
    <w:rsid w:val="00FD5EA7"/>
    <w:rsid w:val="00FD7DB8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1">
    <w:name w:val="Siatka tabeli — jasna11"/>
    <w:basedOn w:val="Standardowy"/>
    <w:uiPriority w:val="40"/>
    <w:rsid w:val="00685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0609C1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68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68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68F9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68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68F9"/>
    <w:rPr>
      <w:rFonts w:ascii="Fira Sans" w:hAnsi="Fira Sans"/>
      <w:b/>
      <w:b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866B61"/>
  </w:style>
  <w:style w:type="table" w:customStyle="1" w:styleId="Tabelasiatki1jasnaakcent111">
    <w:name w:val="Tabela siatki 1 — jasna — akcent 111"/>
    <w:basedOn w:val="Standardowy"/>
    <w:uiPriority w:val="46"/>
    <w:rsid w:val="00866B6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2">
    <w:name w:val="Siatka tabeli — jasna12"/>
    <w:basedOn w:val="Standardowy"/>
    <w:uiPriority w:val="40"/>
    <w:rsid w:val="00866B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66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11">
    <w:name w:val="Siatka tabeli — jasna111"/>
    <w:basedOn w:val="Standardowy"/>
    <w:uiPriority w:val="40"/>
    <w:rsid w:val="00866B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112">
    <w:name w:val="Siatka tabeli — jasna112"/>
    <w:basedOn w:val="Standardowy"/>
    <w:uiPriority w:val="40"/>
    <w:rsid w:val="00A9073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1.xml"/><Relationship Id="rId18" Type="http://schemas.openxmlformats.org/officeDocument/2006/relationships/header" Target="header1.xml"/><Relationship Id="rId26" Type="http://schemas.openxmlformats.org/officeDocument/2006/relationships/hyperlink" Target="https://twitter.com/GUS_STAT" TargetMode="External"/><Relationship Id="rId39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34" Type="http://schemas.openxmlformats.org/officeDocument/2006/relationships/hyperlink" Target="http://stat.gov.pl/obszary-tematyczne/ceny-handel/wskazniki-cen/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3.emf"/><Relationship Id="rId17" Type="http://schemas.openxmlformats.org/officeDocument/2006/relationships/chart" Target="charts/chart5.xml"/><Relationship Id="rId25" Type="http://schemas.openxmlformats.org/officeDocument/2006/relationships/image" Target="media/image6.png"/><Relationship Id="rId33" Type="http://schemas.openxmlformats.org/officeDocument/2006/relationships/hyperlink" Target="https://bdl.stat.gov.pl/BDL/start" TargetMode="External"/><Relationship Id="rId38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20" Type="http://schemas.openxmlformats.org/officeDocument/2006/relationships/header" Target="header2.xml"/><Relationship Id="rId29" Type="http://schemas.openxmlformats.org/officeDocument/2006/relationships/hyperlink" Target="http://stat.gov.pl/sygnalne/komunikaty-i-obwieszczenia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stat.gov.pl/" TargetMode="External"/><Relationship Id="rId32" Type="http://schemas.openxmlformats.org/officeDocument/2006/relationships/hyperlink" Target="http://bdm.stat.gov.pl/" TargetMode="External"/><Relationship Id="rId37" Type="http://schemas.openxmlformats.org/officeDocument/2006/relationships/hyperlink" Target="http://stat.gov.pl/metainformacje/slownik-pojec/pojecia-stosowane-w-statystyce-publicznej/32,pojecie.html" TargetMode="Externa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23" Type="http://schemas.openxmlformats.org/officeDocument/2006/relationships/image" Target="media/image5.png"/><Relationship Id="rId28" Type="http://schemas.openxmlformats.org/officeDocument/2006/relationships/hyperlink" Target="https://www.facebook.com/GlownyUrzadStatystyczny/" TargetMode="External"/><Relationship Id="rId36" Type="http://schemas.openxmlformats.org/officeDocument/2006/relationships/hyperlink" Target="http://stat.gov.pl/metainformacje/slownik-pojec/pojecia-stosowane-w-statystyce-publicznej/711,pojecie.html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31" Type="http://schemas.openxmlformats.org/officeDocument/2006/relationships/hyperlink" Target="http://swaid.stat.gov.pl/SitePagesDBW/Ceny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hart" Target="charts/chart2.xml"/><Relationship Id="rId22" Type="http://schemas.openxmlformats.org/officeDocument/2006/relationships/hyperlink" Target="mailto:obslugaprasowa@stat.gov.pl" TargetMode="External"/><Relationship Id="rId27" Type="http://schemas.openxmlformats.org/officeDocument/2006/relationships/image" Target="media/image7.png"/><Relationship Id="rId30" Type="http://schemas.openxmlformats.org/officeDocument/2006/relationships/hyperlink" Target="http://stat.gov.pl/sygnalne/informacje-sygnalne/" TargetMode="External"/><Relationship Id="rId35" Type="http://schemas.openxmlformats.org/officeDocument/2006/relationships/hyperlink" Target="http://stat.gov.pl/obszary-tematyczne/ceny-handel/ceny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NULL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NULL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9925199093703029"/>
          <c:y val="5.3855340776704272E-2"/>
          <c:w val="0.52658061332077077"/>
          <c:h val="0.790936210405628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334A92"/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-7.4279464360269484E-3"/>
                  <c:y val="9.1515413165415541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7.4383161526452015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7.4383161526452015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9547682090712985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950857116038219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958877435096792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4.958877435096792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4.9588774350968982E-3"/>
                  <c:y val="-3.9935070083662775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4.948386428271628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5.0098184276168717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8.1261315589594585E-5"/>
                  <c:y val="-4.567102520985078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Fira Sans" pitchFamily="34" charset="0"/>
                    <a:ea typeface="Fira Sans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WPŁYWY!$A$1:$A$11</c:f>
              <c:strCache>
                <c:ptCount val="11"/>
                <c:pt idx="0">
                  <c:v>Obuwie</c:v>
                </c:pt>
                <c:pt idx="1">
                  <c:v>Odzież</c:v>
                </c:pt>
                <c:pt idx="2">
                  <c:v>Napoje alkoholowe</c:v>
                </c:pt>
                <c:pt idx="3">
                  <c:v>Nośniki energii</c:v>
                </c:pt>
                <c:pt idx="4">
                  <c:v>Turystyka zorganizowana</c:v>
                </c:pt>
                <c:pt idx="5">
                  <c:v>Usługi telekomunikacyjne</c:v>
                </c:pt>
                <c:pt idx="6">
                  <c:v>Ubezpieczenia</c:v>
                </c:pt>
                <c:pt idx="7">
                  <c:v>Warzywa</c:v>
                </c:pt>
                <c:pt idx="8">
                  <c:v>Paliwa do prywatnych środków transportu</c:v>
                </c:pt>
                <c:pt idx="9">
                  <c:v>Mięso</c:v>
                </c:pt>
                <c:pt idx="10">
                  <c:v>Usługi transportowe</c:v>
                </c:pt>
              </c:strCache>
            </c:strRef>
          </c:cat>
          <c:val>
            <c:numRef>
              <c:f>WPŁYWY!$C$1:$C$11</c:f>
              <c:numCache>
                <c:formatCode>0.00</c:formatCode>
                <c:ptCount val="11"/>
                <c:pt idx="0">
                  <c:v>-0.02</c:v>
                </c:pt>
                <c:pt idx="1">
                  <c:v>-0.02</c:v>
                </c:pt>
                <c:pt idx="2">
                  <c:v>-0.01</c:v>
                </c:pt>
                <c:pt idx="3">
                  <c:v>0.01</c:v>
                </c:pt>
                <c:pt idx="4">
                  <c:v>0.02</c:v>
                </c:pt>
                <c:pt idx="5">
                  <c:v>0.02</c:v>
                </c:pt>
                <c:pt idx="6">
                  <c:v>0.09</c:v>
                </c:pt>
                <c:pt idx="7">
                  <c:v>0.11</c:v>
                </c:pt>
                <c:pt idx="8">
                  <c:v>0.11</c:v>
                </c:pt>
                <c:pt idx="9">
                  <c:v>0.18</c:v>
                </c:pt>
                <c:pt idx="10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595904"/>
        <c:axId val="111597440"/>
      </c:barChart>
      <c:catAx>
        <c:axId val="111595904"/>
        <c:scaling>
          <c:orientation val="minMax"/>
        </c:scaling>
        <c:delete val="0"/>
        <c:axPos val="l"/>
        <c:numFmt formatCode="@" sourceLinked="0"/>
        <c:majorTickMark val="none"/>
        <c:minorTickMark val="none"/>
        <c:tickLblPos val="low"/>
        <c:spPr>
          <a:noFill/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en-US"/>
          </a:p>
        </c:txPr>
        <c:crossAx val="111597440"/>
        <c:crossesAt val="0"/>
        <c:auto val="1"/>
        <c:lblAlgn val="ctr"/>
        <c:lblOffset val="100"/>
        <c:tickMarkSkip val="1"/>
        <c:noMultiLvlLbl val="0"/>
      </c:catAx>
      <c:valAx>
        <c:axId val="111597440"/>
        <c:scaling>
          <c:orientation val="minMax"/>
          <c:max val="0.25"/>
          <c:min val="-5.000000000000001E-2"/>
        </c:scaling>
        <c:delete val="0"/>
        <c:axPos val="b"/>
        <c:majorGridlines>
          <c:spPr>
            <a:ln w="3175">
              <a:solidFill>
                <a:srgbClr val="C0C0C0"/>
              </a:solidFill>
              <a:prstDash val="sysDot"/>
            </a:ln>
          </c:spPr>
        </c:majorGridlines>
        <c:numFmt formatCode="0.00" sourceLinked="1"/>
        <c:majorTickMark val="out"/>
        <c:minorTickMark val="none"/>
        <c:tickLblPos val="nextTo"/>
        <c:spPr>
          <a:ln w="6350"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en-US"/>
          </a:p>
        </c:txPr>
        <c:crossAx val="111595904"/>
        <c:crosses val="autoZero"/>
        <c:crossBetween val="between"/>
        <c:majorUnit val="5.000000000000001E-2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2863205691702072"/>
          <c:y val="4.5267504380125223E-2"/>
          <c:w val="0.5162607649127503"/>
          <c:h val="0.87851429841506423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334A92"/>
            </a:solidFill>
          </c:spPr>
          <c:invertIfNegative val="0"/>
          <c:dLbls>
            <c:numFmt formatCode="#,##0.00" sourceLinked="0"/>
            <c:spPr>
              <a:noFill/>
              <a:ln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'SYSTEM WAG'!$B$2:$B$13</c:f>
              <c:strCache>
                <c:ptCount val="12"/>
                <c:pt idx="0">
                  <c:v>Inne towary i usługi</c:v>
                </c:pt>
                <c:pt idx="1">
                  <c:v>Restauracje i hotele</c:v>
                </c:pt>
                <c:pt idx="2">
                  <c:v>Edukacja</c:v>
                </c:pt>
                <c:pt idx="3">
                  <c:v>Rekreacja i kultura</c:v>
                </c:pt>
                <c:pt idx="4">
                  <c:v>Łączność</c:v>
                </c:pt>
                <c:pt idx="5">
                  <c:v>Transport</c:v>
                </c:pt>
                <c:pt idx="6">
                  <c:v>Zdrowie</c:v>
                </c:pt>
                <c:pt idx="7">
                  <c:v>Wyposażenie mieszkania 
i prowadzenie gospodarstwa domowego</c:v>
                </c:pt>
                <c:pt idx="8">
                  <c:v>Użytkowanie mieszkania 
lub domu i nośniki energii</c:v>
                </c:pt>
                <c:pt idx="9">
                  <c:v>Odzież i obuwie</c:v>
                </c:pt>
                <c:pt idx="10">
                  <c:v>Napoje alkoholowe 
i wyroby tytoniowe</c:v>
                </c:pt>
                <c:pt idx="11">
                  <c:v>Żywność i napoje bezalkoholowe</c:v>
                </c:pt>
              </c:strCache>
            </c:strRef>
          </c:cat>
          <c:val>
            <c:numRef>
              <c:f>'SYSTEM WAG'!$H$2:$H$13</c:f>
              <c:numCache>
                <c:formatCode>0.00</c:formatCode>
                <c:ptCount val="12"/>
                <c:pt idx="0">
                  <c:v>5.58</c:v>
                </c:pt>
                <c:pt idx="1">
                  <c:v>6.2</c:v>
                </c:pt>
                <c:pt idx="2">
                  <c:v>1.07</c:v>
                </c:pt>
                <c:pt idx="3">
                  <c:v>6.44</c:v>
                </c:pt>
                <c:pt idx="4">
                  <c:v>4.18</c:v>
                </c:pt>
                <c:pt idx="5">
                  <c:v>10.34</c:v>
                </c:pt>
                <c:pt idx="6">
                  <c:v>5.1199999999999983</c:v>
                </c:pt>
                <c:pt idx="7">
                  <c:v>5.7</c:v>
                </c:pt>
                <c:pt idx="8">
                  <c:v>19.170000000000005</c:v>
                </c:pt>
                <c:pt idx="9">
                  <c:v>4.9400000000000004</c:v>
                </c:pt>
                <c:pt idx="10">
                  <c:v>6.37</c:v>
                </c:pt>
                <c:pt idx="11">
                  <c:v>24.89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4942720"/>
        <c:axId val="114945408"/>
      </c:barChart>
      <c:catAx>
        <c:axId val="1149427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>
            <a:solidFill>
              <a:schemeClr val="bg1">
                <a:lumMod val="50000"/>
              </a:schemeClr>
            </a:solidFill>
          </a:ln>
        </c:spPr>
        <c:txPr>
          <a:bodyPr rot="0" vert="horz"/>
          <a:lstStyle/>
          <a:p>
            <a:pPr algn="r">
              <a:defRPr sz="800"/>
            </a:pPr>
            <a:endParaRPr lang="en-US"/>
          </a:p>
        </c:txPr>
        <c:crossAx val="114945408"/>
        <c:crosses val="autoZero"/>
        <c:auto val="0"/>
        <c:lblAlgn val="ctr"/>
        <c:lblOffset val="100"/>
        <c:noMultiLvlLbl val="0"/>
      </c:catAx>
      <c:valAx>
        <c:axId val="114945408"/>
        <c:scaling>
          <c:orientation val="minMax"/>
        </c:scaling>
        <c:delete val="0"/>
        <c:axPos val="b"/>
        <c:majorGridlines>
          <c:spPr>
            <a:ln w="3175">
              <a:solidFill>
                <a:srgbClr val="B2B2B2"/>
              </a:solidFill>
              <a:prstDash val="sysDot"/>
            </a:ln>
          </c:spPr>
        </c:majorGridlines>
        <c:title>
          <c:tx>
            <c:rich>
              <a:bodyPr anchor="b" anchorCtr="1"/>
              <a:lstStyle/>
              <a:p>
                <a:pPr algn="r">
                  <a:defRPr/>
                </a:pPr>
                <a:r>
                  <a:rPr lang="pl-PL" b="0"/>
                  <a:t>%</a:t>
                </a:r>
              </a:p>
            </c:rich>
          </c:tx>
          <c:layout>
            <c:manualLayout>
              <c:xMode val="edge"/>
              <c:yMode val="edge"/>
              <c:x val="0.96046209837153251"/>
              <c:y val="0.93581586831545505"/>
            </c:manualLayout>
          </c:layout>
          <c:overlay val="0"/>
          <c:spPr>
            <a:noFill/>
            <a:ln>
              <a:noFill/>
            </a:ln>
          </c:spPr>
        </c:title>
        <c:numFmt formatCode="#,##0" sourceLinked="0"/>
        <c:majorTickMark val="out"/>
        <c:minorTickMark val="none"/>
        <c:tickLblPos val="nextTo"/>
        <c:spPr>
          <a:noFill/>
          <a:ln w="6350">
            <a:noFill/>
            <a:prstDash val="sysDot"/>
          </a:ln>
        </c:spPr>
        <c:crossAx val="11494272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Fira Sans" pitchFamily="34" charset="0"/>
          <a:ea typeface="Fira Sans" pitchFamily="34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187331061229512E-2"/>
          <c:y val="4.8511576626240394E-2"/>
          <c:w val="0.85896472395921109"/>
          <c:h val="0.81880214256569661"/>
        </c:manualLayout>
      </c:layout>
      <c:lineChart>
        <c:grouping val="standard"/>
        <c:varyColors val="0"/>
        <c:ser>
          <c:idx val="0"/>
          <c:order val="0"/>
          <c:spPr>
            <a:ln w="22225">
              <a:solidFill>
                <a:srgbClr val="001D77"/>
              </a:solidFill>
            </a:ln>
          </c:spPr>
          <c:marker>
            <c:symbol val="diamond"/>
            <c:size val="6"/>
            <c:spPr>
              <a:solidFill>
                <a:srgbClr val="001D77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9.3315604743701291E-3"/>
                  <c:y val="-1.79120857888126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3468604754157208E-2"/>
                  <c:y val="4.02126570314652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4886190088169113E-2"/>
                  <c:y val="2.09377310480579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7.8495937741364652E-3"/>
                  <c:y val="-9.7246642836440918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7181740856251772E-2"/>
                  <c:y val="-2.95990725533764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7.7604453834405965E-3"/>
                  <c:y val="-7.384319938547217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3.4247716857724923E-2"/>
                  <c:y val="4.107391800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2.1811489264836222E-2"/>
                  <c:y val="4.15452235012707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5.5603517024352331E-2"/>
                  <c:y val="-2.98141226889918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3.5270582150507206E-2"/>
                  <c:y val="-4.42110518987949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5.1731372759891675E-2"/>
                  <c:y val="4.54850739059028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4.4538584124439055E-2"/>
                  <c:y val="4.39779731426915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3.5493402701699026E-2"/>
                  <c:y val="5.11235379829086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4.0157504135215447E-2"/>
                  <c:y val="-4.29720101781170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8.8512639853230348E-3"/>
                  <c:y val="2.504584953670363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1.508219035579088E-2"/>
                  <c:y val="-2.59725594263452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3.5976911103846362E-2"/>
                  <c:y val="4.1756013250756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-6.7581122962760186E-3"/>
                  <c:y val="-8.6438025311564096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-3.9165316280444451E-2"/>
                  <c:y val="4.0945321792603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-3.8587335297959095E-2"/>
                  <c:y val="4.04658370043271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layout>
                <c:manualLayout>
                  <c:x val="-3.8013274159369878E-2"/>
                  <c:y val="4.06904108164203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1"/>
              <c:layout>
                <c:manualLayout>
                  <c:x val="-6.000355377514182E-2"/>
                  <c:y val="-2.89804487195939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2"/>
              <c:layout>
                <c:manualLayout>
                  <c:x val="-5.4348846744937977E-3"/>
                  <c:y val="-2.44554399135528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3"/>
              <c:layout>
                <c:manualLayout>
                  <c:x val="-3.5122712348233442E-2"/>
                  <c:y val="-4.02744601793398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4"/>
              <c:layout>
                <c:manualLayout>
                  <c:x val="-4.2624873747847007E-2"/>
                  <c:y val="3.9138888888888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4.0509009646396567E-2"/>
                  <c:y val="-4.5661189358372462E-2"/>
                </c:manualLayout>
              </c:layout>
              <c:tx>
                <c:rich>
                  <a:bodyPr anchor="t" anchorCtr="0"/>
                  <a:lstStyle/>
                  <a:p>
                    <a:pPr>
                      <a:defRPr sz="1000">
                        <a:latin typeface="Fira Sans" pitchFamily="34" charset="0"/>
                        <a:ea typeface="Fira Sans" pitchFamily="34" charset="0"/>
                      </a:defRPr>
                    </a:pPr>
                    <a:r>
                      <a:rPr lang="en-US" sz="800"/>
                      <a:t>0,4</a:t>
                    </a:r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6"/>
              <c:layout>
                <c:manualLayout>
                  <c:x val="-2.3522786084724048E-2"/>
                  <c:y val="2.71832007072186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anchor="t" anchorCtr="0"/>
              <a:lstStyle/>
              <a:p>
                <a:pPr>
                  <a:defRPr sz="800">
                    <a:latin typeface="Fira Sans" pitchFamily="34" charset="0"/>
                    <a:ea typeface="Fira Sans" pitchFamily="34" charset="0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'M-1'!$B$26:$B$49</c:f>
              <c:strCache>
                <c:ptCount val="2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  <c:pt idx="23">
                  <c:v>XII</c:v>
                </c:pt>
              </c:strCache>
            </c:strRef>
          </c:cat>
          <c:val>
            <c:numRef>
              <c:f>'M-1'!$C$26:$C$49</c:f>
              <c:numCache>
                <c:formatCode>0.0</c:formatCode>
                <c:ptCount val="24"/>
                <c:pt idx="0">
                  <c:v>0.29999999999999716</c:v>
                </c:pt>
                <c:pt idx="1">
                  <c:v>-0.2</c:v>
                </c:pt>
                <c:pt idx="2">
                  <c:v>-0.1</c:v>
                </c:pt>
                <c:pt idx="3">
                  <c:v>0.5</c:v>
                </c:pt>
                <c:pt idx="4">
                  <c:v>0.2</c:v>
                </c:pt>
                <c:pt idx="5">
                  <c:v>0.1</c:v>
                </c:pt>
                <c:pt idx="6">
                  <c:v>-0.2</c:v>
                </c:pt>
                <c:pt idx="7">
                  <c:v>0</c:v>
                </c:pt>
                <c:pt idx="8">
                  <c:v>0.2</c:v>
                </c:pt>
                <c:pt idx="9">
                  <c:v>0.4</c:v>
                </c:pt>
                <c:pt idx="10">
                  <c:v>0</c:v>
                </c:pt>
                <c:pt idx="11">
                  <c:v>0</c:v>
                </c:pt>
                <c:pt idx="12">
                  <c:v>-0.2</c:v>
                </c:pt>
                <c:pt idx="13">
                  <c:v>0.4</c:v>
                </c:pt>
                <c:pt idx="14">
                  <c:v>0.3</c:v>
                </c:pt>
                <c:pt idx="15">
                  <c:v>1.1000000000000001</c:v>
                </c:pt>
                <c:pt idx="16">
                  <c:v>0.2</c:v>
                </c:pt>
                <c:pt idx="17">
                  <c:v>0.3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0.2</c:v>
                </c:pt>
                <c:pt idx="22">
                  <c:v>0.1</c:v>
                </c:pt>
                <c:pt idx="23">
                  <c:v>0.8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995584"/>
        <c:axId val="114997120"/>
      </c:lineChart>
      <c:dateAx>
        <c:axId val="114995584"/>
        <c:scaling>
          <c:orientation val="minMax"/>
        </c:scaling>
        <c:delete val="0"/>
        <c:axPos val="b"/>
        <c:numFmt formatCode="[$-415]mmmmm;@" sourceLinked="0"/>
        <c:majorTickMark val="out"/>
        <c:minorTickMark val="none"/>
        <c:tickLblPos val="low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en-US"/>
          </a:p>
        </c:txPr>
        <c:crossAx val="114997120"/>
        <c:crossesAt val="0"/>
        <c:auto val="0"/>
        <c:lblOffset val="100"/>
        <c:baseTimeUnit val="days"/>
      </c:dateAx>
      <c:valAx>
        <c:axId val="114997120"/>
        <c:scaling>
          <c:orientation val="minMax"/>
          <c:max val="1.2000000000000011"/>
          <c:min val="-0.60000000000000064"/>
        </c:scaling>
        <c:delete val="0"/>
        <c:axPos val="l"/>
        <c:majorGridlines>
          <c:spPr>
            <a:ln w="3175">
              <a:solidFill>
                <a:schemeClr val="bg1">
                  <a:lumMod val="50000"/>
                </a:schemeClr>
              </a:solidFill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en-US"/>
          </a:p>
        </c:txPr>
        <c:crossAx val="114995584"/>
        <c:crossesAt val="1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187331061229512E-2"/>
          <c:y val="4.8511576626240394E-2"/>
          <c:w val="0.85896472395921109"/>
          <c:h val="0.81880214256569661"/>
        </c:manualLayout>
      </c:layout>
      <c:lineChart>
        <c:grouping val="standard"/>
        <c:varyColors val="0"/>
        <c:ser>
          <c:idx val="0"/>
          <c:order val="0"/>
          <c:spPr>
            <a:ln w="22225">
              <a:solidFill>
                <a:srgbClr val="001D77"/>
              </a:solidFill>
            </a:ln>
          </c:spPr>
          <c:marker>
            <c:symbol val="diamond"/>
            <c:size val="6"/>
            <c:spPr>
              <a:solidFill>
                <a:srgbClr val="001D77"/>
              </a:solidFill>
              <a:ln>
                <a:noFill/>
              </a:ln>
            </c:spPr>
          </c:marker>
          <c:dPt>
            <c:idx val="27"/>
            <c:marker>
              <c:symbol val="diamond"/>
              <c:size val="8"/>
              <c:spPr>
                <a:solidFill>
                  <a:srgbClr val="008542"/>
                </a:solidFill>
                <a:ln>
                  <a:noFill/>
                </a:ln>
              </c:spPr>
            </c:marker>
            <c:bubble3D val="0"/>
          </c:dPt>
          <c:dLbls>
            <c:dLbl>
              <c:idx val="0"/>
              <c:layout>
                <c:manualLayout>
                  <c:x val="-3.6712576468564982E-2"/>
                  <c:y val="-5.03081221470171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848856233161891E-2"/>
                  <c:y val="3.89148642608678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70225814352192E-2"/>
                  <c:y val="3.89409044093355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0186333578251285E-2"/>
                  <c:y val="-4.04496783847334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2107876545614117E-2"/>
                  <c:y val="-3.98909963796632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7613921579997982E-2"/>
                  <c:y val="-4.01310468286410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3.4265991626910811E-2"/>
                  <c:y val="-4.14095702817566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3.9124135916658552E-2"/>
                  <c:y val="-4.13391311191563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3.0799351293540451E-2"/>
                  <c:y val="-4.29146042134211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2.5253178118390958E-2"/>
                  <c:y val="-4.61673362891771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3.4620811718631676E-2"/>
                  <c:y val="3.82548056520349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3.4580698055750758E-2"/>
                  <c:y val="5.32797067901234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2.5632525104090129E-2"/>
                  <c:y val="3.8454303426028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1.2979867744305566E-2"/>
                  <c:y val="1.80862434170893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8.8097967180994375E-3"/>
                  <c:y val="9.773217512971492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6889246059500914E-2"/>
                      <c:h val="5.7450489075958532E-2"/>
                    </c:manualLayout>
                  </c15:layout>
                </c:ext>
              </c:extLst>
            </c:dLbl>
            <c:dLbl>
              <c:idx val="15"/>
              <c:layout>
                <c:manualLayout>
                  <c:x val="-1.3013176585843743E-2"/>
                  <c:y val="2.14978915252919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1.5974528532941464E-2"/>
                  <c:y val="2.31469713752696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-4.1914670585353905E-2"/>
                  <c:y val="-4.23366175013117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-3.1723732549595887E-2"/>
                  <c:y val="-4.94067121397617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-3.3519862845946609E-2"/>
                  <c:y val="-4.98486173458481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layout>
                <c:manualLayout>
                  <c:x val="-2.5646131022097288E-2"/>
                  <c:y val="-4.44528530346602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1"/>
              <c:layout>
                <c:manualLayout>
                  <c:x val="-2.7841092794142937E-2"/>
                  <c:y val="-4.52774279867778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2"/>
              <c:layout>
                <c:manualLayout>
                  <c:x val="-3.0333682179759566E-3"/>
                  <c:y val="-3.53182340532497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3"/>
              <c:layout>
                <c:manualLayout>
                  <c:x val="-1.0426255483867945E-2"/>
                  <c:y val="7.030115897687515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4"/>
              <c:layout>
                <c:manualLayout>
                  <c:x val="-5.7554992812669424E-2"/>
                  <c:y val="8.9521396346206438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2.8226731861014813E-2"/>
                  <c:y val="4.9211383118944255E-2"/>
                </c:manualLayout>
              </c:layout>
              <c:tx>
                <c:rich>
                  <a:bodyPr anchor="t" anchorCtr="0"/>
                  <a:lstStyle/>
                  <a:p>
                    <a:pPr>
                      <a:defRPr sz="1000">
                        <a:latin typeface="Fira Sans" pitchFamily="34" charset="0"/>
                        <a:ea typeface="Fira Sans" pitchFamily="34" charset="0"/>
                      </a:defRPr>
                    </a:pPr>
                    <a:r>
                      <a:rPr lang="en-US" sz="800"/>
                      <a:t>1,2</a:t>
                    </a:r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6"/>
              <c:layout>
                <c:manualLayout>
                  <c:x val="-3.1435292231207015E-2"/>
                  <c:y val="2.75599392243573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-2.9224093677136003E-2"/>
                  <c:y val="-3.42589929418557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anchor="t" anchorCtr="0"/>
              <a:lstStyle/>
              <a:p>
                <a:pPr>
                  <a:defRPr sz="800">
                    <a:latin typeface="Fira Sans" pitchFamily="34" charset="0"/>
                    <a:ea typeface="Fira Sans" pitchFamily="34" charset="0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'M-12 (+FE)'!$B$26:$B$49</c:f>
              <c:strCache>
                <c:ptCount val="2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  <c:pt idx="23">
                  <c:v>XII</c:v>
                </c:pt>
              </c:strCache>
            </c:strRef>
          </c:cat>
          <c:val>
            <c:numRef>
              <c:f>'M-12 (+FE)'!$C$26:$C$49</c:f>
              <c:numCache>
                <c:formatCode>0.0</c:formatCode>
                <c:ptCount val="24"/>
                <c:pt idx="0">
                  <c:v>1.9000000000000057</c:v>
                </c:pt>
                <c:pt idx="1">
                  <c:v>1.4</c:v>
                </c:pt>
                <c:pt idx="2">
                  <c:v>1.3</c:v>
                </c:pt>
                <c:pt idx="3">
                  <c:v>1.6</c:v>
                </c:pt>
                <c:pt idx="4">
                  <c:v>1.7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1.9</c:v>
                </c:pt>
                <c:pt idx="9">
                  <c:v>1.8</c:v>
                </c:pt>
                <c:pt idx="10">
                  <c:v>1.3</c:v>
                </c:pt>
                <c:pt idx="11">
                  <c:v>1.1000000000000001</c:v>
                </c:pt>
                <c:pt idx="12">
                  <c:v>0.7</c:v>
                </c:pt>
                <c:pt idx="13">
                  <c:v>1.2</c:v>
                </c:pt>
                <c:pt idx="14">
                  <c:v>1.7</c:v>
                </c:pt>
                <c:pt idx="15">
                  <c:v>2.2000000000000002</c:v>
                </c:pt>
                <c:pt idx="16">
                  <c:v>2.4</c:v>
                </c:pt>
                <c:pt idx="17">
                  <c:v>2.6</c:v>
                </c:pt>
                <c:pt idx="18">
                  <c:v>2.9</c:v>
                </c:pt>
                <c:pt idx="19">
                  <c:v>2.9</c:v>
                </c:pt>
                <c:pt idx="20">
                  <c:v>2.6</c:v>
                </c:pt>
                <c:pt idx="21">
                  <c:v>2.5</c:v>
                </c:pt>
                <c:pt idx="22">
                  <c:v>2.6</c:v>
                </c:pt>
                <c:pt idx="23">
                  <c:v>3.4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5077888"/>
        <c:axId val="115079424"/>
      </c:lineChart>
      <c:dateAx>
        <c:axId val="115077888"/>
        <c:scaling>
          <c:orientation val="minMax"/>
        </c:scaling>
        <c:delete val="0"/>
        <c:axPos val="b"/>
        <c:numFmt formatCode="[$-415]mmmmm;@" sourceLinked="0"/>
        <c:majorTickMark val="out"/>
        <c:minorTickMark val="none"/>
        <c:tickLblPos val="low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en-US"/>
          </a:p>
        </c:txPr>
        <c:crossAx val="115079424"/>
        <c:crossesAt val="0"/>
        <c:auto val="0"/>
        <c:lblOffset val="100"/>
        <c:baseTimeUnit val="days"/>
      </c:dateAx>
      <c:valAx>
        <c:axId val="115079424"/>
        <c:scaling>
          <c:orientation val="minMax"/>
          <c:max val="4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50000"/>
                </a:schemeClr>
              </a:solidFill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en-US"/>
          </a:p>
        </c:txPr>
        <c:crossAx val="115077888"/>
        <c:crossesAt val="1"/>
        <c:crossBetween val="between"/>
        <c:majorUnit val="0.5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103308106031142E-2"/>
          <c:y val="5.2791985907422512E-2"/>
          <c:w val="0.86402212918953414"/>
          <c:h val="0.80215749189155816"/>
        </c:manualLayout>
      </c:layout>
      <c:lineChart>
        <c:grouping val="standard"/>
        <c:varyColors val="0"/>
        <c:ser>
          <c:idx val="0"/>
          <c:order val="0"/>
          <c:tx>
            <c:strRef>
              <c:f>'CPI_HICP m-12'!$B$2:$C$2</c:f>
              <c:strCache>
                <c:ptCount val="1"/>
                <c:pt idx="0">
                  <c:v>CPI</c:v>
                </c:pt>
              </c:strCache>
            </c:strRef>
          </c:tx>
          <c:spPr>
            <a:ln w="19050">
              <a:solidFill>
                <a:srgbClr val="001D77"/>
              </a:solidFill>
            </a:ln>
          </c:spPr>
          <c:marker>
            <c:symbol val="none"/>
          </c:marker>
          <c:cat>
            <c:strRef>
              <c:f>'CPI_HICP m-12'!$B$27:$B$50</c:f>
              <c:strCache>
                <c:ptCount val="2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  <c:pt idx="23">
                  <c:v>XII</c:v>
                </c:pt>
              </c:strCache>
            </c:strRef>
          </c:cat>
          <c:val>
            <c:numRef>
              <c:f>'CPI_HICP m-12'!$C$27:$C$50</c:f>
              <c:numCache>
                <c:formatCode>0.0</c:formatCode>
                <c:ptCount val="24"/>
                <c:pt idx="0">
                  <c:v>1.9</c:v>
                </c:pt>
                <c:pt idx="1">
                  <c:v>1.4</c:v>
                </c:pt>
                <c:pt idx="2">
                  <c:v>1.3</c:v>
                </c:pt>
                <c:pt idx="3">
                  <c:v>1.6</c:v>
                </c:pt>
                <c:pt idx="4">
                  <c:v>1.7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1.9</c:v>
                </c:pt>
                <c:pt idx="9">
                  <c:v>1.8</c:v>
                </c:pt>
                <c:pt idx="10">
                  <c:v>1.3</c:v>
                </c:pt>
                <c:pt idx="11">
                  <c:v>1.1000000000000001</c:v>
                </c:pt>
                <c:pt idx="12">
                  <c:v>0.7</c:v>
                </c:pt>
                <c:pt idx="13">
                  <c:v>1.2</c:v>
                </c:pt>
                <c:pt idx="14">
                  <c:v>1.7</c:v>
                </c:pt>
                <c:pt idx="15">
                  <c:v>2.2000000000000002</c:v>
                </c:pt>
                <c:pt idx="16">
                  <c:v>2.4</c:v>
                </c:pt>
                <c:pt idx="17">
                  <c:v>2.6</c:v>
                </c:pt>
                <c:pt idx="18">
                  <c:v>2.9</c:v>
                </c:pt>
                <c:pt idx="19">
                  <c:v>2.9</c:v>
                </c:pt>
                <c:pt idx="20">
                  <c:v>2.6</c:v>
                </c:pt>
                <c:pt idx="21">
                  <c:v>2.5</c:v>
                </c:pt>
                <c:pt idx="22">
                  <c:v>2.6</c:v>
                </c:pt>
                <c:pt idx="23">
                  <c:v>3.4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'CPI_HICP m-12'!$D$2:$E$2</c:f>
              <c:strCache>
                <c:ptCount val="1"/>
                <c:pt idx="0">
                  <c:v>HICP</c:v>
                </c:pt>
              </c:strCache>
            </c:strRef>
          </c:tx>
          <c:spPr>
            <a:ln w="19050">
              <a:solidFill>
                <a:srgbClr val="99A5C9"/>
              </a:solidFill>
            </a:ln>
          </c:spPr>
          <c:marker>
            <c:symbol val="none"/>
          </c:marker>
          <c:cat>
            <c:strRef>
              <c:f>'CPI_HICP m-12'!$B$27:$B$50</c:f>
              <c:strCache>
                <c:ptCount val="2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  <c:pt idx="23">
                  <c:v>XII</c:v>
                </c:pt>
              </c:strCache>
            </c:strRef>
          </c:cat>
          <c:val>
            <c:numRef>
              <c:f>'CPI_HICP m-12'!$E$27:$E$49</c:f>
              <c:numCache>
                <c:formatCode>0.0</c:formatCode>
                <c:ptCount val="23"/>
                <c:pt idx="0">
                  <c:v>1.6</c:v>
                </c:pt>
                <c:pt idx="1">
                  <c:v>0.7</c:v>
                </c:pt>
                <c:pt idx="2">
                  <c:v>0.7</c:v>
                </c:pt>
                <c:pt idx="3">
                  <c:v>0.9</c:v>
                </c:pt>
                <c:pt idx="4">
                  <c:v>1.2</c:v>
                </c:pt>
                <c:pt idx="5">
                  <c:v>1.4</c:v>
                </c:pt>
                <c:pt idx="6">
                  <c:v>1.4</c:v>
                </c:pt>
                <c:pt idx="7">
                  <c:v>1.4</c:v>
                </c:pt>
                <c:pt idx="8">
                  <c:v>1.5</c:v>
                </c:pt>
                <c:pt idx="9">
                  <c:v>1.5</c:v>
                </c:pt>
                <c:pt idx="10">
                  <c:v>1.1000000000000001</c:v>
                </c:pt>
                <c:pt idx="11">
                  <c:v>0.9</c:v>
                </c:pt>
                <c:pt idx="12">
                  <c:v>0.6</c:v>
                </c:pt>
                <c:pt idx="13">
                  <c:v>1.3</c:v>
                </c:pt>
                <c:pt idx="14">
                  <c:v>1.7</c:v>
                </c:pt>
                <c:pt idx="15">
                  <c:v>2.1</c:v>
                </c:pt>
                <c:pt idx="16">
                  <c:v>2.2000000000000002</c:v>
                </c:pt>
                <c:pt idx="17">
                  <c:v>2.2999999999999998</c:v>
                </c:pt>
                <c:pt idx="18">
                  <c:v>2.5</c:v>
                </c:pt>
                <c:pt idx="19">
                  <c:v>2.6</c:v>
                </c:pt>
                <c:pt idx="20">
                  <c:v>2.4</c:v>
                </c:pt>
                <c:pt idx="21">
                  <c:v>2.2999999999999998</c:v>
                </c:pt>
                <c:pt idx="22">
                  <c:v>2.4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5519488"/>
        <c:axId val="115521024"/>
      </c:lineChart>
      <c:catAx>
        <c:axId val="115519488"/>
        <c:scaling>
          <c:orientation val="minMax"/>
        </c:scaling>
        <c:delete val="0"/>
        <c:axPos val="b"/>
        <c:numFmt formatCode="d/mm" sourceLinked="0"/>
        <c:majorTickMark val="out"/>
        <c:minorTickMark val="none"/>
        <c:tickLblPos val="low"/>
        <c:spPr>
          <a:ln w="3175">
            <a:solidFill>
              <a:schemeClr val="bg1">
                <a:lumMod val="50000"/>
              </a:schemeClr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en-US"/>
          </a:p>
        </c:txPr>
        <c:crossAx val="115521024"/>
        <c:crossesAt val="0"/>
        <c:auto val="0"/>
        <c:lblAlgn val="ctr"/>
        <c:lblOffset val="100"/>
        <c:tickLblSkip val="1"/>
        <c:tickMarkSkip val="1"/>
        <c:noMultiLvlLbl val="0"/>
      </c:catAx>
      <c:valAx>
        <c:axId val="115521024"/>
        <c:scaling>
          <c:orientation val="minMax"/>
          <c:max val="3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ysDot"/>
            </a:ln>
          </c:spPr>
        </c:majorGridlines>
        <c:numFmt formatCode="0.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en-US"/>
          </a:p>
        </c:txPr>
        <c:crossAx val="115519488"/>
        <c:crosses val="autoZero"/>
        <c:crossBetween val="between"/>
        <c:majorUnit val="0.5"/>
        <c:minorUnit val="0.1"/>
      </c:valAx>
      <c:spPr>
        <a:noFill/>
        <a:ln w="3175">
          <a:noFill/>
          <a:prstDash val="solid"/>
        </a:ln>
      </c:spPr>
    </c:plotArea>
    <c:legend>
      <c:legendPos val="r"/>
      <c:layout>
        <c:manualLayout>
          <c:xMode val="edge"/>
          <c:yMode val="edge"/>
          <c:x val="0.81969150911275146"/>
          <c:y val="0.58929013616225279"/>
          <c:w val="0.11602738896666102"/>
          <c:h val="0.14737378640231696"/>
        </c:manualLayout>
      </c:layout>
      <c:overlay val="0"/>
      <c:spPr>
        <a:noFill/>
        <a:ln w="38100">
          <a:noFill/>
          <a:prstDash val="solid"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Fira Sans" pitchFamily="34" charset="0"/>
              <a:ea typeface="Fira Sans" pitchFamily="34" charset="0"/>
              <a:cs typeface="Arial CE"/>
            </a:defRPr>
          </a:pPr>
          <a:endParaRPr lang="en-US"/>
        </a:p>
      </c:txPr>
    </c:legend>
    <c:plotVisOnly val="0"/>
    <c:dispBlanksAs val="gap"/>
    <c:showDLblsOverMax val="0"/>
  </c:chart>
  <c:spPr>
    <a:noFill/>
    <a:ln w="9525">
      <a:noFill/>
      <a:prstDash val="solid"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MS Sans Serif"/>
          <a:ea typeface="MS Sans Serif"/>
          <a:cs typeface="MS Sans Serif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0.49994</cdr:x>
      <cdr:y>0.86881</cdr:y>
    </cdr:from>
    <cdr:to>
      <cdr:x>0.50003</cdr:x>
      <cdr:y>0.94947</cdr:y>
    </cdr:to>
    <cdr:sp macro="" textlink="">
      <cdr:nvSpPr>
        <cdr:cNvPr id="7" name="Łącznik prosty 6"/>
        <cdr:cNvSpPr/>
      </cdr:nvSpPr>
      <cdr:spPr bwMode="auto">
        <a:xfrm xmlns:a="http://schemas.openxmlformats.org/drawingml/2006/main" flipH="1" flipV="1">
          <a:off x="2555566" y="2198495"/>
          <a:ext cx="457" cy="204105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chemeClr val="tx1"/>
          </a:solidFill>
          <a:headEnd type="none" w="med" len="med"/>
          <a:tailEnd type="none" w="med" len="med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 wrap="square" lIns="18288" tIns="0" rIns="0" bIns="0" upright="1"/>
        <a:lstStyle xmlns:a="http://schemas.openxmlformats.org/drawingml/2006/main"/>
        <a:p xmlns:a="http://schemas.openxmlformats.org/drawingml/2006/main">
          <a:endParaRPr lang="pl-PL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0.06988</cdr:x>
      <cdr:y>0.93898</cdr:y>
    </cdr:from>
    <cdr:to>
      <cdr:x>0.64722</cdr:x>
      <cdr:y>0.99323</cdr:y>
    </cdr:to>
    <cdr:sp macro="" textlink="">
      <cdr:nvSpPr>
        <cdr:cNvPr id="12" name="pole tekstowe 1"/>
        <cdr:cNvSpPr txBox="1"/>
      </cdr:nvSpPr>
      <cdr:spPr>
        <a:xfrm xmlns:a="http://schemas.openxmlformats.org/drawingml/2006/main">
          <a:off x="358042" y="2444751"/>
          <a:ext cx="2958124" cy="1412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0.06721</cdr:x>
      <cdr:y>0.92848</cdr:y>
    </cdr:from>
    <cdr:to>
      <cdr:x>0.49938</cdr:x>
      <cdr:y>0.99268</cdr:y>
    </cdr:to>
    <cdr:sp macro="" textlink="">
      <cdr:nvSpPr>
        <cdr:cNvPr id="13" name="pole tekstowe 1"/>
        <cdr:cNvSpPr txBox="1"/>
      </cdr:nvSpPr>
      <cdr:spPr>
        <a:xfrm xmlns:a="http://schemas.openxmlformats.org/drawingml/2006/main">
          <a:off x="343561" y="2349500"/>
          <a:ext cx="2209139" cy="1624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2018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0.50186</cdr:x>
      <cdr:y>0.9335</cdr:y>
    </cdr:from>
    <cdr:to>
      <cdr:x>0.92857</cdr:x>
      <cdr:y>0.99268</cdr:y>
    </cdr:to>
    <cdr:sp macro="" textlink="">
      <cdr:nvSpPr>
        <cdr:cNvPr id="6" name="pole tekstowe 1"/>
        <cdr:cNvSpPr txBox="1"/>
      </cdr:nvSpPr>
      <cdr:spPr>
        <a:xfrm xmlns:a="http://schemas.openxmlformats.org/drawingml/2006/main">
          <a:off x="2565401" y="2362200"/>
          <a:ext cx="2181218" cy="1497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2019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0.09502</cdr:x>
      <cdr:y>0.93504</cdr:y>
    </cdr:from>
    <cdr:to>
      <cdr:x>0.44296</cdr:x>
      <cdr:y>1</cdr:y>
    </cdr:to>
    <cdr:sp macro="" textlink="">
      <cdr:nvSpPr>
        <cdr:cNvPr id="12" name="pole tekstowe 1"/>
        <cdr:cNvSpPr txBox="1"/>
      </cdr:nvSpPr>
      <cdr:spPr>
        <a:xfrm xmlns:a="http://schemas.openxmlformats.org/drawingml/2006/main">
          <a:off x="485657" y="2412651"/>
          <a:ext cx="1778364" cy="1676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0.06639</cdr:x>
      <cdr:y>0.93137</cdr:y>
    </cdr:from>
    <cdr:to>
      <cdr:x>0.49833</cdr:x>
      <cdr:y>0.99633</cdr:y>
    </cdr:to>
    <cdr:sp macro="" textlink="">
      <cdr:nvSpPr>
        <cdr:cNvPr id="13" name="pole tekstowe 1"/>
        <cdr:cNvSpPr txBox="1"/>
      </cdr:nvSpPr>
      <cdr:spPr>
        <a:xfrm xmlns:a="http://schemas.openxmlformats.org/drawingml/2006/main">
          <a:off x="340087" y="2384014"/>
          <a:ext cx="2212614" cy="16627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2018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0.06895</cdr:x>
      <cdr:y>0.35526</cdr:y>
    </cdr:from>
    <cdr:to>
      <cdr:x>0.92902</cdr:x>
      <cdr:y>0.35528</cdr:y>
    </cdr:to>
    <cdr:sp macro="" textlink="">
      <cdr:nvSpPr>
        <cdr:cNvPr id="11" name="Łącznik prosty 10"/>
        <cdr:cNvSpPr/>
      </cdr:nvSpPr>
      <cdr:spPr bwMode="auto">
        <a:xfrm xmlns:a="http://schemas.openxmlformats.org/drawingml/2006/main" flipV="1">
          <a:off x="352511" y="910369"/>
          <a:ext cx="4397154" cy="52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0.0688</cdr:x>
      <cdr:y>0.5591</cdr:y>
    </cdr:from>
    <cdr:to>
      <cdr:x>0.93111</cdr:x>
      <cdr:y>0.56003</cdr:y>
    </cdr:to>
    <cdr:sp macro="" textlink="">
      <cdr:nvSpPr>
        <cdr:cNvPr id="14" name="Łącznik prosty 13"/>
        <cdr:cNvSpPr/>
      </cdr:nvSpPr>
      <cdr:spPr bwMode="auto">
        <a:xfrm xmlns:a="http://schemas.openxmlformats.org/drawingml/2006/main">
          <a:off x="352425" y="1431131"/>
          <a:ext cx="4417219" cy="2382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0.06938</cdr:x>
      <cdr:y>0.15027</cdr:y>
    </cdr:from>
    <cdr:to>
      <cdr:x>0.93111</cdr:x>
      <cdr:y>0.15071</cdr:y>
    </cdr:to>
    <cdr:sp macro="" textlink="">
      <cdr:nvSpPr>
        <cdr:cNvPr id="15" name="Łącznik prosty 14"/>
        <cdr:cNvSpPr/>
      </cdr:nvSpPr>
      <cdr:spPr bwMode="auto">
        <a:xfrm xmlns:a="http://schemas.openxmlformats.org/drawingml/2006/main">
          <a:off x="355402" y="384643"/>
          <a:ext cx="4414242" cy="1119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0.43389</cdr:x>
      <cdr:y>0.17808</cdr:y>
    </cdr:from>
    <cdr:to>
      <cdr:x>0.70245</cdr:x>
      <cdr:y>0.27439</cdr:y>
    </cdr:to>
    <cdr:sp macro="" textlink="">
      <cdr:nvSpPr>
        <cdr:cNvPr id="16" name="Tekst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22621" y="455831"/>
          <a:ext cx="1375711" cy="24652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wrap="square" lIns="27432" tIns="22860" rIns="27432" bIns="22860" anchor="ctr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pl-PL" sz="800" b="1" i="0" u="none" strike="noStrike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 CE"/>
            </a:rPr>
            <a:t>Cel inflacyjny 2,5</a:t>
          </a:r>
        </a:p>
      </cdr:txBody>
    </cdr:sp>
  </cdr:relSizeAnchor>
  <cdr:relSizeAnchor xmlns:cdr="http://schemas.openxmlformats.org/drawingml/2006/chartDrawing">
    <cdr:from>
      <cdr:x>0.5552</cdr:x>
      <cdr:y>0.25137</cdr:y>
    </cdr:from>
    <cdr:to>
      <cdr:x>0.61305</cdr:x>
      <cdr:y>0.35199</cdr:y>
    </cdr:to>
    <cdr:sp macro="" textlink="">
      <cdr:nvSpPr>
        <cdr:cNvPr id="17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2844050" y="643428"/>
          <a:ext cx="296340" cy="257556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175">
          <a:solidFill>
            <a:sysClr val="windowText" lastClr="000000"/>
          </a:solidFill>
          <a:round/>
          <a:headEnd/>
          <a:tailEnd type="arrow" w="med" len="med"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0.17481</cdr:x>
      <cdr:y>0.18714</cdr:y>
    </cdr:from>
    <cdr:to>
      <cdr:x>0.38637</cdr:x>
      <cdr:y>0.33235</cdr:y>
    </cdr:to>
    <cdr:sp macro="" textlink="">
      <cdr:nvSpPr>
        <cdr:cNvPr id="18" name="pole tekstowe 1"/>
        <cdr:cNvSpPr txBox="1"/>
      </cdr:nvSpPr>
      <cdr:spPr>
        <a:xfrm xmlns:a="http://schemas.openxmlformats.org/drawingml/2006/main">
          <a:off x="895485" y="479019"/>
          <a:ext cx="1083726" cy="37169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pl-PL" sz="800" b="1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Odchylenie</a:t>
          </a:r>
          <a:r>
            <a:rPr lang="pl-PL" sz="800" b="1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 </a:t>
          </a:r>
          <a:r>
            <a:rPr lang="pl-PL" sz="800" b="1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od celu</a:t>
          </a:r>
          <a:br>
            <a:rPr lang="pl-PL" sz="800" b="1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</a:br>
          <a:r>
            <a:rPr lang="pl-PL" sz="800" b="1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inflacyjnego</a:t>
          </a:r>
        </a:p>
      </cdr:txBody>
    </cdr:sp>
  </cdr:relSizeAnchor>
  <cdr:relSizeAnchor xmlns:cdr="http://schemas.openxmlformats.org/drawingml/2006/chartDrawing">
    <cdr:from>
      <cdr:x>0.37171</cdr:x>
      <cdr:y>0.15299</cdr:y>
    </cdr:from>
    <cdr:to>
      <cdr:x>0.44329</cdr:x>
      <cdr:y>0.26185</cdr:y>
    </cdr:to>
    <cdr:sp macro="" textlink="">
      <cdr:nvSpPr>
        <cdr:cNvPr id="19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1904115" y="391606"/>
          <a:ext cx="366671" cy="278648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175">
          <a:solidFill>
            <a:sysClr val="windowText" lastClr="000000"/>
          </a:solidFill>
          <a:round/>
          <a:headEnd/>
          <a:tailEnd type="arrow" w="med" len="med"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0.3719</cdr:x>
      <cdr:y>0.2605</cdr:y>
    </cdr:from>
    <cdr:to>
      <cdr:x>0.53723</cdr:x>
      <cdr:y>0.55852</cdr:y>
    </cdr:to>
    <cdr:sp macro="" textlink="">
      <cdr:nvSpPr>
        <cdr:cNvPr id="20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1905088" y="666798"/>
          <a:ext cx="846910" cy="762837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175">
          <a:solidFill>
            <a:sysClr val="windowText" lastClr="000000"/>
          </a:solidFill>
          <a:round/>
          <a:headEnd/>
          <a:tailEnd type="arrow" w="med" len="med"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0.49709</cdr:x>
      <cdr:y>0.93187</cdr:y>
    </cdr:from>
    <cdr:to>
      <cdr:x>0.92827</cdr:x>
      <cdr:y>0.99515</cdr:y>
    </cdr:to>
    <cdr:sp macro="" textlink="">
      <cdr:nvSpPr>
        <cdr:cNvPr id="21" name="pole tekstowe 1"/>
        <cdr:cNvSpPr txBox="1"/>
      </cdr:nvSpPr>
      <cdr:spPr>
        <a:xfrm xmlns:a="http://schemas.openxmlformats.org/drawingml/2006/main">
          <a:off x="2546350" y="2385294"/>
          <a:ext cx="2208755" cy="16197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2019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0.49821</cdr:x>
      <cdr:y>0.8667</cdr:y>
    </cdr:from>
    <cdr:to>
      <cdr:x>0.49833</cdr:x>
      <cdr:y>0.93959</cdr:y>
    </cdr:to>
    <cdr:sp macro="" textlink="">
      <cdr:nvSpPr>
        <cdr:cNvPr id="22" name="Łącznik prosty 21"/>
        <cdr:cNvSpPr/>
      </cdr:nvSpPr>
      <cdr:spPr bwMode="auto">
        <a:xfrm xmlns:a="http://schemas.openxmlformats.org/drawingml/2006/main" flipH="1" flipV="1">
          <a:off x="2552102" y="2218479"/>
          <a:ext cx="597" cy="186584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chemeClr val="tx1"/>
          </a:solidFill>
          <a:headEnd type="none" w="med" len="med"/>
          <a:tailEnd type="none" w="med" len="med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0.06337</cdr:x>
      <cdr:y>0.0639</cdr:y>
    </cdr:from>
    <cdr:to>
      <cdr:x>0.12174</cdr:x>
      <cdr:y>0.18421</cdr:y>
    </cdr:to>
    <cdr:sp macro="" textlink="">
      <cdr:nvSpPr>
        <cdr:cNvPr id="1351681" name="Teks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24736" y="165552"/>
          <a:ext cx="299115" cy="31169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800" b="0" i="0" u="none" strike="noStrike" baseline="0">
            <a:solidFill>
              <a:srgbClr val="000000"/>
            </a:solidFill>
            <a:latin typeface="Arial CE"/>
            <a:cs typeface="Arial CE"/>
          </a:endParaRPr>
        </a:p>
      </cdr:txBody>
    </cdr:sp>
  </cdr:relSizeAnchor>
  <cdr:relSizeAnchor xmlns:cdr="http://schemas.openxmlformats.org/drawingml/2006/chartDrawing">
    <cdr:from>
      <cdr:x>0.50952</cdr:x>
      <cdr:y>0.48622</cdr:y>
    </cdr:from>
    <cdr:to>
      <cdr:x>0.52447</cdr:x>
      <cdr:y>0.5397</cdr:y>
    </cdr:to>
    <cdr:sp macro="" textlink="">
      <cdr:nvSpPr>
        <cdr:cNvPr id="1351684" name="Text Box 307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32480" y="1407902"/>
          <a:ext cx="65467" cy="1548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18288" rIns="18288" bIns="18288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800" b="0" i="0" u="none" strike="noStrike" baseline="0">
              <a:solidFill>
                <a:srgbClr val="000000"/>
              </a:solidFill>
              <a:latin typeface="MS Sans Serif"/>
            </a:rPr>
            <a:t> </a:t>
          </a:r>
        </a:p>
      </cdr:txBody>
    </cdr:sp>
  </cdr:relSizeAnchor>
  <cdr:relSizeAnchor xmlns:cdr="http://schemas.openxmlformats.org/drawingml/2006/chartDrawing">
    <cdr:from>
      <cdr:x>0.0649</cdr:x>
      <cdr:y>0.92017</cdr:y>
    </cdr:from>
    <cdr:to>
      <cdr:x>0.49833</cdr:x>
      <cdr:y>0.9836</cdr:y>
    </cdr:to>
    <cdr:sp macro="" textlink="">
      <cdr:nvSpPr>
        <cdr:cNvPr id="5" name="pole tekstowe 1"/>
        <cdr:cNvSpPr txBox="1"/>
      </cdr:nvSpPr>
      <cdr:spPr>
        <a:xfrm xmlns:a="http://schemas.openxmlformats.org/drawingml/2006/main">
          <a:off x="332453" y="2273542"/>
          <a:ext cx="2220247" cy="15672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2018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0.08308</cdr:x>
      <cdr:y>0.92137</cdr:y>
    </cdr:from>
    <cdr:to>
      <cdr:x>0.45083</cdr:x>
      <cdr:y>1</cdr:y>
    </cdr:to>
    <cdr:sp macro="" textlink="">
      <cdr:nvSpPr>
        <cdr:cNvPr id="6" name="pole tekstowe 1"/>
        <cdr:cNvSpPr txBox="1"/>
      </cdr:nvSpPr>
      <cdr:spPr>
        <a:xfrm xmlns:a="http://schemas.openxmlformats.org/drawingml/2006/main">
          <a:off x="424455" y="2372591"/>
          <a:ext cx="1878863" cy="2024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0.49806</cdr:x>
      <cdr:y>0.85501</cdr:y>
    </cdr:from>
    <cdr:to>
      <cdr:x>0.49833</cdr:x>
      <cdr:y>0.92962</cdr:y>
    </cdr:to>
    <cdr:sp macro="" textlink="">
      <cdr:nvSpPr>
        <cdr:cNvPr id="7" name="Łącznik prosty 6"/>
        <cdr:cNvSpPr/>
      </cdr:nvSpPr>
      <cdr:spPr bwMode="auto">
        <a:xfrm xmlns:a="http://schemas.openxmlformats.org/drawingml/2006/main" flipH="1" flipV="1">
          <a:off x="2551354" y="2112548"/>
          <a:ext cx="1383" cy="18434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miter lim="800000"/>
          <a:headEnd type="none" w="med" len="med"/>
          <a:tailEnd type="none" w="med" len="med"/>
        </a:ln>
        <a:effectLst xmlns:a="http://schemas.openxmlformats.org/drawingml/2006/main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0.49957</cdr:x>
      <cdr:y>0.92017</cdr:y>
    </cdr:from>
    <cdr:to>
      <cdr:x>0.93084</cdr:x>
      <cdr:y>0.98991</cdr:y>
    </cdr:to>
    <cdr:sp macro="" textlink="">
      <cdr:nvSpPr>
        <cdr:cNvPr id="8" name="pole tekstowe 1"/>
        <cdr:cNvSpPr txBox="1"/>
      </cdr:nvSpPr>
      <cdr:spPr>
        <a:xfrm xmlns:a="http://schemas.openxmlformats.org/drawingml/2006/main">
          <a:off x="2559050" y="2273542"/>
          <a:ext cx="2209220" cy="17231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2019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D39804-E15D-40D9-A3F2-808567566B9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0d47203-49ec-4c8c-a442-62231931aab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6994945-3BD1-4F3C-9F51-EB50CE51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7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2020-01-13T15:33:00Z</cp:lastPrinted>
  <dcterms:created xsi:type="dcterms:W3CDTF">2018-07-11T11:36:00Z</dcterms:created>
  <dcterms:modified xsi:type="dcterms:W3CDTF">2020-01-14T15:55:00Z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