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D42F" w14:textId="62A3DA6F" w:rsidR="000B6B9D" w:rsidRPr="00057979" w:rsidRDefault="000B6B9D" w:rsidP="000B6B9D">
      <w:pPr>
        <w:pStyle w:val="tytuinformacji"/>
        <w:rPr>
          <w:sz w:val="32"/>
          <w:lang w:val="en-US"/>
        </w:rPr>
      </w:pPr>
      <w:r>
        <w:rPr>
          <w:shd w:val="clear" w:color="auto" w:fill="FFFFFF"/>
          <w:lang w:val="en-US"/>
        </w:rPr>
        <w:t xml:space="preserve">Methodology of international trade in services by enterprise characteristics </w:t>
      </w:r>
      <w:r w:rsidR="00981CD7">
        <w:rPr>
          <w:shd w:val="clear" w:color="auto" w:fill="FFFFFF"/>
          <w:lang w:val="en-US"/>
        </w:rPr>
        <w:t xml:space="preserve">(STEC) </w:t>
      </w:r>
      <w:r>
        <w:rPr>
          <w:shd w:val="clear" w:color="auto" w:fill="FFFFFF"/>
          <w:lang w:val="en-US"/>
        </w:rPr>
        <w:t>compilation</w:t>
      </w:r>
    </w:p>
    <w:p w14:paraId="3BF9D056" w14:textId="77777777" w:rsidR="000B6B9D" w:rsidRPr="0048517B" w:rsidRDefault="000B6B9D" w:rsidP="000B6B9D">
      <w:pPr>
        <w:rPr>
          <w:shd w:val="clear" w:color="auto" w:fill="FFFFFF"/>
          <w:lang w:val="en-US"/>
        </w:rPr>
      </w:pPr>
      <w:r w:rsidRPr="0048517B">
        <w:rPr>
          <w:shd w:val="clear" w:color="auto" w:fill="FFFFFF"/>
          <w:lang w:val="en-US"/>
        </w:rPr>
        <w:t>F</w:t>
      </w:r>
      <w:r>
        <w:rPr>
          <w:shd w:val="clear" w:color="auto" w:fill="FFFFFF"/>
          <w:lang w:val="en-US"/>
        </w:rPr>
        <w:t xml:space="preserve">oreign trade, understood as balance of </w:t>
      </w:r>
      <w:r w:rsidRPr="0048517B">
        <w:rPr>
          <w:shd w:val="clear" w:color="auto" w:fill="FFFFFF"/>
          <w:lang w:val="en-US"/>
        </w:rPr>
        <w:t xml:space="preserve">income </w:t>
      </w:r>
      <w:r>
        <w:rPr>
          <w:shd w:val="clear" w:color="auto" w:fill="FFFFFF"/>
          <w:lang w:val="en-US"/>
        </w:rPr>
        <w:t xml:space="preserve">flow </w:t>
      </w:r>
      <w:r w:rsidRPr="0048517B">
        <w:rPr>
          <w:shd w:val="clear" w:color="auto" w:fill="FFFFFF"/>
          <w:lang w:val="en-US"/>
        </w:rPr>
        <w:t>between residents and non-residents, constitutes, apart from consumption, investments and state expenditure for the purchase of goods, part of the gross national product (GNP). Compiling data on this phenomenon in a more comprehensive manner allows for a better understanding of the impact of foreign trade on economic development, employment and economic independence of individual countries.</w:t>
      </w:r>
    </w:p>
    <w:p w14:paraId="79BA5518" w14:textId="0887AA33" w:rsidR="000B6B9D" w:rsidRPr="0048517B" w:rsidRDefault="000B6B9D" w:rsidP="000B6B9D">
      <w:pPr>
        <w:rPr>
          <w:shd w:val="clear" w:color="auto" w:fill="FFFFFF"/>
          <w:lang w:val="en-US"/>
        </w:rPr>
      </w:pPr>
      <w:r w:rsidRPr="0048517B">
        <w:rPr>
          <w:shd w:val="clear" w:color="auto" w:fill="FFFFFF"/>
          <w:lang w:val="en-US"/>
        </w:rPr>
        <w:t xml:space="preserve">The growing demand for data on foreign trade obliges domestic and international institutions responsible for collecting, compiling and publishing statistical data to create </w:t>
      </w:r>
      <w:r>
        <w:rPr>
          <w:shd w:val="clear" w:color="auto" w:fill="FFFFFF"/>
          <w:lang w:val="en-US"/>
        </w:rPr>
        <w:t xml:space="preserve">more </w:t>
      </w:r>
      <w:r w:rsidRPr="0048517B">
        <w:rPr>
          <w:shd w:val="clear" w:color="auto" w:fill="FFFFFF"/>
          <w:lang w:val="en-US"/>
        </w:rPr>
        <w:t>and</w:t>
      </w:r>
      <w:r>
        <w:rPr>
          <w:shd w:val="clear" w:color="auto" w:fill="FFFFFF"/>
          <w:lang w:val="en-US"/>
        </w:rPr>
        <w:t xml:space="preserve"> more new</w:t>
      </w:r>
      <w:r w:rsidRPr="0048517B">
        <w:rPr>
          <w:shd w:val="clear" w:color="auto" w:fill="FFFFFF"/>
          <w:lang w:val="en-US"/>
        </w:rPr>
        <w:t xml:space="preserve"> compilations of</w:t>
      </w:r>
      <w:r>
        <w:rPr>
          <w:shd w:val="clear" w:color="auto" w:fill="FFFFFF"/>
          <w:lang w:val="en-US"/>
        </w:rPr>
        <w:t xml:space="preserve"> these data in order to better </w:t>
      </w:r>
      <w:r w:rsidRPr="0048517B">
        <w:rPr>
          <w:shd w:val="clear" w:color="auto" w:fill="FFFFFF"/>
          <w:lang w:val="en-US"/>
        </w:rPr>
        <w:t>reflect the economic situation of individual countries or their gr</w:t>
      </w:r>
      <w:r>
        <w:rPr>
          <w:shd w:val="clear" w:color="auto" w:fill="FFFFFF"/>
          <w:lang w:val="en-US"/>
        </w:rPr>
        <w:t>oups. An example of such compilation</w:t>
      </w:r>
      <w:r w:rsidRPr="0048517B">
        <w:rPr>
          <w:shd w:val="clear" w:color="auto" w:fill="FFFFFF"/>
          <w:lang w:val="en-US"/>
        </w:rPr>
        <w:t xml:space="preserve"> is the data set on foreign trade in goods by enterprise characteristics (TEC</w:t>
      </w:r>
      <w:bookmarkStart w:id="0" w:name="_Ref46133650"/>
      <w:r>
        <w:rPr>
          <w:rStyle w:val="Odwoanieprzypisudolnego"/>
          <w:shd w:val="clear" w:color="auto" w:fill="FFFFFF"/>
          <w:lang w:val="en-US"/>
        </w:rPr>
        <w:footnoteReference w:id="1"/>
      </w:r>
      <w:bookmarkEnd w:id="0"/>
      <w:r w:rsidRPr="0048517B">
        <w:rPr>
          <w:shd w:val="clear" w:color="auto" w:fill="FFFFFF"/>
          <w:lang w:val="en-US"/>
        </w:rPr>
        <w:t xml:space="preserve">). As part of the statistics of international trade in services, such a task is to be fulfilled by the project </w:t>
      </w:r>
      <w:r w:rsidRPr="002515D8">
        <w:rPr>
          <w:i/>
          <w:shd w:val="clear" w:color="auto" w:fill="FFFFFF"/>
          <w:lang w:val="en-US"/>
        </w:rPr>
        <w:t>Services trade by enterprise characteristic</w:t>
      </w:r>
      <w:r>
        <w:rPr>
          <w:shd w:val="clear" w:color="auto" w:fill="FFFFFF"/>
          <w:lang w:val="en-US"/>
        </w:rPr>
        <w:t>s (STEC). Both T</w:t>
      </w:r>
      <w:r w:rsidRPr="0048517B">
        <w:rPr>
          <w:shd w:val="clear" w:color="auto" w:fill="FFFFFF"/>
          <w:lang w:val="en-US"/>
        </w:rPr>
        <w:t>EC and STEC output data represent an important firs</w:t>
      </w:r>
      <w:r w:rsidR="00CC2EE9">
        <w:rPr>
          <w:shd w:val="clear" w:color="auto" w:fill="FFFFFF"/>
          <w:lang w:val="en-US"/>
        </w:rPr>
        <w:t xml:space="preserve">t step towards </w:t>
      </w:r>
      <w:r w:rsidRPr="0048517B">
        <w:rPr>
          <w:shd w:val="clear" w:color="auto" w:fill="FFFFFF"/>
          <w:lang w:val="en-US"/>
        </w:rPr>
        <w:t>integration of international trade and business stati</w:t>
      </w:r>
      <w:r w:rsidR="00CC2EE9">
        <w:rPr>
          <w:shd w:val="clear" w:color="auto" w:fill="FFFFFF"/>
          <w:lang w:val="en-US"/>
        </w:rPr>
        <w:t xml:space="preserve">stics. Plans for </w:t>
      </w:r>
      <w:r>
        <w:rPr>
          <w:shd w:val="clear" w:color="auto" w:fill="FFFFFF"/>
          <w:lang w:val="en-US"/>
        </w:rPr>
        <w:t>compilation</w:t>
      </w:r>
      <w:r w:rsidRPr="0048517B">
        <w:rPr>
          <w:shd w:val="clear" w:color="auto" w:fill="FFFFFF"/>
          <w:lang w:val="en-US"/>
        </w:rPr>
        <w:t xml:space="preserve"> of STEC tables are included in the Framework Regulation Integrating Economic Sta</w:t>
      </w:r>
      <w:r>
        <w:rPr>
          <w:shd w:val="clear" w:color="auto" w:fill="FFFFFF"/>
          <w:lang w:val="en-US"/>
        </w:rPr>
        <w:t xml:space="preserve">tistics (FRIBS), which is currently </w:t>
      </w:r>
      <w:r w:rsidRPr="0048517B">
        <w:rPr>
          <w:shd w:val="clear" w:color="auto" w:fill="FFFFFF"/>
          <w:lang w:val="en-US"/>
        </w:rPr>
        <w:t>processed in the European Parliament.</w:t>
      </w:r>
    </w:p>
    <w:p w14:paraId="7C5F8276" w14:textId="77777777" w:rsidR="000B6B9D" w:rsidRPr="0015516C" w:rsidRDefault="000B6B9D" w:rsidP="000B6B9D">
      <w:pPr>
        <w:pStyle w:val="Nagwek1"/>
        <w:rPr>
          <w:lang w:val="en-US"/>
        </w:rPr>
      </w:pPr>
      <w:r>
        <w:rPr>
          <w:lang w:val="en-US"/>
        </w:rPr>
        <w:t>Objective</w:t>
      </w:r>
    </w:p>
    <w:p w14:paraId="771CD5BC" w14:textId="1DBF6C23" w:rsidR="000B6B9D" w:rsidRPr="00A82791" w:rsidRDefault="000B6B9D" w:rsidP="000B6B9D">
      <w:pPr>
        <w:rPr>
          <w:shd w:val="clear" w:color="auto" w:fill="FFFFFF"/>
          <w:lang w:val="en-US"/>
        </w:rPr>
      </w:pPr>
      <w:r>
        <w:rPr>
          <w:shd w:val="clear" w:color="auto" w:fill="FFFFFF"/>
          <w:lang w:val="en-US"/>
        </w:rPr>
        <w:t>The general objective</w:t>
      </w:r>
      <w:r w:rsidRPr="00A82791">
        <w:rPr>
          <w:shd w:val="clear" w:color="auto" w:fill="FFFFFF"/>
          <w:lang w:val="en-US"/>
        </w:rPr>
        <w:t xml:space="preserve"> of the projects "</w:t>
      </w:r>
      <w:r>
        <w:rPr>
          <w:shd w:val="clear" w:color="auto" w:fill="FFFFFF"/>
          <w:lang w:val="en-US"/>
        </w:rPr>
        <w:t xml:space="preserve">Statistics on </w:t>
      </w:r>
      <w:r w:rsidRPr="00A82791">
        <w:rPr>
          <w:shd w:val="clear" w:color="auto" w:fill="FFFFFF"/>
          <w:lang w:val="en-US"/>
        </w:rPr>
        <w:t xml:space="preserve">services </w:t>
      </w:r>
      <w:r>
        <w:rPr>
          <w:shd w:val="clear" w:color="auto" w:fill="FFFFFF"/>
          <w:lang w:val="en-US"/>
        </w:rPr>
        <w:t>trade by</w:t>
      </w:r>
      <w:r w:rsidRPr="00A82791">
        <w:rPr>
          <w:shd w:val="clear" w:color="auto" w:fill="FFFFFF"/>
          <w:lang w:val="en-US"/>
        </w:rPr>
        <w:t xml:space="preserve"> enterprise characteristics (STEC)", </w:t>
      </w:r>
      <w:r>
        <w:rPr>
          <w:shd w:val="clear" w:color="auto" w:fill="FFFFFF"/>
          <w:lang w:val="en-US"/>
        </w:rPr>
        <w:t xml:space="preserve">carried out </w:t>
      </w:r>
      <w:r w:rsidRPr="00A82791">
        <w:rPr>
          <w:shd w:val="clear" w:color="auto" w:fill="FFFFFF"/>
          <w:lang w:val="en-US"/>
        </w:rPr>
        <w:t>by Statistic</w:t>
      </w:r>
      <w:r>
        <w:rPr>
          <w:shd w:val="clear" w:color="auto" w:fill="FFFFFF"/>
          <w:lang w:val="en-US"/>
        </w:rPr>
        <w:t>s Poland</w:t>
      </w:r>
      <w:r w:rsidRPr="00A82791">
        <w:rPr>
          <w:shd w:val="clear" w:color="auto" w:fill="FFFFFF"/>
          <w:lang w:val="en-US"/>
        </w:rPr>
        <w:t xml:space="preserve"> </w:t>
      </w:r>
      <w:r>
        <w:rPr>
          <w:shd w:val="clear" w:color="auto" w:fill="FFFFFF"/>
          <w:lang w:val="en-US"/>
        </w:rPr>
        <w:t xml:space="preserve">within the grant </w:t>
      </w:r>
      <w:r w:rsidRPr="00A82791">
        <w:rPr>
          <w:shd w:val="clear" w:color="auto" w:fill="FFFFFF"/>
          <w:lang w:val="en-US"/>
        </w:rPr>
        <w:t>agreements of the European Comm</w:t>
      </w:r>
      <w:r>
        <w:rPr>
          <w:shd w:val="clear" w:color="auto" w:fill="FFFFFF"/>
          <w:lang w:val="en-US"/>
        </w:rPr>
        <w:t>ission, was to develop data on</w:t>
      </w:r>
      <w:r w:rsidRPr="00A82791">
        <w:rPr>
          <w:shd w:val="clear" w:color="auto" w:fill="FFFFFF"/>
          <w:lang w:val="en-US"/>
        </w:rPr>
        <w:t xml:space="preserve"> international trade in services statistics </w:t>
      </w:r>
      <w:r>
        <w:rPr>
          <w:shd w:val="clear" w:color="auto" w:fill="FFFFFF"/>
          <w:lang w:val="en-US"/>
        </w:rPr>
        <w:t>by</w:t>
      </w:r>
      <w:r w:rsidRPr="00A82791">
        <w:rPr>
          <w:shd w:val="clear" w:color="auto" w:fill="FFFFFF"/>
          <w:lang w:val="en-US"/>
        </w:rPr>
        <w:t xml:space="preserve"> enterprise characteristics (STEC). The projects </w:t>
      </w:r>
      <w:r>
        <w:rPr>
          <w:shd w:val="clear" w:color="auto" w:fill="FFFFFF"/>
          <w:lang w:val="en-US"/>
        </w:rPr>
        <w:t>were</w:t>
      </w:r>
      <w:r w:rsidRPr="00A82791">
        <w:rPr>
          <w:shd w:val="clear" w:color="auto" w:fill="FFFFFF"/>
          <w:lang w:val="en-US"/>
        </w:rPr>
        <w:t xml:space="preserve"> of a research nature, </w:t>
      </w:r>
      <w:r>
        <w:rPr>
          <w:shd w:val="clear" w:color="auto" w:fill="FFFFFF"/>
          <w:lang w:val="en-US"/>
        </w:rPr>
        <w:t>within whi</w:t>
      </w:r>
      <w:r w:rsidRPr="00A82791">
        <w:rPr>
          <w:shd w:val="clear" w:color="auto" w:fill="FFFFFF"/>
          <w:lang w:val="en-US"/>
        </w:rPr>
        <w:t xml:space="preserve">ch authors were </w:t>
      </w:r>
      <w:r>
        <w:rPr>
          <w:shd w:val="clear" w:color="auto" w:fill="FFFFFF"/>
          <w:lang w:val="en-US"/>
        </w:rPr>
        <w:t xml:space="preserve">obliged to </w:t>
      </w:r>
      <w:r w:rsidRPr="00A82791">
        <w:rPr>
          <w:shd w:val="clear" w:color="auto" w:fill="FFFFFF"/>
          <w:lang w:val="en-US"/>
        </w:rPr>
        <w:t>develop and check the methodology of data on international trade in services</w:t>
      </w:r>
      <w:r>
        <w:rPr>
          <w:shd w:val="clear" w:color="auto" w:fill="FFFFFF"/>
          <w:lang w:val="en-US"/>
        </w:rPr>
        <w:t xml:space="preserve"> by enterprise </w:t>
      </w:r>
      <w:r w:rsidRPr="00A82791">
        <w:rPr>
          <w:shd w:val="clear" w:color="auto" w:fill="FFFFFF"/>
          <w:lang w:val="en-US"/>
        </w:rPr>
        <w:t>characteristics</w:t>
      </w:r>
      <w:r w:rsidRPr="005B0718">
        <w:rPr>
          <w:shd w:val="clear" w:color="auto" w:fill="FFFFFF"/>
          <w:lang w:val="en-US"/>
        </w:rPr>
        <w:t xml:space="preserve"> </w:t>
      </w:r>
      <w:r w:rsidRPr="00A82791">
        <w:rPr>
          <w:shd w:val="clear" w:color="auto" w:fill="FFFFFF"/>
          <w:lang w:val="en-US"/>
        </w:rPr>
        <w:t>comp</w:t>
      </w:r>
      <w:r>
        <w:rPr>
          <w:shd w:val="clear" w:color="auto" w:fill="FFFFFF"/>
          <w:lang w:val="en-US"/>
        </w:rPr>
        <w:t>ilation</w:t>
      </w:r>
      <w:r w:rsidRPr="00A82791">
        <w:rPr>
          <w:shd w:val="clear" w:color="auto" w:fill="FFFFFF"/>
          <w:lang w:val="en-US"/>
        </w:rPr>
        <w:t>.</w:t>
      </w:r>
    </w:p>
    <w:p w14:paraId="28408AA7" w14:textId="179F4EA5" w:rsidR="000B6B9D" w:rsidRPr="00B21A2D" w:rsidRDefault="000B6B9D" w:rsidP="000B6B9D">
      <w:pPr>
        <w:rPr>
          <w:shd w:val="clear" w:color="auto" w:fill="FFFFFF"/>
          <w:lang w:val="en-US"/>
        </w:rPr>
      </w:pPr>
      <w:r>
        <w:rPr>
          <w:shd w:val="clear" w:color="auto" w:fill="FFFFFF"/>
          <w:lang w:val="en-US"/>
        </w:rPr>
        <w:t>The methodology described in this</w:t>
      </w:r>
      <w:r w:rsidRPr="00A82791">
        <w:rPr>
          <w:shd w:val="clear" w:color="auto" w:fill="FFFFFF"/>
          <w:lang w:val="en-US"/>
        </w:rPr>
        <w:t xml:space="preserve"> note was used in two editions of the project, </w:t>
      </w:r>
      <w:r w:rsidR="00CC2EE9">
        <w:rPr>
          <w:shd w:val="clear" w:color="auto" w:fill="FFFFFF"/>
          <w:lang w:val="en-US"/>
        </w:rPr>
        <w:t>whose objective</w:t>
      </w:r>
      <w:r>
        <w:rPr>
          <w:shd w:val="clear" w:color="auto" w:fill="FFFFFF"/>
          <w:lang w:val="en-US"/>
        </w:rPr>
        <w:t xml:space="preserve"> </w:t>
      </w:r>
      <w:r w:rsidRPr="00A82791">
        <w:rPr>
          <w:shd w:val="clear" w:color="auto" w:fill="FFFFFF"/>
          <w:lang w:val="en-US"/>
        </w:rPr>
        <w:t xml:space="preserve">was to develop databases on international trade in services </w:t>
      </w:r>
      <w:r>
        <w:rPr>
          <w:shd w:val="clear" w:color="auto" w:fill="FFFFFF"/>
          <w:lang w:val="en-US"/>
        </w:rPr>
        <w:t>by</w:t>
      </w:r>
      <w:r w:rsidRPr="00A82791">
        <w:rPr>
          <w:shd w:val="clear" w:color="auto" w:fill="FFFFFF"/>
          <w:lang w:val="en-US"/>
        </w:rPr>
        <w:t xml:space="preserve"> enterprise characteristics (STEC) for 2016 and 2018.</w:t>
      </w:r>
    </w:p>
    <w:p w14:paraId="4F13FE29" w14:textId="77777777" w:rsidR="000B6B9D" w:rsidRPr="00655365" w:rsidRDefault="000B6B9D" w:rsidP="000B6B9D">
      <w:pPr>
        <w:pStyle w:val="Nagwek1"/>
        <w:rPr>
          <w:color w:val="BFBFBF" w:themeColor="background1" w:themeShade="BF"/>
          <w:lang w:val="en-US"/>
        </w:rPr>
      </w:pPr>
      <w:r w:rsidRPr="00B21A2D">
        <w:rPr>
          <w:lang w:val="en-US"/>
        </w:rPr>
        <w:t xml:space="preserve">Description of the methodology </w:t>
      </w:r>
    </w:p>
    <w:p w14:paraId="4D0A4E66" w14:textId="77777777" w:rsidR="000B6B9D" w:rsidRPr="00B21A2D" w:rsidRDefault="000B6B9D" w:rsidP="000B6B9D">
      <w:pPr>
        <w:rPr>
          <w:noProof/>
          <w:lang w:val="en-US" w:eastAsia="pl-PL"/>
        </w:rPr>
      </w:pPr>
      <w:r>
        <w:rPr>
          <w:noProof/>
          <w:lang w:val="en-US" w:eastAsia="pl-PL"/>
        </w:rPr>
        <w:t>In the process of STEC tables compilation, t</w:t>
      </w:r>
      <w:r w:rsidRPr="00B21A2D">
        <w:rPr>
          <w:noProof/>
          <w:lang w:val="en-US" w:eastAsia="pl-PL"/>
        </w:rPr>
        <w:t xml:space="preserve">he following </w:t>
      </w:r>
      <w:r>
        <w:rPr>
          <w:noProof/>
          <w:lang w:val="en-US" w:eastAsia="pl-PL"/>
        </w:rPr>
        <w:t xml:space="preserve">data </w:t>
      </w:r>
      <w:r w:rsidRPr="00B21A2D">
        <w:rPr>
          <w:noProof/>
          <w:lang w:val="en-US" w:eastAsia="pl-PL"/>
        </w:rPr>
        <w:t xml:space="preserve">sources available for official </w:t>
      </w:r>
      <w:r>
        <w:rPr>
          <w:noProof/>
          <w:lang w:val="en-US" w:eastAsia="pl-PL"/>
        </w:rPr>
        <w:t xml:space="preserve"> Polish </w:t>
      </w:r>
      <w:r w:rsidRPr="00B21A2D">
        <w:rPr>
          <w:noProof/>
          <w:lang w:val="en-US" w:eastAsia="pl-PL"/>
        </w:rPr>
        <w:t>statistics were used:</w:t>
      </w:r>
    </w:p>
    <w:p w14:paraId="1F6E814A" w14:textId="77777777" w:rsidR="000B6B9D" w:rsidRDefault="000B6B9D" w:rsidP="000B6B9D">
      <w:pPr>
        <w:pStyle w:val="Akapitzlist"/>
        <w:numPr>
          <w:ilvl w:val="0"/>
          <w:numId w:val="7"/>
        </w:numPr>
        <w:ind w:left="284" w:hanging="284"/>
        <w:rPr>
          <w:noProof/>
          <w:lang w:val="en-US" w:eastAsia="pl-PL"/>
        </w:rPr>
      </w:pPr>
      <w:r w:rsidRPr="004C3917">
        <w:rPr>
          <w:noProof/>
          <w:lang w:val="en-US" w:eastAsia="pl-PL"/>
        </w:rPr>
        <w:t xml:space="preserve">to calculate values of services provided to non-residents and acquired from non-residents -  </w:t>
      </w:r>
      <w:r w:rsidRPr="004C3917">
        <w:rPr>
          <w:i/>
          <w:noProof/>
          <w:lang w:val="en-US" w:eastAsia="pl-PL"/>
        </w:rPr>
        <w:t>International trade in services</w:t>
      </w:r>
      <w:r w:rsidRPr="004C3917">
        <w:rPr>
          <w:noProof/>
          <w:lang w:val="en-US" w:eastAsia="pl-PL"/>
        </w:rPr>
        <w:t xml:space="preserve"> survey based on data </w:t>
      </w:r>
      <w:r>
        <w:rPr>
          <w:noProof/>
          <w:lang w:val="en-US" w:eastAsia="pl-PL"/>
        </w:rPr>
        <w:t>collected on</w:t>
      </w:r>
      <w:r w:rsidRPr="004C3917">
        <w:rPr>
          <w:noProof/>
          <w:lang w:val="en-US" w:eastAsia="pl-PL"/>
        </w:rPr>
        <w:t xml:space="preserve"> “Quarterly questionnaire on international trade in services”</w:t>
      </w:r>
      <w:r w:rsidRPr="004C3917">
        <w:rPr>
          <w:i/>
          <w:noProof/>
          <w:lang w:val="en-US" w:eastAsia="pl-PL"/>
        </w:rPr>
        <w:t xml:space="preserve"> </w:t>
      </w:r>
      <w:r w:rsidRPr="004C3917">
        <w:rPr>
          <w:noProof/>
          <w:lang w:val="en-US" w:eastAsia="pl-PL"/>
        </w:rPr>
        <w:t>(DNU-K) and “Annual questionnaire on international trade in services” (DNU-R);</w:t>
      </w:r>
    </w:p>
    <w:p w14:paraId="6D62AC60" w14:textId="77777777" w:rsidR="000B6B9D" w:rsidRDefault="000B6B9D" w:rsidP="000B6B9D">
      <w:pPr>
        <w:pStyle w:val="Akapitzlist"/>
        <w:numPr>
          <w:ilvl w:val="0"/>
          <w:numId w:val="7"/>
        </w:numPr>
        <w:ind w:left="284" w:hanging="284"/>
        <w:rPr>
          <w:noProof/>
          <w:lang w:val="en-US" w:eastAsia="pl-PL"/>
        </w:rPr>
      </w:pPr>
      <w:r>
        <w:rPr>
          <w:noProof/>
          <w:lang w:val="en-US" w:eastAsia="pl-PL"/>
        </w:rPr>
        <w:t xml:space="preserve">to calculate </w:t>
      </w:r>
      <w:r w:rsidRPr="004C3917">
        <w:rPr>
          <w:noProof/>
          <w:lang w:val="en-US" w:eastAsia="pl-PL"/>
        </w:rPr>
        <w:t xml:space="preserve">export and </w:t>
      </w:r>
      <w:r>
        <w:rPr>
          <w:noProof/>
          <w:lang w:val="en-US" w:eastAsia="pl-PL"/>
        </w:rPr>
        <w:t>import intensity ratios</w:t>
      </w:r>
      <w:r w:rsidRPr="004C3917">
        <w:rPr>
          <w:noProof/>
          <w:lang w:val="en-US" w:eastAsia="pl-PL"/>
        </w:rPr>
        <w:t>:</w:t>
      </w:r>
    </w:p>
    <w:p w14:paraId="7D7BDD6D" w14:textId="77777777" w:rsidR="000B6B9D" w:rsidRDefault="000B6B9D" w:rsidP="000B6B9D">
      <w:pPr>
        <w:pStyle w:val="Akapitzlist"/>
        <w:numPr>
          <w:ilvl w:val="1"/>
          <w:numId w:val="7"/>
        </w:numPr>
        <w:ind w:left="567" w:hanging="283"/>
        <w:rPr>
          <w:noProof/>
          <w:lang w:val="en-US" w:eastAsia="pl-PL"/>
        </w:rPr>
      </w:pPr>
      <w:r w:rsidRPr="004C3917">
        <w:rPr>
          <w:noProof/>
          <w:lang w:val="en-US" w:eastAsia="pl-PL"/>
        </w:rPr>
        <w:t xml:space="preserve">annual survey </w:t>
      </w:r>
      <w:r w:rsidRPr="004C3917">
        <w:rPr>
          <w:i/>
          <w:noProof/>
          <w:lang w:val="en-US" w:eastAsia="pl-PL"/>
        </w:rPr>
        <w:t>Current financial results and outlays on fixed assets of enterprises as well as financial assets and liabilities</w:t>
      </w:r>
      <w:r w:rsidRPr="004C3917">
        <w:rPr>
          <w:noProof/>
          <w:lang w:val="en-US" w:eastAsia="pl-PL"/>
        </w:rPr>
        <w:t xml:space="preserve"> </w:t>
      </w:r>
      <w:r>
        <w:rPr>
          <w:noProof/>
          <w:lang w:val="en-US" w:eastAsia="pl-PL"/>
        </w:rPr>
        <w:t>based on data collected on</w:t>
      </w:r>
      <w:r w:rsidRPr="004C3917">
        <w:rPr>
          <w:noProof/>
          <w:lang w:val="en-US" w:eastAsia="pl-PL"/>
        </w:rPr>
        <w:t xml:space="preserve"> </w:t>
      </w:r>
      <w:r>
        <w:rPr>
          <w:noProof/>
          <w:lang w:val="en-US" w:eastAsia="pl-PL"/>
        </w:rPr>
        <w:t>“</w:t>
      </w:r>
      <w:r w:rsidRPr="004C3917">
        <w:rPr>
          <w:noProof/>
          <w:lang w:val="en-US" w:eastAsia="pl-PL"/>
        </w:rPr>
        <w:t>Report on revenues, costs and financial resu</w:t>
      </w:r>
      <w:r>
        <w:rPr>
          <w:noProof/>
          <w:lang w:val="en-US" w:eastAsia="pl-PL"/>
        </w:rPr>
        <w:t>lts and outlays on fixed assets”</w:t>
      </w:r>
      <w:r w:rsidRPr="00695781">
        <w:rPr>
          <w:noProof/>
          <w:lang w:val="en-US" w:eastAsia="pl-PL"/>
        </w:rPr>
        <w:t xml:space="preserve"> </w:t>
      </w:r>
      <w:r>
        <w:rPr>
          <w:noProof/>
          <w:lang w:val="en-US" w:eastAsia="pl-PL"/>
        </w:rPr>
        <w:t>(</w:t>
      </w:r>
      <w:r w:rsidRPr="004C3917">
        <w:rPr>
          <w:noProof/>
          <w:lang w:val="en-US" w:eastAsia="pl-PL"/>
        </w:rPr>
        <w:t>F-01/I-01</w:t>
      </w:r>
      <w:r>
        <w:rPr>
          <w:noProof/>
          <w:lang w:val="en-US" w:eastAsia="pl-PL"/>
        </w:rPr>
        <w:t>),</w:t>
      </w:r>
    </w:p>
    <w:p w14:paraId="13EA96DC" w14:textId="77777777" w:rsidR="000B6B9D" w:rsidRDefault="000B6B9D" w:rsidP="000B6B9D">
      <w:pPr>
        <w:pStyle w:val="Akapitzlist"/>
        <w:numPr>
          <w:ilvl w:val="1"/>
          <w:numId w:val="7"/>
        </w:numPr>
        <w:ind w:left="567" w:hanging="283"/>
        <w:rPr>
          <w:noProof/>
          <w:lang w:val="en-US" w:eastAsia="pl-PL"/>
        </w:rPr>
      </w:pPr>
      <w:r w:rsidRPr="00695781">
        <w:rPr>
          <w:noProof/>
          <w:lang w:val="en-US" w:eastAsia="pl-PL"/>
        </w:rPr>
        <w:t xml:space="preserve">annual survey </w:t>
      </w:r>
      <w:r w:rsidRPr="00695781">
        <w:rPr>
          <w:i/>
          <w:noProof/>
          <w:lang w:val="en-US" w:eastAsia="pl-PL"/>
        </w:rPr>
        <w:t>Higher education institutions and their finances</w:t>
      </w:r>
      <w:r w:rsidRPr="00695781">
        <w:rPr>
          <w:noProof/>
          <w:lang w:val="en-US" w:eastAsia="pl-PL"/>
        </w:rPr>
        <w:t xml:space="preserve"> </w:t>
      </w:r>
      <w:r>
        <w:rPr>
          <w:noProof/>
          <w:lang w:val="en-US" w:eastAsia="pl-PL"/>
        </w:rPr>
        <w:t>based on data collected on</w:t>
      </w:r>
      <w:r w:rsidRPr="00695781">
        <w:rPr>
          <w:noProof/>
          <w:lang w:val="en-US" w:eastAsia="pl-PL"/>
        </w:rPr>
        <w:t xml:space="preserve"> </w:t>
      </w:r>
      <w:r>
        <w:rPr>
          <w:noProof/>
          <w:lang w:val="en-US" w:eastAsia="pl-PL"/>
        </w:rPr>
        <w:t>“</w:t>
      </w:r>
      <w:r w:rsidRPr="00695781">
        <w:rPr>
          <w:noProof/>
          <w:lang w:val="en-US" w:eastAsia="pl-PL"/>
        </w:rPr>
        <w:t>Report on revenues, costs and the financial result o</w:t>
      </w:r>
      <w:r>
        <w:rPr>
          <w:noProof/>
          <w:lang w:val="en-US" w:eastAsia="pl-PL"/>
        </w:rPr>
        <w:t>f higher education institutions”</w:t>
      </w:r>
      <w:r w:rsidRPr="00695781">
        <w:rPr>
          <w:noProof/>
          <w:lang w:val="en-US" w:eastAsia="pl-PL"/>
        </w:rPr>
        <w:t xml:space="preserve"> </w:t>
      </w:r>
      <w:r>
        <w:rPr>
          <w:noProof/>
          <w:lang w:val="en-US" w:eastAsia="pl-PL"/>
        </w:rPr>
        <w:t>(</w:t>
      </w:r>
      <w:r w:rsidRPr="00695781">
        <w:rPr>
          <w:noProof/>
          <w:lang w:val="en-US" w:eastAsia="pl-PL"/>
        </w:rPr>
        <w:t>F-01/s</w:t>
      </w:r>
      <w:r>
        <w:rPr>
          <w:noProof/>
          <w:lang w:val="en-US" w:eastAsia="pl-PL"/>
        </w:rPr>
        <w:t>),</w:t>
      </w:r>
    </w:p>
    <w:p w14:paraId="29AA3DEE" w14:textId="77777777" w:rsidR="000B6B9D" w:rsidRDefault="000B6B9D" w:rsidP="000B6B9D">
      <w:pPr>
        <w:pStyle w:val="Akapitzlist"/>
        <w:numPr>
          <w:ilvl w:val="1"/>
          <w:numId w:val="7"/>
        </w:numPr>
        <w:ind w:left="567" w:hanging="283"/>
        <w:rPr>
          <w:noProof/>
          <w:lang w:val="en-US" w:eastAsia="pl-PL"/>
        </w:rPr>
      </w:pPr>
      <w:r w:rsidRPr="00695781">
        <w:rPr>
          <w:noProof/>
          <w:lang w:val="en-US" w:eastAsia="pl-PL"/>
        </w:rPr>
        <w:t xml:space="preserve">annual </w:t>
      </w:r>
      <w:r>
        <w:rPr>
          <w:noProof/>
          <w:lang w:val="en-US" w:eastAsia="pl-PL"/>
        </w:rPr>
        <w:t xml:space="preserve">survey </w:t>
      </w:r>
      <w:r w:rsidRPr="00695781">
        <w:rPr>
          <w:i/>
          <w:noProof/>
          <w:lang w:val="en-US" w:eastAsia="pl-PL"/>
        </w:rPr>
        <w:t>Financial survey of cultural institutions</w:t>
      </w:r>
      <w:r w:rsidRPr="00695781">
        <w:rPr>
          <w:noProof/>
          <w:lang w:val="en-US" w:eastAsia="pl-PL"/>
        </w:rPr>
        <w:t xml:space="preserve"> </w:t>
      </w:r>
      <w:r>
        <w:rPr>
          <w:noProof/>
          <w:lang w:val="en-US" w:eastAsia="pl-PL"/>
        </w:rPr>
        <w:t>based on data collected on</w:t>
      </w:r>
      <w:r w:rsidRPr="00695781">
        <w:rPr>
          <w:noProof/>
          <w:lang w:val="en-US" w:eastAsia="pl-PL"/>
        </w:rPr>
        <w:t xml:space="preserve"> </w:t>
      </w:r>
      <w:r>
        <w:rPr>
          <w:noProof/>
          <w:lang w:val="en-US" w:eastAsia="pl-PL"/>
        </w:rPr>
        <w:t>“</w:t>
      </w:r>
      <w:r w:rsidRPr="00695781">
        <w:rPr>
          <w:noProof/>
          <w:lang w:val="en-US" w:eastAsia="pl-PL"/>
        </w:rPr>
        <w:t>Report on finances</w:t>
      </w:r>
      <w:r>
        <w:rPr>
          <w:noProof/>
          <w:lang w:val="en-US" w:eastAsia="pl-PL"/>
        </w:rPr>
        <w:t xml:space="preserve"> of</w:t>
      </w:r>
      <w:r w:rsidRPr="00695781">
        <w:rPr>
          <w:noProof/>
          <w:lang w:val="en-US" w:eastAsia="pl-PL"/>
        </w:rPr>
        <w:t xml:space="preserve"> cultural institutions</w:t>
      </w:r>
      <w:r>
        <w:rPr>
          <w:noProof/>
          <w:lang w:val="en-US" w:eastAsia="pl-PL"/>
        </w:rPr>
        <w:t>”</w:t>
      </w:r>
      <w:r w:rsidRPr="00695781">
        <w:rPr>
          <w:noProof/>
          <w:lang w:val="en-US" w:eastAsia="pl-PL"/>
        </w:rPr>
        <w:t xml:space="preserve"> </w:t>
      </w:r>
      <w:r>
        <w:rPr>
          <w:noProof/>
          <w:lang w:val="en-US" w:eastAsia="pl-PL"/>
        </w:rPr>
        <w:t>(</w:t>
      </w:r>
      <w:r w:rsidRPr="00695781">
        <w:rPr>
          <w:noProof/>
          <w:lang w:val="en-US" w:eastAsia="pl-PL"/>
        </w:rPr>
        <w:t>F-02/dk</w:t>
      </w:r>
      <w:r>
        <w:rPr>
          <w:noProof/>
          <w:lang w:val="en-US" w:eastAsia="pl-PL"/>
        </w:rPr>
        <w:t>),</w:t>
      </w:r>
    </w:p>
    <w:p w14:paraId="03169C4C" w14:textId="77777777" w:rsidR="000B6B9D" w:rsidRDefault="000B6B9D" w:rsidP="000B6B9D">
      <w:pPr>
        <w:pStyle w:val="Akapitzlist"/>
        <w:numPr>
          <w:ilvl w:val="1"/>
          <w:numId w:val="7"/>
        </w:numPr>
        <w:ind w:left="567" w:hanging="283"/>
        <w:rPr>
          <w:noProof/>
          <w:lang w:val="en-US" w:eastAsia="pl-PL"/>
        </w:rPr>
      </w:pPr>
      <w:r w:rsidRPr="00695781">
        <w:rPr>
          <w:noProof/>
          <w:lang w:val="en-US" w:eastAsia="pl-PL"/>
        </w:rPr>
        <w:t xml:space="preserve">annual survey </w:t>
      </w:r>
      <w:r w:rsidRPr="00695781">
        <w:rPr>
          <w:i/>
          <w:noProof/>
          <w:lang w:val="en-US" w:eastAsia="pl-PL"/>
        </w:rPr>
        <w:t>Care of children and young people</w:t>
      </w:r>
      <w:r w:rsidRPr="00695781">
        <w:rPr>
          <w:noProof/>
          <w:lang w:val="en-US" w:eastAsia="pl-PL"/>
        </w:rPr>
        <w:t xml:space="preserve"> </w:t>
      </w:r>
      <w:r>
        <w:rPr>
          <w:noProof/>
          <w:lang w:val="en-US" w:eastAsia="pl-PL"/>
        </w:rPr>
        <w:t>based on data collected</w:t>
      </w:r>
      <w:r w:rsidRPr="00695781">
        <w:rPr>
          <w:noProof/>
          <w:lang w:val="en-US" w:eastAsia="pl-PL"/>
        </w:rPr>
        <w:t xml:space="preserve"> on </w:t>
      </w:r>
      <w:r>
        <w:rPr>
          <w:noProof/>
          <w:lang w:val="en-US" w:eastAsia="pl-PL"/>
        </w:rPr>
        <w:t>“</w:t>
      </w:r>
      <w:r w:rsidRPr="00695781">
        <w:rPr>
          <w:noProof/>
          <w:lang w:val="en-US" w:eastAsia="pl-PL"/>
        </w:rPr>
        <w:t>Report on revenues, costs and the financial result of schools and other educati</w:t>
      </w:r>
      <w:r>
        <w:rPr>
          <w:noProof/>
          <w:lang w:val="en-US" w:eastAsia="pl-PL"/>
        </w:rPr>
        <w:t>onal institutions” (</w:t>
      </w:r>
      <w:r w:rsidRPr="00695781">
        <w:rPr>
          <w:noProof/>
          <w:lang w:val="en-US" w:eastAsia="pl-PL"/>
        </w:rPr>
        <w:t>F-01/o</w:t>
      </w:r>
      <w:r>
        <w:rPr>
          <w:noProof/>
          <w:lang w:val="en-US" w:eastAsia="pl-PL"/>
        </w:rPr>
        <w:t>),</w:t>
      </w:r>
    </w:p>
    <w:p w14:paraId="1576B201" w14:textId="77777777" w:rsidR="000B6B9D" w:rsidRDefault="000B6B9D" w:rsidP="000B6B9D">
      <w:pPr>
        <w:pStyle w:val="Akapitzlist"/>
        <w:numPr>
          <w:ilvl w:val="1"/>
          <w:numId w:val="7"/>
        </w:numPr>
        <w:ind w:left="567" w:hanging="283"/>
        <w:rPr>
          <w:noProof/>
          <w:lang w:val="en-US" w:eastAsia="pl-PL"/>
        </w:rPr>
      </w:pPr>
      <w:r w:rsidRPr="00695781">
        <w:rPr>
          <w:i/>
          <w:noProof/>
          <w:lang w:val="en-US" w:eastAsia="pl-PL"/>
        </w:rPr>
        <w:t>Annual business survey of enterprises</w:t>
      </w:r>
      <w:r w:rsidRPr="00695781">
        <w:rPr>
          <w:noProof/>
          <w:lang w:val="en-US" w:eastAsia="pl-PL"/>
        </w:rPr>
        <w:t xml:space="preserve"> </w:t>
      </w:r>
      <w:r>
        <w:rPr>
          <w:noProof/>
          <w:lang w:val="en-US" w:eastAsia="pl-PL"/>
        </w:rPr>
        <w:t>based on data collected on</w:t>
      </w:r>
      <w:r w:rsidRPr="00695781">
        <w:rPr>
          <w:noProof/>
          <w:lang w:val="en-US" w:eastAsia="pl-PL"/>
        </w:rPr>
        <w:t>:</w:t>
      </w:r>
    </w:p>
    <w:p w14:paraId="05979228" w14:textId="77777777" w:rsidR="000B6B9D" w:rsidRDefault="000B6B9D" w:rsidP="00CC2EE9">
      <w:pPr>
        <w:pStyle w:val="Akapitzlist"/>
        <w:numPr>
          <w:ilvl w:val="2"/>
          <w:numId w:val="7"/>
        </w:numPr>
        <w:ind w:left="851" w:hanging="142"/>
        <w:rPr>
          <w:noProof/>
          <w:lang w:val="en-US" w:eastAsia="pl-PL"/>
        </w:rPr>
      </w:pPr>
      <w:r>
        <w:rPr>
          <w:noProof/>
          <w:lang w:val="en-US" w:eastAsia="pl-PL"/>
        </w:rPr>
        <w:lastRenderedPageBreak/>
        <w:t>“</w:t>
      </w:r>
      <w:r w:rsidRPr="00266B1F">
        <w:rPr>
          <w:noProof/>
          <w:lang w:val="en-US" w:eastAsia="pl-PL"/>
        </w:rPr>
        <w:t>Annual enterprise survey</w:t>
      </w:r>
      <w:r>
        <w:rPr>
          <w:noProof/>
          <w:lang w:val="en-US" w:eastAsia="pl-PL"/>
        </w:rPr>
        <w:t>”</w:t>
      </w:r>
      <w:r w:rsidRPr="00266B1F">
        <w:rPr>
          <w:noProof/>
          <w:lang w:val="en-US" w:eastAsia="pl-PL"/>
        </w:rPr>
        <w:t xml:space="preserve"> </w:t>
      </w:r>
      <w:r>
        <w:rPr>
          <w:noProof/>
          <w:lang w:val="en-US" w:eastAsia="pl-PL"/>
        </w:rPr>
        <w:t>(</w:t>
      </w:r>
      <w:r w:rsidRPr="00266B1F">
        <w:rPr>
          <w:noProof/>
          <w:lang w:val="en-US" w:eastAsia="pl-PL"/>
        </w:rPr>
        <w:t>SP</w:t>
      </w:r>
      <w:r>
        <w:rPr>
          <w:noProof/>
          <w:lang w:val="en-US" w:eastAsia="pl-PL"/>
        </w:rPr>
        <w:t>)</w:t>
      </w:r>
      <w:r w:rsidRPr="00266B1F">
        <w:rPr>
          <w:noProof/>
          <w:lang w:val="en-US" w:eastAsia="pl-PL"/>
        </w:rPr>
        <w:t xml:space="preserve"> – for units with the number of persons employed 10 and more,</w:t>
      </w:r>
    </w:p>
    <w:p w14:paraId="22CEBF15" w14:textId="3F4A1C76" w:rsidR="000B6B9D" w:rsidRPr="00CC2EE9" w:rsidRDefault="000B6B9D" w:rsidP="00CC2EE9">
      <w:pPr>
        <w:pStyle w:val="Akapitzlist"/>
        <w:numPr>
          <w:ilvl w:val="2"/>
          <w:numId w:val="7"/>
        </w:numPr>
        <w:ind w:left="851" w:hanging="142"/>
        <w:rPr>
          <w:noProof/>
          <w:lang w:val="en-US" w:eastAsia="pl-PL"/>
        </w:rPr>
      </w:pPr>
      <w:r w:rsidRPr="00CC2EE9">
        <w:rPr>
          <w:noProof/>
          <w:lang w:val="en-US" w:eastAsia="pl-PL"/>
        </w:rPr>
        <w:t xml:space="preserve">“Report on business activity of enterprises” (SP-3) – for units with </w:t>
      </w:r>
      <w:r w:rsidR="00CC2EE9">
        <w:rPr>
          <w:noProof/>
          <w:lang w:val="en-US" w:eastAsia="pl-PL"/>
        </w:rPr>
        <w:t xml:space="preserve">the number of persons employed </w:t>
      </w:r>
      <w:r w:rsidRPr="00CC2EE9">
        <w:rPr>
          <w:noProof/>
          <w:lang w:val="en-US" w:eastAsia="pl-PL"/>
        </w:rPr>
        <w:t>9 and less,</w:t>
      </w:r>
    </w:p>
    <w:p w14:paraId="70854518" w14:textId="77777777" w:rsidR="000B6B9D" w:rsidRDefault="000B6B9D" w:rsidP="000B6B9D">
      <w:pPr>
        <w:pStyle w:val="Akapitzlist"/>
        <w:numPr>
          <w:ilvl w:val="1"/>
          <w:numId w:val="7"/>
        </w:numPr>
        <w:ind w:left="567" w:hanging="218"/>
        <w:rPr>
          <w:noProof/>
          <w:lang w:val="en-US" w:eastAsia="pl-PL"/>
        </w:rPr>
      </w:pPr>
      <w:r w:rsidRPr="00B21A2D">
        <w:rPr>
          <w:noProof/>
          <w:lang w:val="en-US" w:eastAsia="pl-PL"/>
        </w:rPr>
        <w:t>Administrative data of Ministry of Finance derived from the information system about payers of goods and services tax (VAT);</w:t>
      </w:r>
    </w:p>
    <w:p w14:paraId="43B899F6" w14:textId="741302D3" w:rsidR="000B6B9D" w:rsidRPr="00754ACF" w:rsidRDefault="000B6B9D" w:rsidP="000B6B9D">
      <w:pPr>
        <w:pStyle w:val="Akapitzlist"/>
        <w:numPr>
          <w:ilvl w:val="0"/>
          <w:numId w:val="7"/>
        </w:numPr>
        <w:ind w:left="284" w:hanging="218"/>
        <w:rPr>
          <w:noProof/>
          <w:lang w:val="en-US" w:eastAsia="pl-PL"/>
        </w:rPr>
      </w:pPr>
      <w:r w:rsidRPr="00754ACF">
        <w:rPr>
          <w:noProof/>
          <w:lang w:val="en-US" w:eastAsia="pl-PL"/>
        </w:rPr>
        <w:t xml:space="preserve">to obtain information about enterprises </w:t>
      </w:r>
      <w:r>
        <w:rPr>
          <w:noProof/>
          <w:lang w:val="en-US" w:eastAsia="pl-PL"/>
        </w:rPr>
        <w:t xml:space="preserve">characteristics </w:t>
      </w:r>
      <w:r w:rsidRPr="00754ACF">
        <w:rPr>
          <w:noProof/>
          <w:lang w:val="en-US" w:eastAsia="pl-PL"/>
        </w:rPr>
        <w:t>in the scope of the main</w:t>
      </w:r>
      <w:r w:rsidR="00CC2EE9">
        <w:rPr>
          <w:noProof/>
          <w:lang w:val="en-US" w:eastAsia="pl-PL"/>
        </w:rPr>
        <w:t xml:space="preserve"> economic </w:t>
      </w:r>
      <w:r w:rsidRPr="00754ACF">
        <w:rPr>
          <w:noProof/>
          <w:lang w:val="en-US" w:eastAsia="pl-PL"/>
        </w:rPr>
        <w:t>activity</w:t>
      </w:r>
      <w:r w:rsidR="00CC2EE9">
        <w:rPr>
          <w:noProof/>
          <w:lang w:val="en-US" w:eastAsia="pl-PL"/>
        </w:rPr>
        <w:t xml:space="preserve"> (NACE Rev. 2), </w:t>
      </w:r>
      <w:r w:rsidR="002B7D18">
        <w:rPr>
          <w:noProof/>
          <w:lang w:val="en-US" w:eastAsia="pl-PL"/>
        </w:rPr>
        <w:t xml:space="preserve">number of employees and </w:t>
      </w:r>
      <w:r w:rsidRPr="00754ACF">
        <w:rPr>
          <w:noProof/>
          <w:lang w:val="en-US" w:eastAsia="pl-PL"/>
        </w:rPr>
        <w:t>type of ownership</w:t>
      </w:r>
      <w:r>
        <w:rPr>
          <w:noProof/>
          <w:lang w:val="en-US" w:eastAsia="pl-PL"/>
        </w:rPr>
        <w:t xml:space="preserve"> -</w:t>
      </w:r>
      <w:r w:rsidRPr="00754ACF">
        <w:rPr>
          <w:noProof/>
          <w:lang w:val="en-US" w:eastAsia="pl-PL"/>
        </w:rPr>
        <w:t xml:space="preserve"> Base of Statistical Units (BJS).</w:t>
      </w:r>
    </w:p>
    <w:p w14:paraId="1BF7501B" w14:textId="18605530" w:rsidR="000B6B9D" w:rsidRPr="00B21A2D" w:rsidRDefault="000B6B9D" w:rsidP="000B6B9D">
      <w:pPr>
        <w:rPr>
          <w:noProof/>
          <w:lang w:val="en-US" w:eastAsia="pl-PL"/>
        </w:rPr>
      </w:pPr>
      <w:r w:rsidRPr="00B21A2D">
        <w:rPr>
          <w:noProof/>
          <w:lang w:val="en-US" w:eastAsia="pl-PL"/>
        </w:rPr>
        <w:t xml:space="preserve">ID number called REGON was the </w:t>
      </w:r>
      <w:r>
        <w:rPr>
          <w:noProof/>
          <w:lang w:val="en-US" w:eastAsia="pl-PL"/>
        </w:rPr>
        <w:t xml:space="preserve">basic </w:t>
      </w:r>
      <w:r w:rsidRPr="00B21A2D">
        <w:rPr>
          <w:noProof/>
          <w:lang w:val="en-US" w:eastAsia="pl-PL"/>
        </w:rPr>
        <w:t xml:space="preserve">identifier of national economy entities </w:t>
      </w:r>
      <w:r>
        <w:rPr>
          <w:noProof/>
          <w:lang w:val="en-US" w:eastAsia="pl-PL"/>
        </w:rPr>
        <w:t>engaged in  int</w:t>
      </w:r>
      <w:r w:rsidRPr="00B21A2D">
        <w:rPr>
          <w:noProof/>
          <w:lang w:val="en-US" w:eastAsia="pl-PL"/>
        </w:rPr>
        <w:t xml:space="preserve">ernational trade in services </w:t>
      </w:r>
      <w:r>
        <w:rPr>
          <w:noProof/>
          <w:lang w:val="en-US" w:eastAsia="pl-PL"/>
        </w:rPr>
        <w:t xml:space="preserve">and </w:t>
      </w:r>
      <w:r w:rsidRPr="00B21A2D">
        <w:rPr>
          <w:noProof/>
          <w:lang w:val="en-US" w:eastAsia="pl-PL"/>
        </w:rPr>
        <w:t>according to which micro data were linked with other databases or other surveys outcomes.</w:t>
      </w:r>
    </w:p>
    <w:p w14:paraId="79C8D833" w14:textId="12047AED" w:rsidR="000B6B9D" w:rsidRDefault="000B6B9D" w:rsidP="000B6B9D">
      <w:pPr>
        <w:rPr>
          <w:noProof/>
          <w:lang w:val="en-US" w:eastAsia="pl-PL"/>
        </w:rPr>
      </w:pPr>
      <w:r>
        <w:rPr>
          <w:noProof/>
          <w:lang w:val="en-US" w:eastAsia="pl-PL"/>
        </w:rPr>
        <w:t>As a result of</w:t>
      </w:r>
      <w:r w:rsidRPr="00B21A2D">
        <w:rPr>
          <w:noProof/>
          <w:lang w:val="en-US" w:eastAsia="pl-PL"/>
        </w:rPr>
        <w:t xml:space="preserve"> works</w:t>
      </w:r>
      <w:r>
        <w:rPr>
          <w:noProof/>
          <w:lang w:val="en-US" w:eastAsia="pl-PL"/>
        </w:rPr>
        <w:t xml:space="preserve"> carried out</w:t>
      </w:r>
      <w:r w:rsidRPr="00B21A2D">
        <w:rPr>
          <w:noProof/>
          <w:lang w:val="en-US" w:eastAsia="pl-PL"/>
        </w:rPr>
        <w:t>, the STEC datasets for Poland</w:t>
      </w:r>
      <w:r>
        <w:rPr>
          <w:noProof/>
          <w:lang w:val="en-US" w:eastAsia="pl-PL"/>
        </w:rPr>
        <w:t xml:space="preserve"> for 2016 and 2018 were compiled. </w:t>
      </w:r>
      <w:r w:rsidRPr="00B21A2D">
        <w:rPr>
          <w:noProof/>
          <w:lang w:val="en-US" w:eastAsia="pl-PL"/>
        </w:rPr>
        <w:t>The values of turnover in international trade in services</w:t>
      </w:r>
      <w:r w:rsidR="002B7D18">
        <w:rPr>
          <w:noProof/>
          <w:lang w:val="en-US" w:eastAsia="pl-PL"/>
        </w:rPr>
        <w:t xml:space="preserve"> reported in tho</w:t>
      </w:r>
      <w:r>
        <w:rPr>
          <w:noProof/>
          <w:lang w:val="en-US" w:eastAsia="pl-PL"/>
        </w:rPr>
        <w:t>se tables</w:t>
      </w:r>
      <w:r w:rsidRPr="00B21A2D">
        <w:rPr>
          <w:noProof/>
          <w:lang w:val="en-US" w:eastAsia="pl-PL"/>
        </w:rPr>
        <w:t xml:space="preserve"> were aggregated according to the following variables:</w:t>
      </w:r>
    </w:p>
    <w:p w14:paraId="291B05CE" w14:textId="77777777" w:rsidR="000B6B9D" w:rsidRDefault="000B6B9D" w:rsidP="000B6B9D">
      <w:pPr>
        <w:pStyle w:val="Akapitzlist"/>
        <w:numPr>
          <w:ilvl w:val="0"/>
          <w:numId w:val="8"/>
        </w:numPr>
        <w:ind w:left="284" w:hanging="284"/>
        <w:rPr>
          <w:noProof/>
          <w:lang w:val="en-US" w:eastAsia="pl-PL"/>
        </w:rPr>
      </w:pPr>
      <w:r>
        <w:rPr>
          <w:noProof/>
          <w:lang w:val="en-US" w:eastAsia="pl-PL"/>
        </w:rPr>
        <w:t xml:space="preserve">main economic activity (NACE Rev. 2) and </w:t>
      </w:r>
      <w:r w:rsidRPr="00FF4981">
        <w:rPr>
          <w:noProof/>
          <w:lang w:val="en-US" w:eastAsia="pl-PL"/>
        </w:rPr>
        <w:t>size class (tables 1.1-1.6),</w:t>
      </w:r>
    </w:p>
    <w:p w14:paraId="0CBA6B42" w14:textId="77777777" w:rsidR="000B6B9D" w:rsidRDefault="000B6B9D" w:rsidP="000B6B9D">
      <w:pPr>
        <w:pStyle w:val="Akapitzlist"/>
        <w:numPr>
          <w:ilvl w:val="0"/>
          <w:numId w:val="8"/>
        </w:numPr>
        <w:ind w:left="284" w:hanging="284"/>
        <w:rPr>
          <w:noProof/>
          <w:lang w:val="en-US" w:eastAsia="pl-PL"/>
        </w:rPr>
      </w:pPr>
      <w:r>
        <w:rPr>
          <w:noProof/>
          <w:lang w:val="en-US" w:eastAsia="pl-PL"/>
        </w:rPr>
        <w:t>main economic activity (NACE Rev. 2) and service item (EBOPS 2010</w:t>
      </w:r>
      <w:bookmarkStart w:id="1" w:name="_Ref46140566"/>
      <w:r>
        <w:rPr>
          <w:rStyle w:val="Odwoanieprzypisudolnego"/>
          <w:noProof/>
          <w:lang w:val="en-US" w:eastAsia="pl-PL"/>
        </w:rPr>
        <w:footnoteReference w:id="2"/>
      </w:r>
      <w:bookmarkEnd w:id="1"/>
      <w:r>
        <w:rPr>
          <w:noProof/>
          <w:lang w:val="en-US" w:eastAsia="pl-PL"/>
        </w:rPr>
        <w:t>)</w:t>
      </w:r>
      <w:r w:rsidRPr="001720EA">
        <w:rPr>
          <w:noProof/>
          <w:lang w:val="en-US" w:eastAsia="pl-PL"/>
        </w:rPr>
        <w:t xml:space="preserve"> (tables 2.1-2.6),</w:t>
      </w:r>
    </w:p>
    <w:p w14:paraId="66B17806" w14:textId="77777777" w:rsidR="000B6B9D" w:rsidRDefault="000B6B9D" w:rsidP="000B6B9D">
      <w:pPr>
        <w:pStyle w:val="Akapitzlist"/>
        <w:numPr>
          <w:ilvl w:val="0"/>
          <w:numId w:val="8"/>
        </w:numPr>
        <w:ind w:left="284" w:hanging="284"/>
        <w:rPr>
          <w:noProof/>
          <w:lang w:val="en-US" w:eastAsia="pl-PL"/>
        </w:rPr>
      </w:pPr>
      <w:r>
        <w:rPr>
          <w:noProof/>
          <w:lang w:val="en-US" w:eastAsia="pl-PL"/>
        </w:rPr>
        <w:t xml:space="preserve">main economic </w:t>
      </w:r>
      <w:r w:rsidRPr="001720EA">
        <w:rPr>
          <w:noProof/>
          <w:lang w:val="en-US" w:eastAsia="pl-PL"/>
        </w:rPr>
        <w:t xml:space="preserve">activity </w:t>
      </w:r>
      <w:r>
        <w:rPr>
          <w:noProof/>
          <w:lang w:val="en-US" w:eastAsia="pl-PL"/>
        </w:rPr>
        <w:t xml:space="preserve">(NACE Rev. 2) </w:t>
      </w:r>
      <w:r w:rsidRPr="001720EA">
        <w:rPr>
          <w:noProof/>
          <w:lang w:val="en-US" w:eastAsia="pl-PL"/>
        </w:rPr>
        <w:t>and type of ownership (tables 3.1-3.6),</w:t>
      </w:r>
    </w:p>
    <w:p w14:paraId="41566F19" w14:textId="77777777" w:rsidR="000B6B9D" w:rsidRDefault="000B6B9D" w:rsidP="000B6B9D">
      <w:pPr>
        <w:pStyle w:val="Akapitzlist"/>
        <w:numPr>
          <w:ilvl w:val="0"/>
          <w:numId w:val="8"/>
        </w:numPr>
        <w:ind w:left="284" w:hanging="284"/>
        <w:rPr>
          <w:noProof/>
          <w:lang w:val="en-US" w:eastAsia="pl-PL"/>
        </w:rPr>
      </w:pPr>
      <w:r>
        <w:rPr>
          <w:noProof/>
          <w:lang w:val="en-US" w:eastAsia="pl-PL"/>
        </w:rPr>
        <w:t xml:space="preserve">main economic </w:t>
      </w:r>
      <w:r w:rsidRPr="001720EA">
        <w:rPr>
          <w:noProof/>
          <w:lang w:val="en-US" w:eastAsia="pl-PL"/>
        </w:rPr>
        <w:t xml:space="preserve">activity </w:t>
      </w:r>
      <w:r>
        <w:rPr>
          <w:noProof/>
          <w:lang w:val="en-US" w:eastAsia="pl-PL"/>
        </w:rPr>
        <w:t xml:space="preserve">(NACE Rev. 2) </w:t>
      </w:r>
      <w:r w:rsidRPr="001720EA">
        <w:rPr>
          <w:noProof/>
          <w:lang w:val="en-US" w:eastAsia="pl-PL"/>
        </w:rPr>
        <w:t>(at section and division level) (tables 4.1-4.6),</w:t>
      </w:r>
    </w:p>
    <w:p w14:paraId="2BF0E1A8" w14:textId="77777777" w:rsidR="000B6B9D" w:rsidRDefault="000B6B9D" w:rsidP="000B6B9D">
      <w:pPr>
        <w:pStyle w:val="Akapitzlist"/>
        <w:numPr>
          <w:ilvl w:val="0"/>
          <w:numId w:val="8"/>
        </w:numPr>
        <w:ind w:left="284" w:hanging="284"/>
        <w:rPr>
          <w:noProof/>
          <w:lang w:val="en-US" w:eastAsia="pl-PL"/>
        </w:rPr>
      </w:pPr>
      <w:r w:rsidRPr="001720EA">
        <w:rPr>
          <w:noProof/>
          <w:lang w:val="en-US" w:eastAsia="pl-PL"/>
        </w:rPr>
        <w:t>service item (EBOPS 2010</w:t>
      </w:r>
      <w:r w:rsidRPr="001720EA">
        <w:rPr>
          <w:noProof/>
          <w:vertAlign w:val="superscript"/>
          <w:lang w:val="en-US" w:eastAsia="pl-PL"/>
        </w:rPr>
        <w:fldChar w:fldCharType="begin"/>
      </w:r>
      <w:r w:rsidRPr="001720EA">
        <w:rPr>
          <w:noProof/>
          <w:vertAlign w:val="superscript"/>
          <w:lang w:val="en-US" w:eastAsia="pl-PL"/>
        </w:rPr>
        <w:instrText xml:space="preserve"> NOTEREF _Ref46140566 \h </w:instrText>
      </w:r>
      <w:r>
        <w:rPr>
          <w:noProof/>
          <w:vertAlign w:val="superscript"/>
          <w:lang w:val="en-US" w:eastAsia="pl-PL"/>
        </w:rPr>
        <w:instrText xml:space="preserve"> \* MERGEFORMAT </w:instrText>
      </w:r>
      <w:r w:rsidRPr="001720EA">
        <w:rPr>
          <w:noProof/>
          <w:vertAlign w:val="superscript"/>
          <w:lang w:val="en-US" w:eastAsia="pl-PL"/>
        </w:rPr>
      </w:r>
      <w:r w:rsidRPr="001720EA">
        <w:rPr>
          <w:noProof/>
          <w:vertAlign w:val="superscript"/>
          <w:lang w:val="en-US" w:eastAsia="pl-PL"/>
        </w:rPr>
        <w:fldChar w:fldCharType="separate"/>
      </w:r>
      <w:r w:rsidRPr="001720EA">
        <w:rPr>
          <w:noProof/>
          <w:vertAlign w:val="superscript"/>
          <w:lang w:val="en-US" w:eastAsia="pl-PL"/>
        </w:rPr>
        <w:t>2</w:t>
      </w:r>
      <w:r w:rsidRPr="001720EA">
        <w:rPr>
          <w:noProof/>
          <w:vertAlign w:val="superscript"/>
          <w:lang w:val="en-US" w:eastAsia="pl-PL"/>
        </w:rPr>
        <w:fldChar w:fldCharType="end"/>
      </w:r>
      <w:r w:rsidRPr="001720EA">
        <w:rPr>
          <w:noProof/>
          <w:lang w:val="en-US" w:eastAsia="pl-PL"/>
        </w:rPr>
        <w:t>) and size class (tables 5.5-5.6),</w:t>
      </w:r>
    </w:p>
    <w:p w14:paraId="530DC01F" w14:textId="77777777" w:rsidR="000B6B9D" w:rsidRPr="001720EA" w:rsidRDefault="000B6B9D" w:rsidP="000B6B9D">
      <w:pPr>
        <w:pStyle w:val="Akapitzlist"/>
        <w:numPr>
          <w:ilvl w:val="0"/>
          <w:numId w:val="8"/>
        </w:numPr>
        <w:ind w:left="284" w:hanging="284"/>
        <w:rPr>
          <w:noProof/>
          <w:lang w:val="en-US" w:eastAsia="pl-PL"/>
        </w:rPr>
      </w:pPr>
      <w:r w:rsidRPr="001720EA">
        <w:rPr>
          <w:noProof/>
          <w:lang w:val="en-US" w:eastAsia="pl-PL"/>
        </w:rPr>
        <w:t>service item (EBOPS 2010</w:t>
      </w:r>
      <w:r w:rsidRPr="001720EA">
        <w:rPr>
          <w:noProof/>
          <w:vertAlign w:val="superscript"/>
          <w:lang w:val="en-US" w:eastAsia="pl-PL"/>
        </w:rPr>
        <w:fldChar w:fldCharType="begin"/>
      </w:r>
      <w:r w:rsidRPr="001720EA">
        <w:rPr>
          <w:noProof/>
          <w:vertAlign w:val="superscript"/>
          <w:lang w:val="en-US" w:eastAsia="pl-PL"/>
        </w:rPr>
        <w:instrText xml:space="preserve"> NOTEREF _Ref46140566 \h </w:instrText>
      </w:r>
      <w:r>
        <w:rPr>
          <w:noProof/>
          <w:vertAlign w:val="superscript"/>
          <w:lang w:val="en-US" w:eastAsia="pl-PL"/>
        </w:rPr>
        <w:instrText xml:space="preserve"> \* MERGEFORMAT </w:instrText>
      </w:r>
      <w:r w:rsidRPr="001720EA">
        <w:rPr>
          <w:noProof/>
          <w:vertAlign w:val="superscript"/>
          <w:lang w:val="en-US" w:eastAsia="pl-PL"/>
        </w:rPr>
      </w:r>
      <w:r w:rsidRPr="001720EA">
        <w:rPr>
          <w:noProof/>
          <w:vertAlign w:val="superscript"/>
          <w:lang w:val="en-US" w:eastAsia="pl-PL"/>
        </w:rPr>
        <w:fldChar w:fldCharType="separate"/>
      </w:r>
      <w:r w:rsidRPr="001720EA">
        <w:rPr>
          <w:noProof/>
          <w:vertAlign w:val="superscript"/>
          <w:lang w:val="en-US" w:eastAsia="pl-PL"/>
        </w:rPr>
        <w:t>2</w:t>
      </w:r>
      <w:r w:rsidRPr="001720EA">
        <w:rPr>
          <w:noProof/>
          <w:vertAlign w:val="superscript"/>
          <w:lang w:val="en-US" w:eastAsia="pl-PL"/>
        </w:rPr>
        <w:fldChar w:fldCharType="end"/>
      </w:r>
      <w:r w:rsidRPr="001720EA">
        <w:rPr>
          <w:noProof/>
          <w:lang w:val="en-US" w:eastAsia="pl-PL"/>
        </w:rPr>
        <w:t>) and type of ownership (tables 6.5-6.6).</w:t>
      </w:r>
    </w:p>
    <w:p w14:paraId="51905A26" w14:textId="1D6C5DD1" w:rsidR="000B6B9D" w:rsidRPr="00B21A2D" w:rsidRDefault="000B6B9D" w:rsidP="000B6B9D">
      <w:pPr>
        <w:rPr>
          <w:noProof/>
          <w:lang w:val="en-US" w:eastAsia="pl-PL"/>
        </w:rPr>
      </w:pPr>
      <w:r w:rsidRPr="00B21A2D">
        <w:rPr>
          <w:noProof/>
          <w:lang w:val="en-US" w:eastAsia="pl-PL"/>
        </w:rPr>
        <w:t>Moreover, export</w:t>
      </w:r>
      <w:r w:rsidR="002B7D18">
        <w:rPr>
          <w:noProof/>
          <w:lang w:val="en-US" w:eastAsia="pl-PL"/>
        </w:rPr>
        <w:t>s</w:t>
      </w:r>
      <w:r w:rsidRPr="00B21A2D">
        <w:rPr>
          <w:noProof/>
          <w:lang w:val="en-US" w:eastAsia="pl-PL"/>
        </w:rPr>
        <w:t xml:space="preserve"> and</w:t>
      </w:r>
      <w:r>
        <w:rPr>
          <w:noProof/>
          <w:lang w:val="en-US" w:eastAsia="pl-PL"/>
        </w:rPr>
        <w:t xml:space="preserve"> import</w:t>
      </w:r>
      <w:r w:rsidR="002B7D18">
        <w:rPr>
          <w:noProof/>
          <w:lang w:val="en-US" w:eastAsia="pl-PL"/>
        </w:rPr>
        <w:t>s</w:t>
      </w:r>
      <w:r>
        <w:rPr>
          <w:noProof/>
          <w:lang w:val="en-US" w:eastAsia="pl-PL"/>
        </w:rPr>
        <w:t xml:space="preserve"> intensity ratios </w:t>
      </w:r>
      <w:r w:rsidRPr="00B21A2D">
        <w:rPr>
          <w:noProof/>
          <w:lang w:val="en-US" w:eastAsia="pl-PL"/>
        </w:rPr>
        <w:t>were presented respectively in tables 4.5 and 4.6.</w:t>
      </w:r>
    </w:p>
    <w:p w14:paraId="29DF4B6F" w14:textId="77777777" w:rsidR="000B6B9D" w:rsidRDefault="000B6B9D" w:rsidP="000B6B9D">
      <w:pPr>
        <w:rPr>
          <w:noProof/>
          <w:lang w:val="en-US" w:eastAsia="pl-PL"/>
        </w:rPr>
      </w:pPr>
      <w:r w:rsidRPr="00B21A2D">
        <w:rPr>
          <w:noProof/>
          <w:lang w:val="en-US" w:eastAsia="pl-PL"/>
        </w:rPr>
        <w:t>All a.m. tables were broken down into total export</w:t>
      </w:r>
      <w:r>
        <w:rPr>
          <w:noProof/>
          <w:lang w:val="en-US" w:eastAsia="pl-PL"/>
        </w:rPr>
        <w:t xml:space="preserve">s of services </w:t>
      </w:r>
      <w:r w:rsidRPr="00B21A2D">
        <w:rPr>
          <w:noProof/>
          <w:lang w:val="en-US" w:eastAsia="pl-PL"/>
        </w:rPr>
        <w:t>and total import</w:t>
      </w:r>
      <w:r>
        <w:rPr>
          <w:noProof/>
          <w:lang w:val="en-US" w:eastAsia="pl-PL"/>
        </w:rPr>
        <w:t xml:space="preserve">s of services. Moreover </w:t>
      </w:r>
      <w:r w:rsidRPr="00B21A2D">
        <w:rPr>
          <w:noProof/>
          <w:lang w:val="en-US" w:eastAsia="pl-PL"/>
        </w:rPr>
        <w:t>layouts 1</w:t>
      </w:r>
      <w:r>
        <w:rPr>
          <w:noProof/>
          <w:lang w:val="en-US" w:eastAsia="pl-PL"/>
        </w:rPr>
        <w:t>.</w:t>
      </w:r>
      <w:r w:rsidRPr="00B21A2D">
        <w:rPr>
          <w:noProof/>
          <w:lang w:val="en-US" w:eastAsia="pl-PL"/>
        </w:rPr>
        <w:t xml:space="preserve"> – 4</w:t>
      </w:r>
      <w:r>
        <w:rPr>
          <w:noProof/>
          <w:lang w:val="en-US" w:eastAsia="pl-PL"/>
        </w:rPr>
        <w:t>.</w:t>
      </w:r>
      <w:r w:rsidRPr="00B21A2D">
        <w:rPr>
          <w:noProof/>
          <w:lang w:val="en-US" w:eastAsia="pl-PL"/>
        </w:rPr>
        <w:t xml:space="preserve"> are additionally divided </w:t>
      </w:r>
      <w:r>
        <w:rPr>
          <w:noProof/>
          <w:lang w:val="en-US" w:eastAsia="pl-PL"/>
        </w:rPr>
        <w:t>by</w:t>
      </w:r>
      <w:r w:rsidRPr="00B21A2D">
        <w:rPr>
          <w:noProof/>
          <w:lang w:val="en-US" w:eastAsia="pl-PL"/>
        </w:rPr>
        <w:t xml:space="preserve"> the trade d</w:t>
      </w:r>
      <w:r>
        <w:rPr>
          <w:noProof/>
          <w:lang w:val="en-US" w:eastAsia="pl-PL"/>
        </w:rPr>
        <w:t>irection</w:t>
      </w:r>
      <w:r w:rsidRPr="00B21A2D">
        <w:rPr>
          <w:noProof/>
          <w:lang w:val="en-US" w:eastAsia="pl-PL"/>
        </w:rPr>
        <w:t>:</w:t>
      </w:r>
    </w:p>
    <w:p w14:paraId="765D9CD0" w14:textId="77777777" w:rsidR="000B6B9D" w:rsidRDefault="000B6B9D" w:rsidP="000B6B9D">
      <w:pPr>
        <w:pStyle w:val="Akapitzlist"/>
        <w:numPr>
          <w:ilvl w:val="0"/>
          <w:numId w:val="9"/>
        </w:numPr>
        <w:ind w:left="284" w:hanging="284"/>
        <w:rPr>
          <w:noProof/>
          <w:lang w:val="en-US" w:eastAsia="pl-PL"/>
        </w:rPr>
      </w:pPr>
      <w:r w:rsidRPr="00843037">
        <w:rPr>
          <w:noProof/>
          <w:lang w:val="en-US" w:eastAsia="pl-PL"/>
        </w:rPr>
        <w:t xml:space="preserve">countries and organizations </w:t>
      </w:r>
      <w:r>
        <w:rPr>
          <w:noProof/>
          <w:lang w:val="en-US" w:eastAsia="pl-PL"/>
        </w:rPr>
        <w:t xml:space="preserve">of </w:t>
      </w:r>
      <w:r w:rsidRPr="00843037">
        <w:rPr>
          <w:noProof/>
          <w:lang w:val="en-US" w:eastAsia="pl-PL"/>
        </w:rPr>
        <w:t>European Union (intra-EU; tables 1.2, 1.4, 2.2, 2.4, 3.2, 3.4, 4.2, 4.4) and</w:t>
      </w:r>
    </w:p>
    <w:p w14:paraId="0055E050" w14:textId="77777777" w:rsidR="000B6B9D" w:rsidRPr="00843037" w:rsidRDefault="000B6B9D" w:rsidP="000B6B9D">
      <w:pPr>
        <w:pStyle w:val="Akapitzlist"/>
        <w:numPr>
          <w:ilvl w:val="0"/>
          <w:numId w:val="9"/>
        </w:numPr>
        <w:ind w:left="284" w:hanging="284"/>
        <w:rPr>
          <w:noProof/>
          <w:lang w:val="en-US" w:eastAsia="pl-PL"/>
        </w:rPr>
      </w:pPr>
      <w:r w:rsidRPr="00843037">
        <w:rPr>
          <w:noProof/>
          <w:lang w:val="en-US" w:eastAsia="pl-PL"/>
        </w:rPr>
        <w:t xml:space="preserve">countries and organizations </w:t>
      </w:r>
      <w:r>
        <w:rPr>
          <w:noProof/>
          <w:lang w:val="en-US" w:eastAsia="pl-PL"/>
        </w:rPr>
        <w:t xml:space="preserve">outside </w:t>
      </w:r>
      <w:r w:rsidRPr="00843037">
        <w:rPr>
          <w:noProof/>
          <w:lang w:val="en-US" w:eastAsia="pl-PL"/>
        </w:rPr>
        <w:t>European Union (extra-EU; tables 1.1, 1.3, 2.1, 2.3, 3.1, 3.3, 4.1, 4.3).</w:t>
      </w:r>
    </w:p>
    <w:p w14:paraId="798AFD34" w14:textId="77777777" w:rsidR="000B6B9D" w:rsidRPr="00843037" w:rsidRDefault="000B6B9D" w:rsidP="000B6B9D">
      <w:pPr>
        <w:rPr>
          <w:noProof/>
          <w:lang w:val="en-US" w:eastAsia="pl-PL"/>
        </w:rPr>
      </w:pPr>
      <w:r w:rsidRPr="00843037">
        <w:rPr>
          <w:noProof/>
          <w:lang w:val="en-US" w:eastAsia="pl-PL"/>
        </w:rPr>
        <w:t>In accordance with balance of payments, countries and organizations of European Union comprise of all EU countries and all institutions, organizations and organs of European Union.</w:t>
      </w:r>
    </w:p>
    <w:p w14:paraId="6420B12C" w14:textId="77777777" w:rsidR="000B6B9D" w:rsidRPr="00843037" w:rsidRDefault="000B6B9D" w:rsidP="000B6B9D">
      <w:pPr>
        <w:rPr>
          <w:noProof/>
          <w:lang w:val="en-US" w:eastAsia="pl-PL"/>
        </w:rPr>
      </w:pPr>
      <w:r w:rsidRPr="00843037">
        <w:rPr>
          <w:noProof/>
          <w:lang w:val="en-US" w:eastAsia="pl-PL"/>
        </w:rPr>
        <w:t>Tables 1.5-1.6, 2.5-2.6, 3.5-3.6, 4.5-4.6 and 5.5 – 6.6 contain data on total exports of services and imports of services in the international exchange with all partner-countries and institutions, organizations and international organs.</w:t>
      </w:r>
    </w:p>
    <w:p w14:paraId="5539C1D2" w14:textId="6B38913B" w:rsidR="000B6B9D" w:rsidRDefault="000B6B9D" w:rsidP="000B6B9D">
      <w:pPr>
        <w:rPr>
          <w:noProof/>
          <w:lang w:val="en-US" w:eastAsia="pl-PL"/>
        </w:rPr>
      </w:pPr>
      <w:r w:rsidRPr="001A6C30">
        <w:rPr>
          <w:noProof/>
          <w:lang w:val="en-US" w:eastAsia="pl-PL"/>
        </w:rPr>
        <w:t>Main economic activity (NACE Rev. 2), service item (EBOPS 2010</w:t>
      </w:r>
      <w:r w:rsidRPr="001A6C30">
        <w:rPr>
          <w:noProof/>
          <w:vertAlign w:val="superscript"/>
          <w:lang w:val="en-US" w:eastAsia="pl-PL"/>
        </w:rPr>
        <w:fldChar w:fldCharType="begin"/>
      </w:r>
      <w:r w:rsidRPr="001A6C30">
        <w:rPr>
          <w:noProof/>
          <w:vertAlign w:val="superscript"/>
          <w:lang w:val="en-US" w:eastAsia="pl-PL"/>
        </w:rPr>
        <w:instrText xml:space="preserve"> NOTEREF _Ref46140566 \h  \* MERGEFORMAT </w:instrText>
      </w:r>
      <w:r w:rsidRPr="001A6C30">
        <w:rPr>
          <w:noProof/>
          <w:vertAlign w:val="superscript"/>
          <w:lang w:val="en-US" w:eastAsia="pl-PL"/>
        </w:rPr>
      </w:r>
      <w:r w:rsidRPr="001A6C30">
        <w:rPr>
          <w:noProof/>
          <w:vertAlign w:val="superscript"/>
          <w:lang w:val="en-US" w:eastAsia="pl-PL"/>
        </w:rPr>
        <w:fldChar w:fldCharType="separate"/>
      </w:r>
      <w:r w:rsidRPr="001A6C30">
        <w:rPr>
          <w:noProof/>
          <w:vertAlign w:val="superscript"/>
          <w:lang w:val="en-US" w:eastAsia="pl-PL"/>
        </w:rPr>
        <w:t>2</w:t>
      </w:r>
      <w:r w:rsidRPr="001A6C30">
        <w:rPr>
          <w:noProof/>
          <w:vertAlign w:val="superscript"/>
          <w:lang w:val="en-US" w:eastAsia="pl-PL"/>
        </w:rPr>
        <w:fldChar w:fldCharType="end"/>
      </w:r>
      <w:r w:rsidRPr="001A6C30">
        <w:rPr>
          <w:noProof/>
          <w:lang w:val="en-US" w:eastAsia="pl-PL"/>
        </w:rPr>
        <w:t xml:space="preserve">), size class and type </w:t>
      </w:r>
      <w:r w:rsidR="002B7D18">
        <w:rPr>
          <w:noProof/>
          <w:lang w:val="en-US" w:eastAsia="pl-PL"/>
        </w:rPr>
        <w:t xml:space="preserve">of ownership aggregation </w:t>
      </w:r>
      <w:r w:rsidRPr="001A6C30">
        <w:rPr>
          <w:noProof/>
          <w:lang w:val="en-US" w:eastAsia="pl-PL"/>
        </w:rPr>
        <w:t xml:space="preserve">in the a.m. tables were adopted in accordance with </w:t>
      </w:r>
      <w:r w:rsidRPr="001A6C30">
        <w:rPr>
          <w:i/>
          <w:noProof/>
          <w:lang w:val="en-US" w:eastAsia="pl-PL"/>
        </w:rPr>
        <w:t xml:space="preserve">Compilers Guide for statistics on STEC </w:t>
      </w:r>
      <w:r w:rsidRPr="001A6C30">
        <w:rPr>
          <w:noProof/>
          <w:lang w:val="en-US" w:eastAsia="pl-PL"/>
        </w:rPr>
        <w:t>guidelines, i.e. for:</w:t>
      </w:r>
    </w:p>
    <w:p w14:paraId="23CD7127" w14:textId="4CF1A6F3" w:rsidR="000B6B9D" w:rsidRDefault="000B6B9D" w:rsidP="000B6B9D">
      <w:pPr>
        <w:pStyle w:val="Akapitzlist"/>
        <w:numPr>
          <w:ilvl w:val="0"/>
          <w:numId w:val="10"/>
        </w:numPr>
        <w:ind w:left="284" w:hanging="284"/>
        <w:rPr>
          <w:noProof/>
          <w:lang w:val="en-US" w:eastAsia="pl-PL"/>
        </w:rPr>
      </w:pPr>
      <w:r w:rsidRPr="001A6C30">
        <w:rPr>
          <w:noProof/>
          <w:lang w:val="en-US" w:eastAsia="pl-PL"/>
        </w:rPr>
        <w:t>main economic activity (NACE Rev. 2), sections: A-B, C, D-E, F, G, H, J, K, M, N, Other activity (I, L, O, P, Q, R, S, T, U,) (this level of aggregation does not concern tables 4</w:t>
      </w:r>
      <w:r w:rsidR="002B7D18">
        <w:rPr>
          <w:noProof/>
          <w:lang w:val="en-US" w:eastAsia="pl-PL"/>
        </w:rPr>
        <w:t xml:space="preserve">.1-4.6, 5.5-5.6 and </w:t>
      </w:r>
      <w:r w:rsidRPr="001A6C30">
        <w:rPr>
          <w:noProof/>
          <w:lang w:val="en-US" w:eastAsia="pl-PL"/>
        </w:rPr>
        <w:t>6.5-6.6),</w:t>
      </w:r>
    </w:p>
    <w:p w14:paraId="1B7AB32C" w14:textId="77777777" w:rsidR="000B6B9D" w:rsidRDefault="000B6B9D" w:rsidP="000B6B9D">
      <w:pPr>
        <w:pStyle w:val="Akapitzlist"/>
        <w:numPr>
          <w:ilvl w:val="0"/>
          <w:numId w:val="10"/>
        </w:numPr>
        <w:ind w:left="284" w:hanging="284"/>
        <w:rPr>
          <w:noProof/>
          <w:lang w:val="en-US" w:eastAsia="pl-PL"/>
        </w:rPr>
      </w:pPr>
      <w:r>
        <w:rPr>
          <w:noProof/>
          <w:lang w:val="en-US" w:eastAsia="pl-PL"/>
        </w:rPr>
        <w:t xml:space="preserve">size class: </w:t>
      </w:r>
      <w:r w:rsidRPr="001A6C30">
        <w:rPr>
          <w:noProof/>
          <w:color w:val="BFBFBF" w:themeColor="background1" w:themeShade="BF"/>
          <w:lang w:val="en-US" w:eastAsia="pl-PL"/>
        </w:rPr>
        <w:t xml:space="preserve"> </w:t>
      </w:r>
      <w:r w:rsidRPr="001A6C30">
        <w:rPr>
          <w:noProof/>
          <w:lang w:val="en-US" w:eastAsia="pl-PL"/>
        </w:rPr>
        <w:t>0-49, 50-249, 250 and more,</w:t>
      </w:r>
    </w:p>
    <w:p w14:paraId="4D3855D5" w14:textId="77777777" w:rsidR="000B6B9D" w:rsidRDefault="000B6B9D" w:rsidP="000B6B9D">
      <w:pPr>
        <w:pStyle w:val="Akapitzlist"/>
        <w:numPr>
          <w:ilvl w:val="0"/>
          <w:numId w:val="10"/>
        </w:numPr>
        <w:ind w:left="284" w:hanging="284"/>
        <w:rPr>
          <w:noProof/>
          <w:lang w:val="en-US" w:eastAsia="pl-PL"/>
        </w:rPr>
      </w:pPr>
      <w:r w:rsidRPr="001A6C30">
        <w:rPr>
          <w:noProof/>
          <w:lang w:val="en-US" w:eastAsia="pl-PL"/>
        </w:rPr>
        <w:t>service item (services classification consistent with EBOPS 2010</w:t>
      </w:r>
      <w:r w:rsidRPr="001A6C30">
        <w:rPr>
          <w:noProof/>
          <w:vertAlign w:val="superscript"/>
          <w:lang w:val="en-US" w:eastAsia="pl-PL"/>
        </w:rPr>
        <w:fldChar w:fldCharType="begin"/>
      </w:r>
      <w:r w:rsidRPr="001A6C30">
        <w:rPr>
          <w:noProof/>
          <w:vertAlign w:val="superscript"/>
          <w:lang w:val="en-US" w:eastAsia="pl-PL"/>
        </w:rPr>
        <w:instrText xml:space="preserve"> NOTEREF _Ref46140566 \h  \* MERGEFORMAT </w:instrText>
      </w:r>
      <w:r w:rsidRPr="001A6C30">
        <w:rPr>
          <w:noProof/>
          <w:vertAlign w:val="superscript"/>
          <w:lang w:val="en-US" w:eastAsia="pl-PL"/>
        </w:rPr>
      </w:r>
      <w:r w:rsidRPr="001A6C30">
        <w:rPr>
          <w:noProof/>
          <w:vertAlign w:val="superscript"/>
          <w:lang w:val="en-US" w:eastAsia="pl-PL"/>
        </w:rPr>
        <w:fldChar w:fldCharType="separate"/>
      </w:r>
      <w:r w:rsidRPr="001A6C30">
        <w:rPr>
          <w:noProof/>
          <w:vertAlign w:val="superscript"/>
          <w:lang w:val="en-US" w:eastAsia="pl-PL"/>
        </w:rPr>
        <w:t>2</w:t>
      </w:r>
      <w:r w:rsidRPr="001A6C30">
        <w:rPr>
          <w:noProof/>
          <w:vertAlign w:val="superscript"/>
          <w:lang w:val="en-US" w:eastAsia="pl-PL"/>
        </w:rPr>
        <w:fldChar w:fldCharType="end"/>
      </w:r>
      <w:r w:rsidRPr="001A6C30">
        <w:rPr>
          <w:noProof/>
          <w:lang w:val="en-US" w:eastAsia="pl-PL"/>
        </w:rPr>
        <w:t xml:space="preserve">): </w:t>
      </w:r>
    </w:p>
    <w:p w14:paraId="0541A4B9"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Manufacturing services on physical inputs owned by others,</w:t>
      </w:r>
    </w:p>
    <w:p w14:paraId="4259069A"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Repair and maintenance services (not included elsewhere),</w:t>
      </w:r>
    </w:p>
    <w:p w14:paraId="6C5F2107"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 xml:space="preserve">Transport, </w:t>
      </w:r>
    </w:p>
    <w:p w14:paraId="1882F6A4"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Travel,</w:t>
      </w:r>
    </w:p>
    <w:p w14:paraId="733CB709"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 xml:space="preserve">Construction, </w:t>
      </w:r>
    </w:p>
    <w:p w14:paraId="7B46BCB7"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Insurance and pension services,</w:t>
      </w:r>
    </w:p>
    <w:p w14:paraId="63C2C0C6"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 xml:space="preserve">Financial services, </w:t>
      </w:r>
    </w:p>
    <w:p w14:paraId="416A555B"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Charges for the use of intellectual property (not included elsewhere),</w:t>
      </w:r>
    </w:p>
    <w:p w14:paraId="27594D57"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 xml:space="preserve">Telecommunications, computer, information services, </w:t>
      </w:r>
    </w:p>
    <w:p w14:paraId="27F8CECF" w14:textId="77777777" w:rsidR="000B6B9D" w:rsidRPr="001A6C30" w:rsidRDefault="000B6B9D" w:rsidP="000B6B9D">
      <w:pPr>
        <w:pStyle w:val="Akapitzlist"/>
        <w:numPr>
          <w:ilvl w:val="1"/>
          <w:numId w:val="10"/>
        </w:numPr>
        <w:ind w:left="567" w:hanging="283"/>
        <w:rPr>
          <w:noProof/>
          <w:lang w:val="en-US" w:eastAsia="pl-PL"/>
        </w:rPr>
      </w:pPr>
      <w:r w:rsidRPr="001A6C30">
        <w:rPr>
          <w:noProof/>
          <w:lang w:val="en-US" w:eastAsia="pl-PL"/>
        </w:rPr>
        <w:t>Other business services:</w:t>
      </w:r>
    </w:p>
    <w:p w14:paraId="0F22AAA0" w14:textId="77777777" w:rsidR="000B6B9D" w:rsidRPr="001A6C30" w:rsidRDefault="000B6B9D" w:rsidP="000B6B9D">
      <w:pPr>
        <w:pStyle w:val="Akapitzlist"/>
        <w:numPr>
          <w:ilvl w:val="2"/>
          <w:numId w:val="10"/>
        </w:numPr>
        <w:ind w:left="851"/>
        <w:rPr>
          <w:noProof/>
          <w:lang w:val="en-US" w:eastAsia="pl-PL"/>
        </w:rPr>
      </w:pPr>
      <w:r w:rsidRPr="001A6C30">
        <w:rPr>
          <w:noProof/>
          <w:lang w:val="en-US" w:eastAsia="pl-PL"/>
        </w:rPr>
        <w:t>Research and development services,</w:t>
      </w:r>
    </w:p>
    <w:p w14:paraId="3FF88448" w14:textId="77777777" w:rsidR="000B6B9D" w:rsidRPr="001A6C30" w:rsidRDefault="000B6B9D" w:rsidP="000B6B9D">
      <w:pPr>
        <w:pStyle w:val="Akapitzlist"/>
        <w:numPr>
          <w:ilvl w:val="2"/>
          <w:numId w:val="10"/>
        </w:numPr>
        <w:ind w:left="851"/>
        <w:rPr>
          <w:noProof/>
          <w:lang w:val="en-US" w:eastAsia="pl-PL"/>
        </w:rPr>
      </w:pPr>
      <w:r w:rsidRPr="001A6C30">
        <w:rPr>
          <w:noProof/>
          <w:lang w:val="en-US" w:eastAsia="pl-PL"/>
        </w:rPr>
        <w:t>Professional and management consulting services,</w:t>
      </w:r>
    </w:p>
    <w:p w14:paraId="3BF794EC" w14:textId="77777777" w:rsidR="000B6B9D" w:rsidRPr="001A6C30" w:rsidRDefault="000B6B9D" w:rsidP="000B6B9D">
      <w:pPr>
        <w:pStyle w:val="Akapitzlist"/>
        <w:numPr>
          <w:ilvl w:val="2"/>
          <w:numId w:val="10"/>
        </w:numPr>
        <w:ind w:left="851"/>
        <w:rPr>
          <w:noProof/>
          <w:lang w:val="en-US" w:eastAsia="pl-PL"/>
        </w:rPr>
      </w:pPr>
      <w:r w:rsidRPr="001A6C30">
        <w:rPr>
          <w:noProof/>
          <w:lang w:val="en-US" w:eastAsia="pl-PL"/>
        </w:rPr>
        <w:lastRenderedPageBreak/>
        <w:t>Technical, trade related and other business services,</w:t>
      </w:r>
    </w:p>
    <w:p w14:paraId="2419089D" w14:textId="77777777" w:rsidR="000B6B9D" w:rsidRPr="001A6C30" w:rsidRDefault="000B6B9D" w:rsidP="000B6B9D">
      <w:pPr>
        <w:pStyle w:val="Akapitzlist"/>
        <w:numPr>
          <w:ilvl w:val="1"/>
          <w:numId w:val="10"/>
        </w:numPr>
        <w:ind w:left="567"/>
        <w:rPr>
          <w:noProof/>
          <w:lang w:val="en-US" w:eastAsia="pl-PL"/>
        </w:rPr>
      </w:pPr>
      <w:r w:rsidRPr="001A6C30">
        <w:rPr>
          <w:noProof/>
          <w:lang w:val="en-US" w:eastAsia="pl-PL"/>
        </w:rPr>
        <w:t>Personal, cultural and recreational services,</w:t>
      </w:r>
    </w:p>
    <w:p w14:paraId="6F6C3192" w14:textId="77777777" w:rsidR="000B6B9D" w:rsidRDefault="000B6B9D" w:rsidP="000B6B9D">
      <w:pPr>
        <w:pStyle w:val="Akapitzlist"/>
        <w:numPr>
          <w:ilvl w:val="1"/>
          <w:numId w:val="10"/>
        </w:numPr>
        <w:ind w:left="567"/>
        <w:rPr>
          <w:noProof/>
          <w:lang w:val="en-US" w:eastAsia="pl-PL"/>
        </w:rPr>
      </w:pPr>
      <w:r w:rsidRPr="001A6C30">
        <w:rPr>
          <w:noProof/>
          <w:lang w:val="en-US" w:eastAsia="pl-PL"/>
        </w:rPr>
        <w:t>Government goods and services (not included elsewhere).</w:t>
      </w:r>
    </w:p>
    <w:p w14:paraId="24B69345" w14:textId="77777777" w:rsidR="000B6B9D" w:rsidRPr="00B56324" w:rsidRDefault="000B6B9D" w:rsidP="000B6B9D">
      <w:pPr>
        <w:pStyle w:val="Akapitzlist"/>
        <w:numPr>
          <w:ilvl w:val="0"/>
          <w:numId w:val="10"/>
        </w:numPr>
        <w:ind w:left="284" w:hanging="284"/>
        <w:rPr>
          <w:noProof/>
          <w:lang w:val="en-US" w:eastAsia="pl-PL"/>
        </w:rPr>
      </w:pPr>
      <w:r w:rsidRPr="00B56324">
        <w:rPr>
          <w:noProof/>
          <w:lang w:val="en-US" w:eastAsia="pl-PL"/>
        </w:rPr>
        <w:t>type of ownership: domestic ownership, foreign ownership.</w:t>
      </w:r>
    </w:p>
    <w:p w14:paraId="0B3C80D5" w14:textId="77777777" w:rsidR="000B6B9D" w:rsidRPr="00B93AAF" w:rsidRDefault="000B6B9D" w:rsidP="000B6B9D">
      <w:pPr>
        <w:rPr>
          <w:noProof/>
          <w:lang w:val="en-US" w:eastAsia="pl-PL"/>
        </w:rPr>
      </w:pPr>
      <w:r w:rsidRPr="00B93AAF">
        <w:rPr>
          <w:noProof/>
          <w:lang w:val="en-US" w:eastAsia="pl-PL"/>
        </w:rPr>
        <w:t>In case of insurance and pension services in tables 2.1-2.6 and 5.5-6.6, data reported for each NACE activity concerned auxiliary insurance services, while the value of other types of insurance and pension services was included under the item “Other non-attributed activity</w:t>
      </w:r>
      <w:r>
        <w:rPr>
          <w:noProof/>
          <w:lang w:val="en-US" w:eastAsia="pl-PL"/>
        </w:rPr>
        <w:t>” (see explanation in further part of this note</w:t>
      </w:r>
      <w:r w:rsidRPr="00B93AAF">
        <w:rPr>
          <w:noProof/>
          <w:lang w:val="en-US" w:eastAsia="pl-PL"/>
        </w:rPr>
        <w:t xml:space="preserve">). </w:t>
      </w:r>
    </w:p>
    <w:p w14:paraId="2B2718C9" w14:textId="273728C2" w:rsidR="000B6B9D" w:rsidRDefault="000B6B9D" w:rsidP="000B6B9D">
      <w:pPr>
        <w:rPr>
          <w:noProof/>
          <w:lang w:val="en-US" w:eastAsia="pl-PL"/>
        </w:rPr>
      </w:pPr>
      <w:r w:rsidRPr="00F3496A">
        <w:rPr>
          <w:noProof/>
          <w:lang w:val="en-US" w:eastAsia="pl-PL"/>
        </w:rPr>
        <w:t xml:space="preserve">In accordance with guidelines included in </w:t>
      </w:r>
      <w:r w:rsidRPr="00F3496A">
        <w:rPr>
          <w:i/>
          <w:noProof/>
          <w:lang w:val="en-US" w:eastAsia="pl-PL"/>
        </w:rPr>
        <w:t>Compilers Guide for statistics on STEC</w:t>
      </w:r>
      <w:r w:rsidRPr="00F3496A">
        <w:rPr>
          <w:noProof/>
          <w:lang w:val="en-US" w:eastAsia="pl-PL"/>
        </w:rPr>
        <w:t>, during t</w:t>
      </w:r>
      <w:r w:rsidR="002B7D18">
        <w:rPr>
          <w:noProof/>
          <w:lang w:val="en-US" w:eastAsia="pl-PL"/>
        </w:rPr>
        <w:t>he data compilation process, co</w:t>
      </w:r>
      <w:r w:rsidRPr="00F3496A">
        <w:rPr>
          <w:noProof/>
          <w:lang w:val="en-US" w:eastAsia="pl-PL"/>
        </w:rPr>
        <w:t>mpilers took into account all value data on international trade in services which could not be linked with information derive from Base of Statistical Units (BJS). In this case, depending on the service item, the following assumptions were made:</w:t>
      </w:r>
    </w:p>
    <w:p w14:paraId="15EEB3B5" w14:textId="77777777" w:rsidR="000B6B9D" w:rsidRDefault="000B6B9D" w:rsidP="000B6B9D">
      <w:pPr>
        <w:pStyle w:val="Akapitzlist"/>
        <w:numPr>
          <w:ilvl w:val="0"/>
          <w:numId w:val="11"/>
        </w:numPr>
        <w:ind w:left="284" w:hanging="284"/>
        <w:rPr>
          <w:noProof/>
          <w:lang w:val="en-US" w:eastAsia="pl-PL"/>
        </w:rPr>
      </w:pPr>
      <w:r w:rsidRPr="00F3496A">
        <w:rPr>
          <w:noProof/>
          <w:lang w:val="en-US" w:eastAsia="pl-PL"/>
        </w:rPr>
        <w:t>in tables 1.1-1.6, 3.1-3.6 and 4.1-4.6 in the item "Non-attributed activity – Non-attributed size/ownership" were included:</w:t>
      </w:r>
    </w:p>
    <w:p w14:paraId="0170F4AF" w14:textId="77777777" w:rsidR="000B6B9D" w:rsidRDefault="000B6B9D" w:rsidP="000B6B9D">
      <w:pPr>
        <w:pStyle w:val="Akapitzlist"/>
        <w:numPr>
          <w:ilvl w:val="1"/>
          <w:numId w:val="11"/>
        </w:numPr>
        <w:ind w:left="567" w:hanging="283"/>
        <w:rPr>
          <w:noProof/>
          <w:lang w:val="en-US" w:eastAsia="pl-PL"/>
        </w:rPr>
      </w:pPr>
      <w:r w:rsidRPr="00F3496A">
        <w:rPr>
          <w:noProof/>
          <w:lang w:val="en-US" w:eastAsia="pl-PL"/>
        </w:rPr>
        <w:t>value of travel,</w:t>
      </w:r>
    </w:p>
    <w:p w14:paraId="65678D74"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value of financial intermediation services indirectly measured (FISIM),</w:t>
      </w:r>
    </w:p>
    <w:p w14:paraId="50AA779A"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grossed-up values on international trade in services – in case of units which had not fulfilled the reporting obligation,</w:t>
      </w:r>
    </w:p>
    <w:p w14:paraId="36BB39CB"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value of government services,</w:t>
      </w:r>
    </w:p>
    <w:p w14:paraId="47A4FB56"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value of insurance and pension services collected as part of the survey on international trade in services, but compiled by Narodowy Bank Polski based on a methodology compliant with the requirements of balance of payments,</w:t>
      </w:r>
    </w:p>
    <w:p w14:paraId="1F4ADCE0"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value of illegal services (only in tables on imports of services),</w:t>
      </w:r>
    </w:p>
    <w:p w14:paraId="16082D8F" w14:textId="77777777" w:rsidR="000B6B9D" w:rsidRDefault="000B6B9D" w:rsidP="000B6B9D">
      <w:pPr>
        <w:pStyle w:val="Akapitzlist"/>
        <w:numPr>
          <w:ilvl w:val="1"/>
          <w:numId w:val="11"/>
        </w:numPr>
        <w:ind w:left="567" w:hanging="283"/>
        <w:rPr>
          <w:noProof/>
          <w:lang w:val="en-US" w:eastAsia="pl-PL"/>
        </w:rPr>
      </w:pPr>
      <w:r w:rsidRPr="00C27F34">
        <w:rPr>
          <w:noProof/>
          <w:lang w:val="en-US" w:eastAsia="pl-PL"/>
        </w:rPr>
        <w:t>value of expenditures incurred by private persons for international transport (only in tables concerning imports of services),</w:t>
      </w:r>
    </w:p>
    <w:p w14:paraId="52C8728F" w14:textId="0A236E40" w:rsidR="000B6B9D" w:rsidRPr="00C27F34" w:rsidRDefault="000B6B9D" w:rsidP="000B6B9D">
      <w:pPr>
        <w:pStyle w:val="Akapitzlist"/>
        <w:numPr>
          <w:ilvl w:val="1"/>
          <w:numId w:val="11"/>
        </w:numPr>
        <w:ind w:left="567" w:hanging="283"/>
        <w:rPr>
          <w:noProof/>
          <w:lang w:val="en-US" w:eastAsia="pl-PL"/>
        </w:rPr>
      </w:pPr>
      <w:r w:rsidRPr="00C27F34">
        <w:rPr>
          <w:noProof/>
          <w:lang w:val="en-US" w:eastAsia="pl-PL"/>
        </w:rPr>
        <w:t>value of services resulting from the addition of transport costs included in the value of imported goods for which the base is the FOB delivery terms (only in tables concerning imports of services</w:t>
      </w:r>
      <w:r w:rsidR="002B7D18">
        <w:rPr>
          <w:noProof/>
          <w:lang w:val="en-US" w:eastAsia="pl-PL"/>
        </w:rPr>
        <w:t>)</w:t>
      </w:r>
      <w:r w:rsidRPr="00C27F34">
        <w:rPr>
          <w:noProof/>
          <w:lang w:val="en-US" w:eastAsia="pl-PL"/>
        </w:rPr>
        <w:t>;</w:t>
      </w:r>
    </w:p>
    <w:p w14:paraId="6EDFA6D9" w14:textId="77777777" w:rsidR="000B6B9D" w:rsidRDefault="000B6B9D" w:rsidP="000B6B9D">
      <w:pPr>
        <w:pStyle w:val="Akapitzlist"/>
        <w:numPr>
          <w:ilvl w:val="0"/>
          <w:numId w:val="11"/>
        </w:numPr>
        <w:ind w:left="284" w:hanging="284"/>
        <w:rPr>
          <w:noProof/>
          <w:lang w:val="en-US" w:eastAsia="pl-PL"/>
        </w:rPr>
      </w:pPr>
      <w:r>
        <w:rPr>
          <w:noProof/>
          <w:lang w:val="en-US" w:eastAsia="pl-PL"/>
        </w:rPr>
        <w:t>in tables 2.1-2.6 and 5.5-6.6:</w:t>
      </w:r>
    </w:p>
    <w:p w14:paraId="1510B6F0" w14:textId="77777777" w:rsidR="000B6B9D" w:rsidRDefault="000B6B9D" w:rsidP="000B6B9D">
      <w:pPr>
        <w:pStyle w:val="Akapitzlist"/>
        <w:numPr>
          <w:ilvl w:val="1"/>
          <w:numId w:val="11"/>
        </w:numPr>
        <w:ind w:left="578" w:hanging="294"/>
        <w:rPr>
          <w:noProof/>
          <w:lang w:val="en-US" w:eastAsia="pl-PL"/>
        </w:rPr>
      </w:pPr>
      <w:r w:rsidRPr="00695797">
        <w:rPr>
          <w:noProof/>
          <w:lang w:val="en-US" w:eastAsia="pl-PL"/>
        </w:rPr>
        <w:t>values on: travel, financial intermediation services indirectly measured (FISIM), government services, insurance and pension services compiled by Narodowy Bank Polski were included in lines corresponding to the indicated services in the column “Non-attributed activity”,</w:t>
      </w:r>
    </w:p>
    <w:p w14:paraId="3D46E270" w14:textId="71B22C53" w:rsidR="000B6B9D" w:rsidRDefault="000B6B9D" w:rsidP="000B6B9D">
      <w:pPr>
        <w:pStyle w:val="Akapitzlist"/>
        <w:numPr>
          <w:ilvl w:val="1"/>
          <w:numId w:val="11"/>
        </w:numPr>
        <w:ind w:left="567" w:hanging="283"/>
        <w:rPr>
          <w:noProof/>
          <w:color w:val="BFBFBF" w:themeColor="background1" w:themeShade="BF"/>
          <w:lang w:val="en-US" w:eastAsia="pl-PL"/>
        </w:rPr>
      </w:pPr>
      <w:r w:rsidRPr="00695797">
        <w:rPr>
          <w:noProof/>
          <w:lang w:val="en-US" w:eastAsia="pl-PL"/>
        </w:rPr>
        <w:t xml:space="preserve">values on: grossed-up data on international trade in services (in case of units which had not fulfilled the reporting obligation), illegal services,  expenditures incurred by private persons for international transport  and services resulting from the addition of transport costs included in the value of imported goods for which the base is the FOB delivery terms (last three service items </w:t>
      </w:r>
      <w:r w:rsidR="002B7D18">
        <w:rPr>
          <w:noProof/>
          <w:lang w:val="en-US" w:eastAsia="pl-PL"/>
        </w:rPr>
        <w:t xml:space="preserve">- </w:t>
      </w:r>
      <w:r w:rsidRPr="00695797">
        <w:rPr>
          <w:noProof/>
          <w:lang w:val="en-US" w:eastAsia="pl-PL"/>
        </w:rPr>
        <w:t xml:space="preserve">only in tables concerning imports of services) were included in line and column </w:t>
      </w:r>
      <w:r w:rsidR="002B7D18">
        <w:rPr>
          <w:noProof/>
          <w:lang w:val="en-US" w:eastAsia="pl-PL"/>
        </w:rPr>
        <w:t xml:space="preserve">intersection </w:t>
      </w:r>
      <w:r w:rsidRPr="00695797">
        <w:rPr>
          <w:noProof/>
          <w:lang w:val="en-US" w:eastAsia="pl-PL"/>
        </w:rPr>
        <w:t>“Non-attributed activity/services/size/ownership”</w:t>
      </w:r>
      <w:r>
        <w:rPr>
          <w:noProof/>
          <w:lang w:val="en-US" w:eastAsia="pl-PL"/>
        </w:rPr>
        <w:t>.</w:t>
      </w:r>
    </w:p>
    <w:p w14:paraId="6369C6F1" w14:textId="654E74B5" w:rsidR="000B6B9D" w:rsidRDefault="000B6B9D" w:rsidP="000B6B9D">
      <w:pPr>
        <w:rPr>
          <w:noProof/>
          <w:lang w:val="en-US" w:eastAsia="pl-PL"/>
        </w:rPr>
      </w:pPr>
      <w:r w:rsidRPr="00506FA9">
        <w:rPr>
          <w:noProof/>
          <w:lang w:val="en-US" w:eastAsia="pl-PL"/>
        </w:rPr>
        <w:t xml:space="preserve">Tables 4.5 and 4.6 </w:t>
      </w:r>
      <w:r w:rsidRPr="00506FA9">
        <w:rPr>
          <w:i/>
          <w:noProof/>
          <w:lang w:val="en-US" w:eastAsia="pl-PL"/>
        </w:rPr>
        <w:t>Trade value by activity sector</w:t>
      </w:r>
      <w:r w:rsidRPr="00506FA9">
        <w:rPr>
          <w:noProof/>
          <w:lang w:val="en-US" w:eastAsia="pl-PL"/>
        </w:rPr>
        <w:t xml:space="preserve">, apart from total value of exports of services and imports of services, also include ratios of exports intensity (table 4.5) and imports intensity (table 4.6). </w:t>
      </w:r>
      <w:r>
        <w:rPr>
          <w:noProof/>
          <w:lang w:val="en-US" w:eastAsia="pl-PL"/>
        </w:rPr>
        <w:t>Those ratio</w:t>
      </w:r>
      <w:r w:rsidR="002B7D18">
        <w:rPr>
          <w:noProof/>
          <w:lang w:val="en-US" w:eastAsia="pl-PL"/>
        </w:rPr>
        <w:t>s were compiled as share of tot</w:t>
      </w:r>
      <w:r>
        <w:rPr>
          <w:noProof/>
          <w:lang w:val="en-US" w:eastAsia="pl-PL"/>
        </w:rPr>
        <w:t>al value od exports of services</w:t>
      </w:r>
      <w:r w:rsidR="002B7D18">
        <w:rPr>
          <w:noProof/>
          <w:lang w:val="en-US" w:eastAsia="pl-PL"/>
        </w:rPr>
        <w:t xml:space="preserve"> and imports of services in </w:t>
      </w:r>
      <w:r>
        <w:rPr>
          <w:noProof/>
          <w:lang w:val="en-US" w:eastAsia="pl-PL"/>
        </w:rPr>
        <w:t xml:space="preserve">total value of turnover </w:t>
      </w:r>
      <w:r w:rsidR="002B7D18">
        <w:rPr>
          <w:noProof/>
          <w:lang w:val="en-US" w:eastAsia="pl-PL"/>
        </w:rPr>
        <w:t xml:space="preserve">and expenditures </w:t>
      </w:r>
      <w:r>
        <w:rPr>
          <w:noProof/>
          <w:lang w:val="en-US" w:eastAsia="pl-PL"/>
        </w:rPr>
        <w:t>of entities w</w:t>
      </w:r>
      <w:r w:rsidR="002B7D18">
        <w:rPr>
          <w:noProof/>
          <w:lang w:val="en-US" w:eastAsia="pl-PL"/>
        </w:rPr>
        <w:t>hich were included in sample fra</w:t>
      </w:r>
      <w:r>
        <w:rPr>
          <w:noProof/>
          <w:lang w:val="en-US" w:eastAsia="pl-PL"/>
        </w:rPr>
        <w:t xml:space="preserve">me of </w:t>
      </w:r>
      <w:r w:rsidRPr="00506FA9">
        <w:rPr>
          <w:i/>
          <w:noProof/>
          <w:lang w:val="en-US" w:eastAsia="pl-PL"/>
        </w:rPr>
        <w:t>International trade in services</w:t>
      </w:r>
      <w:r>
        <w:rPr>
          <w:noProof/>
          <w:lang w:val="en-US" w:eastAsia="pl-PL"/>
        </w:rPr>
        <w:t xml:space="preserve"> survey. </w:t>
      </w:r>
    </w:p>
    <w:p w14:paraId="6C01E6BC" w14:textId="77777777" w:rsidR="000B6B9D" w:rsidRDefault="000B6B9D" w:rsidP="000B6B9D">
      <w:pPr>
        <w:rPr>
          <w:noProof/>
          <w:lang w:val="en-US" w:eastAsia="pl-PL"/>
        </w:rPr>
      </w:pPr>
      <w:r w:rsidRPr="00506FA9">
        <w:rPr>
          <w:noProof/>
          <w:lang w:val="en-US" w:eastAsia="pl-PL"/>
        </w:rPr>
        <w:t>The tables were compiled in thousands of PLN (with one decimal).</w:t>
      </w:r>
      <w:r>
        <w:rPr>
          <w:noProof/>
          <w:color w:val="BFBFBF" w:themeColor="background1" w:themeShade="BF"/>
          <w:lang w:val="en-US" w:eastAsia="pl-PL"/>
        </w:rPr>
        <w:t xml:space="preserve"> </w:t>
      </w:r>
      <w:r w:rsidRPr="00506FA9">
        <w:rPr>
          <w:noProof/>
          <w:lang w:val="en-US" w:eastAsia="pl-PL"/>
        </w:rPr>
        <w:t>In all compiled tables the following rules were applied:</w:t>
      </w:r>
    </w:p>
    <w:p w14:paraId="1FFDBCAD" w14:textId="77777777" w:rsidR="000B6B9D" w:rsidRPr="00897D8C" w:rsidRDefault="000B6B9D" w:rsidP="000B6B9D">
      <w:pPr>
        <w:pStyle w:val="Akapitzlist"/>
        <w:numPr>
          <w:ilvl w:val="0"/>
          <w:numId w:val="12"/>
        </w:numPr>
        <w:ind w:left="284" w:hanging="284"/>
        <w:rPr>
          <w:noProof/>
          <w:lang w:val="en-US" w:eastAsia="pl-PL"/>
        </w:rPr>
      </w:pPr>
      <w:r w:rsidRPr="00897D8C">
        <w:rPr>
          <w:noProof/>
          <w:lang w:val="en-US" w:eastAsia="pl-PL"/>
        </w:rPr>
        <w:t xml:space="preserve">primary and secondary confidential values were marked as empty cells, </w:t>
      </w:r>
    </w:p>
    <w:p w14:paraId="643BEE6B" w14:textId="77777777" w:rsidR="000B6B9D" w:rsidRPr="00897D8C" w:rsidRDefault="000B6B9D" w:rsidP="000B6B9D">
      <w:pPr>
        <w:pStyle w:val="Akapitzlist"/>
        <w:numPr>
          <w:ilvl w:val="0"/>
          <w:numId w:val="12"/>
        </w:numPr>
        <w:ind w:left="284" w:hanging="284"/>
        <w:rPr>
          <w:noProof/>
          <w:lang w:val="en-US" w:eastAsia="pl-PL"/>
        </w:rPr>
      </w:pPr>
      <w:r w:rsidRPr="00897D8C">
        <w:rPr>
          <w:noProof/>
          <w:lang w:val="en-US" w:eastAsia="pl-PL"/>
        </w:rPr>
        <w:t>in case of phenomenon did not occur or value of service was below PLN 1,000 and was not confidential – the cells were filled with the value “0.0” (zero),</w:t>
      </w:r>
    </w:p>
    <w:p w14:paraId="6A367A33" w14:textId="77777777" w:rsidR="000B6B9D" w:rsidRPr="00897D8C" w:rsidRDefault="000B6B9D" w:rsidP="000B6B9D">
      <w:pPr>
        <w:pStyle w:val="Akapitzlist"/>
        <w:numPr>
          <w:ilvl w:val="0"/>
          <w:numId w:val="12"/>
        </w:numPr>
        <w:ind w:left="284" w:hanging="284"/>
        <w:rPr>
          <w:noProof/>
          <w:lang w:val="en-US" w:eastAsia="pl-PL"/>
        </w:rPr>
      </w:pPr>
      <w:r w:rsidRPr="00897D8C">
        <w:rPr>
          <w:noProof/>
          <w:lang w:val="en-US" w:eastAsia="pl-PL"/>
        </w:rPr>
        <w:t>in tables 4.5 and 4.6 in columns concerning intensity ratios in case of:</w:t>
      </w:r>
    </w:p>
    <w:p w14:paraId="46FAF5FB" w14:textId="5BA2F135" w:rsidR="000B6B9D" w:rsidRDefault="000B6B9D" w:rsidP="000B6B9D">
      <w:pPr>
        <w:pStyle w:val="Akapitzlist"/>
        <w:numPr>
          <w:ilvl w:val="1"/>
          <w:numId w:val="12"/>
        </w:numPr>
        <w:ind w:left="567" w:hanging="283"/>
        <w:rPr>
          <w:noProof/>
          <w:lang w:val="en-US" w:eastAsia="pl-PL"/>
        </w:rPr>
      </w:pPr>
      <w:r>
        <w:rPr>
          <w:noProof/>
          <w:lang w:val="en-US" w:eastAsia="pl-PL"/>
        </w:rPr>
        <w:t>not available data on turnover or expenditures of entities, as well as low reliability of these data, the flags “:” and “:u” were adopted,</w:t>
      </w:r>
    </w:p>
    <w:p w14:paraId="24BB76E7" w14:textId="77777777" w:rsidR="000B6B9D" w:rsidRPr="00897D8C" w:rsidRDefault="000B6B9D" w:rsidP="000B6B9D">
      <w:pPr>
        <w:pStyle w:val="Akapitzlist"/>
        <w:numPr>
          <w:ilvl w:val="1"/>
          <w:numId w:val="12"/>
        </w:numPr>
        <w:ind w:left="567" w:hanging="283"/>
        <w:rPr>
          <w:noProof/>
          <w:lang w:val="en-US" w:eastAsia="pl-PL"/>
        </w:rPr>
      </w:pPr>
      <w:r>
        <w:rPr>
          <w:noProof/>
          <w:lang w:val="en-US" w:eastAsia="pl-PL"/>
        </w:rPr>
        <w:t>confidential data – the flag “c” was adopted.</w:t>
      </w:r>
    </w:p>
    <w:p w14:paraId="13227203" w14:textId="50EDE03C" w:rsidR="005916D7" w:rsidRPr="00104934" w:rsidRDefault="00104934" w:rsidP="00633014">
      <w:pPr>
        <w:pStyle w:val="LID"/>
        <w:rPr>
          <w:rFonts w:ascii="Fira Sans SemiBold" w:hAnsi="Fira Sans SemiBold"/>
          <w:b w:val="0"/>
          <w:color w:val="001D77"/>
          <w:lang w:val="en-US"/>
        </w:rPr>
      </w:pPr>
      <w:r w:rsidRPr="00104934">
        <w:rPr>
          <w:rFonts w:ascii="Fira Sans SemiBold" w:hAnsi="Fira Sans SemiBold"/>
          <w:b w:val="0"/>
          <w:color w:val="001D77"/>
          <w:lang w:val="en-US"/>
        </w:rPr>
        <w:t>Summary</w:t>
      </w:r>
    </w:p>
    <w:p w14:paraId="4FD371D2" w14:textId="27020933" w:rsidR="00503A91" w:rsidRPr="00503A91" w:rsidRDefault="00503A91" w:rsidP="00503A91">
      <w:pPr>
        <w:rPr>
          <w:szCs w:val="19"/>
          <w:lang w:val="en-US"/>
        </w:rPr>
      </w:pPr>
      <w:r w:rsidRPr="00503A91">
        <w:rPr>
          <w:szCs w:val="19"/>
          <w:lang w:val="en-US"/>
        </w:rPr>
        <w:t>The work</w:t>
      </w:r>
      <w:r>
        <w:rPr>
          <w:szCs w:val="19"/>
          <w:lang w:val="en-US"/>
        </w:rPr>
        <w:t>s carried out in the projects "S</w:t>
      </w:r>
      <w:r w:rsidRPr="00503A91">
        <w:rPr>
          <w:szCs w:val="19"/>
          <w:lang w:val="en-US"/>
        </w:rPr>
        <w:t xml:space="preserve">tatistics </w:t>
      </w:r>
      <w:r>
        <w:rPr>
          <w:szCs w:val="19"/>
          <w:lang w:val="en-US"/>
        </w:rPr>
        <w:t>on</w:t>
      </w:r>
      <w:r w:rsidRPr="00503A91">
        <w:rPr>
          <w:szCs w:val="19"/>
          <w:lang w:val="en-US"/>
        </w:rPr>
        <w:t xml:space="preserve"> international trade in services </w:t>
      </w:r>
      <w:r>
        <w:rPr>
          <w:szCs w:val="19"/>
          <w:lang w:val="en-US"/>
        </w:rPr>
        <w:t xml:space="preserve">by </w:t>
      </w:r>
      <w:r w:rsidRPr="00503A91">
        <w:rPr>
          <w:szCs w:val="19"/>
          <w:lang w:val="en-US"/>
        </w:rPr>
        <w:t xml:space="preserve">enterprise characteristics (STEC)" for 2016 and 2018 allowed for </w:t>
      </w:r>
      <w:r>
        <w:rPr>
          <w:szCs w:val="19"/>
          <w:lang w:val="en-US"/>
        </w:rPr>
        <w:t xml:space="preserve">checking the </w:t>
      </w:r>
      <w:r w:rsidRPr="00503A91">
        <w:rPr>
          <w:szCs w:val="19"/>
          <w:lang w:val="en-US"/>
        </w:rPr>
        <w:t>possib</w:t>
      </w:r>
      <w:r w:rsidR="00115342">
        <w:rPr>
          <w:szCs w:val="19"/>
          <w:lang w:val="en-US"/>
        </w:rPr>
        <w:t xml:space="preserve">ility of obtaining data for </w:t>
      </w:r>
      <w:r w:rsidRPr="00503A91">
        <w:rPr>
          <w:szCs w:val="19"/>
          <w:lang w:val="en-US"/>
        </w:rPr>
        <w:t>STEC tables</w:t>
      </w:r>
      <w:r>
        <w:rPr>
          <w:szCs w:val="19"/>
          <w:lang w:val="en-US"/>
        </w:rPr>
        <w:t xml:space="preserve"> compilation</w:t>
      </w:r>
      <w:r w:rsidRPr="00503A91">
        <w:rPr>
          <w:szCs w:val="19"/>
          <w:lang w:val="en-US"/>
        </w:rPr>
        <w:t xml:space="preserve">, but most of all </w:t>
      </w:r>
      <w:r>
        <w:rPr>
          <w:szCs w:val="19"/>
          <w:lang w:val="en-US"/>
        </w:rPr>
        <w:t xml:space="preserve">for the development and testing </w:t>
      </w:r>
      <w:r w:rsidRPr="00503A91">
        <w:rPr>
          <w:szCs w:val="19"/>
          <w:lang w:val="en-US"/>
        </w:rPr>
        <w:t xml:space="preserve">the </w:t>
      </w:r>
      <w:r>
        <w:rPr>
          <w:szCs w:val="19"/>
          <w:lang w:val="en-US"/>
        </w:rPr>
        <w:lastRenderedPageBreak/>
        <w:t>methodology for compilation</w:t>
      </w:r>
      <w:r w:rsidRPr="00503A91">
        <w:rPr>
          <w:szCs w:val="19"/>
          <w:lang w:val="en-US"/>
        </w:rPr>
        <w:t xml:space="preserve"> data n</w:t>
      </w:r>
      <w:r>
        <w:rPr>
          <w:szCs w:val="19"/>
          <w:lang w:val="en-US"/>
        </w:rPr>
        <w:t>ecessary for supply these tables</w:t>
      </w:r>
      <w:r w:rsidR="00115342">
        <w:rPr>
          <w:szCs w:val="19"/>
          <w:lang w:val="en-US"/>
        </w:rPr>
        <w:t xml:space="preserve">, moreover </w:t>
      </w:r>
      <w:r w:rsidRPr="00503A91">
        <w:rPr>
          <w:szCs w:val="19"/>
          <w:lang w:val="en-US"/>
        </w:rPr>
        <w:t>identify</w:t>
      </w:r>
      <w:r w:rsidR="00115342">
        <w:rPr>
          <w:szCs w:val="19"/>
          <w:lang w:val="en-US"/>
        </w:rPr>
        <w:t>ing</w:t>
      </w:r>
      <w:r w:rsidRPr="00503A91">
        <w:rPr>
          <w:szCs w:val="19"/>
          <w:lang w:val="en-US"/>
        </w:rPr>
        <w:t xml:space="preserve"> all difficulties and thre</w:t>
      </w:r>
      <w:r>
        <w:rPr>
          <w:szCs w:val="19"/>
          <w:lang w:val="en-US"/>
        </w:rPr>
        <w:t>ats that may arise in the working process</w:t>
      </w:r>
      <w:r w:rsidRPr="00503A91">
        <w:rPr>
          <w:szCs w:val="19"/>
          <w:lang w:val="en-US"/>
        </w:rPr>
        <w:t>. An ad</w:t>
      </w:r>
      <w:r>
        <w:rPr>
          <w:szCs w:val="19"/>
          <w:lang w:val="en-US"/>
        </w:rPr>
        <w:t xml:space="preserve">ditional benefit of the projects </w:t>
      </w:r>
      <w:r w:rsidRPr="00503A91">
        <w:rPr>
          <w:szCs w:val="19"/>
          <w:lang w:val="en-US"/>
        </w:rPr>
        <w:t>was the consideration of the possibility of publishing data on international trade in goods and services in Poland</w:t>
      </w:r>
      <w:r>
        <w:rPr>
          <w:szCs w:val="19"/>
          <w:lang w:val="en-US"/>
        </w:rPr>
        <w:t xml:space="preserve"> by enterprise</w:t>
      </w:r>
      <w:r w:rsidRPr="00503A91">
        <w:rPr>
          <w:szCs w:val="19"/>
          <w:lang w:val="en-US"/>
        </w:rPr>
        <w:t xml:space="preserve"> characteristics, which could result in better satisfaction of many </w:t>
      </w:r>
      <w:r w:rsidR="00115342" w:rsidRPr="00503A91">
        <w:rPr>
          <w:szCs w:val="19"/>
          <w:lang w:val="en-US"/>
        </w:rPr>
        <w:t>stakeholders</w:t>
      </w:r>
      <w:r w:rsidR="00115342" w:rsidRPr="00503A91">
        <w:rPr>
          <w:szCs w:val="19"/>
          <w:lang w:val="en-US"/>
        </w:rPr>
        <w:t xml:space="preserve"> </w:t>
      </w:r>
      <w:r w:rsidR="00115342">
        <w:rPr>
          <w:szCs w:val="19"/>
          <w:lang w:val="en-US"/>
        </w:rPr>
        <w:t>groups</w:t>
      </w:r>
      <w:r w:rsidRPr="00503A91">
        <w:rPr>
          <w:szCs w:val="19"/>
          <w:lang w:val="en-US"/>
        </w:rPr>
        <w:t xml:space="preserve"> </w:t>
      </w:r>
      <w:r w:rsidR="00115342">
        <w:rPr>
          <w:szCs w:val="19"/>
          <w:lang w:val="en-US"/>
        </w:rPr>
        <w:t>(e.g. scientific community</w:t>
      </w:r>
      <w:r w:rsidRPr="00503A91">
        <w:rPr>
          <w:szCs w:val="19"/>
          <w:lang w:val="en-US"/>
        </w:rPr>
        <w:t>).</w:t>
      </w:r>
    </w:p>
    <w:p w14:paraId="5F010FC0" w14:textId="42F3CC94" w:rsidR="00694AF0" w:rsidRPr="00503A91" w:rsidRDefault="00503A91" w:rsidP="00503A91">
      <w:pPr>
        <w:rPr>
          <w:szCs w:val="19"/>
          <w:lang w:val="en-US"/>
        </w:rPr>
        <w:sectPr w:rsidR="00694AF0" w:rsidRPr="00503A91" w:rsidSect="003B18B6">
          <w:headerReference w:type="default" r:id="rId8"/>
          <w:footerReference w:type="default" r:id="rId9"/>
          <w:headerReference w:type="first" r:id="rId10"/>
          <w:footerReference w:type="first" r:id="rId11"/>
          <w:pgSz w:w="11906" w:h="16838"/>
          <w:pgMar w:top="720" w:right="3119" w:bottom="720" w:left="720" w:header="284" w:footer="283" w:gutter="0"/>
          <w:cols w:space="708"/>
          <w:titlePg/>
          <w:docGrid w:linePitch="360"/>
        </w:sectPr>
      </w:pPr>
      <w:r w:rsidRPr="00503A91">
        <w:rPr>
          <w:szCs w:val="19"/>
          <w:lang w:val="en-US"/>
        </w:rPr>
        <w:t>It is ex</w:t>
      </w:r>
      <w:r w:rsidR="00104A27">
        <w:rPr>
          <w:szCs w:val="19"/>
          <w:lang w:val="en-US"/>
        </w:rPr>
        <w:t>pected that after the end</w:t>
      </w:r>
      <w:r w:rsidRPr="00503A91">
        <w:rPr>
          <w:szCs w:val="19"/>
          <w:lang w:val="en-US"/>
        </w:rPr>
        <w:t xml:space="preserve"> of the work related to the </w:t>
      </w:r>
      <w:r w:rsidR="00104A27" w:rsidRPr="00503A91">
        <w:rPr>
          <w:szCs w:val="19"/>
          <w:lang w:val="en-US"/>
        </w:rPr>
        <w:t xml:space="preserve">carried out </w:t>
      </w:r>
      <w:r w:rsidRPr="00503A91">
        <w:rPr>
          <w:szCs w:val="19"/>
          <w:lang w:val="en-US"/>
        </w:rPr>
        <w:t xml:space="preserve">projects </w:t>
      </w:r>
      <w:r w:rsidR="00104A27">
        <w:rPr>
          <w:szCs w:val="19"/>
          <w:lang w:val="en-US"/>
        </w:rPr>
        <w:t xml:space="preserve">and the entry into force of FRIBS, the compilation </w:t>
      </w:r>
      <w:r w:rsidRPr="00503A91">
        <w:rPr>
          <w:szCs w:val="19"/>
          <w:lang w:val="en-US"/>
        </w:rPr>
        <w:t>of STEC tables will continue in line with international requirements for international trade in services.</w:t>
      </w:r>
    </w:p>
    <w:p w14:paraId="2D0CEE3B" w14:textId="77777777" w:rsidR="0020036B" w:rsidRPr="00787221" w:rsidRDefault="0020036B" w:rsidP="0020036B">
      <w:pPr>
        <w:rPr>
          <w:sz w:val="18"/>
          <w:lang w:val="en-US"/>
        </w:rPr>
      </w:pPr>
      <w:r w:rsidRPr="00787221">
        <w:rPr>
          <w:sz w:val="18"/>
          <w:lang w:val="en-US"/>
        </w:rPr>
        <w:t>In case of quoting Statistics Poland data, please provide information: “Source of data: Statistics Poland”, and in case of publishing calculations made on data published by Statistics Poland, please include the following disclaimer: “Own study based on figures from Statistics Poland”.</w:t>
      </w:r>
    </w:p>
    <w:p w14:paraId="46C61237" w14:textId="77777777" w:rsidR="000470AA" w:rsidRPr="00732230" w:rsidRDefault="000470AA" w:rsidP="000470AA">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165"/>
        <w:gridCol w:w="3728"/>
      </w:tblGrid>
      <w:tr w:rsidR="000470AA" w:rsidRPr="00D742AA" w14:paraId="52FD7197" w14:textId="77777777" w:rsidTr="00AC3FCE">
        <w:trPr>
          <w:trHeight w:val="1506"/>
        </w:trPr>
        <w:tc>
          <w:tcPr>
            <w:tcW w:w="4165" w:type="dxa"/>
          </w:tcPr>
          <w:p w14:paraId="37B59D2D" w14:textId="77777777" w:rsidR="000470AA" w:rsidRPr="008408D9" w:rsidRDefault="001D2736" w:rsidP="00E23337">
            <w:pPr>
              <w:spacing w:before="0" w:after="0" w:line="276" w:lineRule="auto"/>
              <w:rPr>
                <w:rFonts w:cs="Arial"/>
                <w:color w:val="000000" w:themeColor="text1"/>
                <w:sz w:val="20"/>
                <w:lang w:val="en-US"/>
              </w:rPr>
            </w:pPr>
            <w:r w:rsidRPr="002D4DAA">
              <w:rPr>
                <w:rFonts w:cs="Arial"/>
                <w:color w:val="000000" w:themeColor="text1"/>
                <w:sz w:val="20"/>
                <w:lang w:val="en-US"/>
              </w:rPr>
              <w:t>Prepa</w:t>
            </w:r>
            <w:r w:rsidRPr="008408D9">
              <w:rPr>
                <w:rFonts w:cs="Arial"/>
                <w:color w:val="000000" w:themeColor="text1"/>
                <w:sz w:val="20"/>
                <w:lang w:val="en-US"/>
              </w:rPr>
              <w:t>red by</w:t>
            </w:r>
            <w:r w:rsidR="000470AA" w:rsidRPr="008408D9">
              <w:rPr>
                <w:rFonts w:cs="Arial"/>
                <w:color w:val="000000" w:themeColor="text1"/>
                <w:sz w:val="20"/>
                <w:lang w:val="en-US"/>
              </w:rPr>
              <w:t>:</w:t>
            </w:r>
          </w:p>
          <w:p w14:paraId="4D5B8EFB" w14:textId="77777777" w:rsidR="000470AA" w:rsidRPr="008408D9" w:rsidRDefault="008408D9" w:rsidP="00D00796">
            <w:pPr>
              <w:spacing w:before="0" w:after="0" w:line="240" w:lineRule="auto"/>
              <w:rPr>
                <w:rFonts w:cs="Arial"/>
                <w:b/>
                <w:color w:val="000000" w:themeColor="text1"/>
                <w:sz w:val="20"/>
                <w:lang w:val="en-US"/>
              </w:rPr>
            </w:pPr>
            <w:r w:rsidRPr="008408D9">
              <w:rPr>
                <w:rFonts w:cs="Arial"/>
                <w:b/>
                <w:color w:val="000000" w:themeColor="text1"/>
                <w:sz w:val="20"/>
                <w:lang w:val="en-US"/>
              </w:rPr>
              <w:t>Trade and Services Depar</w:t>
            </w:r>
            <w:r w:rsidR="00AC3FCE" w:rsidRPr="008408D9">
              <w:rPr>
                <w:rFonts w:cs="Arial"/>
                <w:b/>
                <w:color w:val="000000" w:themeColor="text1"/>
                <w:sz w:val="20"/>
                <w:lang w:val="en-US"/>
              </w:rPr>
              <w:t>tment</w:t>
            </w:r>
          </w:p>
          <w:p w14:paraId="4C88FF89" w14:textId="77777777" w:rsidR="000470AA" w:rsidRPr="003B236A" w:rsidRDefault="008408D9" w:rsidP="00D00796">
            <w:pPr>
              <w:pStyle w:val="Nagwek3"/>
              <w:spacing w:before="0" w:line="240" w:lineRule="auto"/>
              <w:rPr>
                <w:rFonts w:ascii="Fira Sans" w:hAnsi="Fira Sans" w:cs="Arial"/>
                <w:b/>
                <w:color w:val="000000" w:themeColor="text1"/>
                <w:sz w:val="20"/>
                <w:szCs w:val="28"/>
              </w:rPr>
            </w:pPr>
            <w:r w:rsidRPr="003B236A">
              <w:rPr>
                <w:rFonts w:ascii="Fira Sans" w:hAnsi="Fira Sans" w:cs="Arial"/>
                <w:b/>
                <w:color w:val="000000" w:themeColor="text1"/>
                <w:sz w:val="20"/>
                <w:szCs w:val="28"/>
              </w:rPr>
              <w:t>Agnieszka Kaźmierczak</w:t>
            </w:r>
          </w:p>
          <w:p w14:paraId="3EC00821" w14:textId="77777777" w:rsidR="000470AA" w:rsidRPr="008F3638" w:rsidRDefault="000470AA" w:rsidP="00D00796">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sidR="008408D9">
              <w:rPr>
                <w:rFonts w:ascii="Fira Sans" w:hAnsi="Fira Sans" w:cs="Arial"/>
                <w:color w:val="000000" w:themeColor="text1"/>
                <w:sz w:val="20"/>
                <w:lang w:val="fi-FI"/>
              </w:rPr>
              <w:t>+48 22</w:t>
            </w:r>
            <w:r w:rsidRPr="008F3638">
              <w:rPr>
                <w:rFonts w:ascii="Fira Sans" w:hAnsi="Fira Sans" w:cs="Arial"/>
                <w:color w:val="000000" w:themeColor="text1"/>
                <w:sz w:val="20"/>
                <w:lang w:val="fi-FI"/>
              </w:rPr>
              <w:t> </w:t>
            </w:r>
            <w:r w:rsidR="008408D9">
              <w:rPr>
                <w:rFonts w:ascii="Fira Sans" w:hAnsi="Fira Sans" w:cs="Arial"/>
                <w:color w:val="000000" w:themeColor="text1"/>
                <w:sz w:val="20"/>
                <w:lang w:val="fi-FI"/>
              </w:rPr>
              <w:t>608</w:t>
            </w:r>
            <w:r w:rsidR="00EB5A7D">
              <w:rPr>
                <w:rFonts w:ascii="Fira Sans" w:hAnsi="Fira Sans" w:cs="Arial"/>
                <w:color w:val="000000" w:themeColor="text1"/>
                <w:sz w:val="20"/>
                <w:lang w:val="fi-FI"/>
              </w:rPr>
              <w:t xml:space="preserve"> </w:t>
            </w:r>
            <w:r w:rsidR="008408D9">
              <w:rPr>
                <w:rFonts w:ascii="Fira Sans" w:hAnsi="Fira Sans" w:cs="Arial"/>
                <w:color w:val="000000" w:themeColor="text1"/>
                <w:sz w:val="20"/>
                <w:lang w:val="fi-FI"/>
              </w:rPr>
              <w:t>33</w:t>
            </w:r>
            <w:r w:rsidR="00EB5A7D">
              <w:rPr>
                <w:rFonts w:ascii="Fira Sans" w:hAnsi="Fira Sans" w:cs="Arial"/>
                <w:color w:val="000000" w:themeColor="text1"/>
                <w:sz w:val="20"/>
                <w:lang w:val="fi-FI"/>
              </w:rPr>
              <w:t xml:space="preserve"> </w:t>
            </w:r>
            <w:r w:rsidR="008408D9">
              <w:rPr>
                <w:rFonts w:ascii="Fira Sans" w:hAnsi="Fira Sans" w:cs="Arial"/>
                <w:color w:val="000000" w:themeColor="text1"/>
                <w:sz w:val="20"/>
                <w:lang w:val="fi-FI"/>
              </w:rPr>
              <w:t>26</w:t>
            </w:r>
          </w:p>
          <w:p w14:paraId="6804C043" w14:textId="77777777" w:rsidR="000470AA" w:rsidRPr="008F3638" w:rsidRDefault="000470AA" w:rsidP="008408D9">
            <w:pPr>
              <w:pStyle w:val="Nagwek3"/>
              <w:spacing w:before="0" w:line="240" w:lineRule="auto"/>
              <w:rPr>
                <w:rFonts w:ascii="Fira Sans" w:hAnsi="Fira Sans"/>
                <w:color w:val="000000" w:themeColor="text1"/>
                <w:lang w:val="fi-FI"/>
              </w:rPr>
            </w:pPr>
            <w:r w:rsidRPr="003B236A">
              <w:rPr>
                <w:rFonts w:ascii="Fira Sans" w:hAnsi="Fira Sans" w:cs="Arial"/>
                <w:b/>
                <w:color w:val="000000" w:themeColor="text1"/>
                <w:sz w:val="20"/>
                <w:szCs w:val="20"/>
              </w:rPr>
              <w:t xml:space="preserve">e-mail: </w:t>
            </w:r>
            <w:hyperlink r:id="rId12" w:history="1">
              <w:r w:rsidR="00A9750D" w:rsidRPr="00173795">
                <w:rPr>
                  <w:rStyle w:val="Hipercze"/>
                  <w:rFonts w:ascii="Fira Sans" w:hAnsi="Fira Sans" w:cs="Arial"/>
                  <w:b/>
                  <w:color w:val="auto"/>
                  <w:sz w:val="20"/>
                  <w:szCs w:val="20"/>
                </w:rPr>
                <w:t>a.kazmierczak@stat.gov.pl</w:t>
              </w:r>
            </w:hyperlink>
          </w:p>
        </w:tc>
        <w:tc>
          <w:tcPr>
            <w:tcW w:w="3728" w:type="dxa"/>
          </w:tcPr>
          <w:p w14:paraId="1950C839" w14:textId="46F6647C" w:rsidR="00AC3FCE" w:rsidRPr="00057979" w:rsidRDefault="001D2736" w:rsidP="00E23337">
            <w:pPr>
              <w:spacing w:before="0" w:after="0" w:line="276" w:lineRule="auto"/>
              <w:rPr>
                <w:rFonts w:cs="Arial"/>
                <w:b/>
                <w:color w:val="000000" w:themeColor="text1"/>
                <w:sz w:val="20"/>
                <w:lang w:val="en-US"/>
              </w:rPr>
            </w:pPr>
            <w:r w:rsidRPr="00057979">
              <w:rPr>
                <w:rFonts w:cs="Arial"/>
                <w:color w:val="000000" w:themeColor="text1"/>
                <w:sz w:val="20"/>
                <w:lang w:val="en-US"/>
              </w:rPr>
              <w:t>Issued by</w:t>
            </w:r>
            <w:r w:rsidR="000470AA" w:rsidRPr="00057979">
              <w:rPr>
                <w:rFonts w:cs="Arial"/>
                <w:color w:val="000000" w:themeColor="text1"/>
                <w:sz w:val="20"/>
                <w:lang w:val="en-US"/>
              </w:rPr>
              <w:t>:</w:t>
            </w:r>
            <w:r w:rsidR="000470AA" w:rsidRPr="00057979">
              <w:rPr>
                <w:rFonts w:cs="Arial"/>
                <w:color w:val="000000" w:themeColor="text1"/>
                <w:sz w:val="20"/>
                <w:lang w:val="en-US"/>
              </w:rPr>
              <w:br/>
            </w:r>
            <w:r w:rsidR="00AC3FCE" w:rsidRPr="00057979">
              <w:rPr>
                <w:rFonts w:cs="Arial"/>
                <w:b/>
                <w:color w:val="000000" w:themeColor="text1"/>
                <w:sz w:val="20"/>
                <w:lang w:val="en-US"/>
              </w:rPr>
              <w:t>The Spoke</w:t>
            </w:r>
            <w:r w:rsidR="00197E62">
              <w:rPr>
                <w:rFonts w:cs="Arial"/>
                <w:b/>
                <w:color w:val="000000" w:themeColor="text1"/>
                <w:sz w:val="20"/>
                <w:lang w:val="en-US"/>
              </w:rPr>
              <w:t>s</w:t>
            </w:r>
            <w:r w:rsidR="00AC3FCE" w:rsidRPr="00057979">
              <w:rPr>
                <w:rFonts w:cs="Arial"/>
                <w:b/>
                <w:color w:val="000000" w:themeColor="text1"/>
                <w:sz w:val="20"/>
                <w:lang w:val="en-US"/>
              </w:rPr>
              <w:t>person</w:t>
            </w:r>
            <w:r w:rsidRPr="00057979">
              <w:rPr>
                <w:rFonts w:cs="Arial"/>
                <w:b/>
                <w:color w:val="000000" w:themeColor="text1"/>
                <w:sz w:val="20"/>
                <w:lang w:val="en-US"/>
              </w:rPr>
              <w:t xml:space="preserve"> </w:t>
            </w:r>
            <w:r w:rsidR="00AC3FCE" w:rsidRPr="00057979">
              <w:rPr>
                <w:rFonts w:cs="Arial"/>
                <w:b/>
                <w:color w:val="000000" w:themeColor="text1"/>
                <w:sz w:val="20"/>
                <w:lang w:val="en-US"/>
              </w:rPr>
              <w:t>for</w:t>
            </w:r>
            <w:r w:rsidRPr="00057979">
              <w:rPr>
                <w:rFonts w:cs="Arial"/>
                <w:b/>
                <w:color w:val="000000" w:themeColor="text1"/>
                <w:sz w:val="20"/>
                <w:lang w:val="en-US"/>
              </w:rPr>
              <w:t xml:space="preserve"> the President</w:t>
            </w:r>
            <w:r w:rsidR="00AC3FCE" w:rsidRPr="00057979">
              <w:rPr>
                <w:rFonts w:cs="Arial"/>
                <w:b/>
                <w:color w:val="000000" w:themeColor="text1"/>
                <w:sz w:val="20"/>
                <w:lang w:val="en-US"/>
              </w:rPr>
              <w:t xml:space="preserve"> </w:t>
            </w:r>
          </w:p>
          <w:p w14:paraId="4B1DEC2D" w14:textId="77777777" w:rsidR="000470AA" w:rsidRPr="00057979" w:rsidRDefault="00AC3FCE" w:rsidP="00E23337">
            <w:pPr>
              <w:spacing w:before="0" w:after="0" w:line="276" w:lineRule="auto"/>
              <w:rPr>
                <w:rFonts w:cs="Arial"/>
                <w:b/>
                <w:color w:val="000000" w:themeColor="text1"/>
                <w:sz w:val="20"/>
                <w:lang w:val="en-US"/>
              </w:rPr>
            </w:pPr>
            <w:r w:rsidRPr="00057979">
              <w:rPr>
                <w:rFonts w:cs="Arial"/>
                <w:b/>
                <w:color w:val="000000" w:themeColor="text1"/>
                <w:sz w:val="20"/>
                <w:lang w:val="en-US"/>
              </w:rPr>
              <w:t>of the Statistic Poland</w:t>
            </w:r>
          </w:p>
          <w:p w14:paraId="55FA6066" w14:textId="77777777" w:rsidR="000470AA" w:rsidRPr="00057979" w:rsidRDefault="004F14DE" w:rsidP="00D00796">
            <w:pPr>
              <w:pStyle w:val="Nagwek3"/>
              <w:spacing w:before="0" w:line="240" w:lineRule="auto"/>
              <w:rPr>
                <w:rFonts w:ascii="Fira Sans" w:hAnsi="Fira Sans" w:cs="Arial"/>
                <w:b/>
                <w:color w:val="000000" w:themeColor="text1"/>
                <w:sz w:val="20"/>
                <w:szCs w:val="28"/>
                <w:lang w:val="en-US"/>
              </w:rPr>
            </w:pPr>
            <w:r>
              <w:rPr>
                <w:rFonts w:ascii="Fira Sans" w:hAnsi="Fira Sans" w:cs="Arial"/>
                <w:b/>
                <w:color w:val="000000" w:themeColor="text1"/>
                <w:sz w:val="20"/>
                <w:szCs w:val="28"/>
                <w:lang w:val="en-US"/>
              </w:rPr>
              <w:t xml:space="preserve">Karolina </w:t>
            </w:r>
            <w:proofErr w:type="spellStart"/>
            <w:r>
              <w:rPr>
                <w:rFonts w:ascii="Fira Sans" w:hAnsi="Fira Sans" w:cs="Arial"/>
                <w:b/>
                <w:color w:val="000000" w:themeColor="text1"/>
                <w:sz w:val="20"/>
                <w:szCs w:val="28"/>
                <w:lang w:val="en-US"/>
              </w:rPr>
              <w:t>Banaszek</w:t>
            </w:r>
            <w:proofErr w:type="spellEnd"/>
          </w:p>
          <w:p w14:paraId="01511209" w14:textId="3C8D7D97" w:rsidR="000470AA" w:rsidRPr="008F3638" w:rsidRDefault="000470AA" w:rsidP="00D00796">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sidR="00D64203">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22 608 34</w:t>
            </w:r>
            <w:r w:rsidR="00173795">
              <w:rPr>
                <w:rFonts w:ascii="Fira Sans" w:hAnsi="Fira Sans" w:cs="Arial"/>
                <w:color w:val="000000" w:themeColor="text1"/>
                <w:sz w:val="20"/>
                <w:lang w:val="fi-FI"/>
              </w:rPr>
              <w:t xml:space="preserve"> </w:t>
            </w:r>
            <w:r w:rsidRPr="008F3638">
              <w:rPr>
                <w:rFonts w:ascii="Fira Sans" w:hAnsi="Fira Sans" w:cs="Arial"/>
                <w:color w:val="000000" w:themeColor="text1"/>
                <w:sz w:val="20"/>
                <w:lang w:val="fi-FI"/>
              </w:rPr>
              <w:t xml:space="preserve">75, </w:t>
            </w:r>
            <w:r w:rsidR="00D64203">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22 608 30</w:t>
            </w:r>
            <w:r w:rsidR="00173795">
              <w:rPr>
                <w:rFonts w:ascii="Fira Sans" w:hAnsi="Fira Sans" w:cs="Arial"/>
                <w:color w:val="000000" w:themeColor="text1"/>
                <w:sz w:val="20"/>
                <w:lang w:val="fi-FI"/>
              </w:rPr>
              <w:t xml:space="preserve"> </w:t>
            </w:r>
            <w:r w:rsidRPr="008F3638">
              <w:rPr>
                <w:rFonts w:ascii="Fira Sans" w:hAnsi="Fira Sans" w:cs="Arial"/>
                <w:color w:val="000000" w:themeColor="text1"/>
                <w:sz w:val="20"/>
                <w:lang w:val="fi-FI"/>
              </w:rPr>
              <w:t>09</w:t>
            </w:r>
          </w:p>
          <w:p w14:paraId="1E2D82BE" w14:textId="77777777" w:rsidR="000470AA" w:rsidRPr="008F3638" w:rsidRDefault="000470AA" w:rsidP="00D00796">
            <w:pPr>
              <w:pStyle w:val="Nagwek3"/>
              <w:spacing w:before="0" w:line="240" w:lineRule="auto"/>
              <w:rPr>
                <w:rFonts w:ascii="Fira Sans" w:hAnsi="Fira Sans" w:cs="Arial"/>
                <w:color w:val="000000" w:themeColor="text1"/>
                <w:sz w:val="20"/>
                <w:szCs w:val="20"/>
                <w:lang w:val="en-US"/>
              </w:rPr>
            </w:pPr>
            <w:r w:rsidRPr="008F3638">
              <w:rPr>
                <w:rFonts w:ascii="Fira Sans" w:hAnsi="Fira Sans" w:cs="Arial"/>
                <w:b/>
                <w:color w:val="000000" w:themeColor="text1"/>
                <w:sz w:val="20"/>
                <w:szCs w:val="20"/>
                <w:lang w:val="en-US"/>
              </w:rPr>
              <w:t xml:space="preserve">e-mail: </w:t>
            </w:r>
            <w:hyperlink r:id="rId13" w:history="1">
              <w:r w:rsidRPr="008F3638">
                <w:rPr>
                  <w:rStyle w:val="Hipercze"/>
                  <w:rFonts w:ascii="Fira Sans" w:hAnsi="Fira Sans" w:cs="Arial"/>
                  <w:b/>
                  <w:color w:val="000000" w:themeColor="text1"/>
                  <w:sz w:val="20"/>
                  <w:szCs w:val="20"/>
                  <w:lang w:val="en-US"/>
                </w:rPr>
                <w:t>rzecznik@stat.gov.pl</w:t>
              </w:r>
            </w:hyperlink>
          </w:p>
        </w:tc>
      </w:tr>
    </w:tbl>
    <w:p w14:paraId="5FFB8688" w14:textId="77777777" w:rsidR="000470AA" w:rsidRPr="00057979" w:rsidRDefault="000470AA" w:rsidP="000470AA">
      <w:pPr>
        <w:rPr>
          <w:sz w:val="20"/>
          <w:lang w:val="en-US"/>
        </w:rPr>
      </w:pPr>
    </w:p>
    <w:p w14:paraId="4F64FB4D" w14:textId="77777777" w:rsidR="000470AA" w:rsidRPr="00057979" w:rsidRDefault="000470AA" w:rsidP="000470AA">
      <w:pPr>
        <w:rPr>
          <w:sz w:val="1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D742AA" w14:paraId="6EB819A6" w14:textId="77777777" w:rsidTr="000470AA">
        <w:trPr>
          <w:trHeight w:val="610"/>
        </w:trPr>
        <w:tc>
          <w:tcPr>
            <w:tcW w:w="2721" w:type="pct"/>
            <w:vMerge w:val="restart"/>
            <w:vAlign w:val="center"/>
          </w:tcPr>
          <w:p w14:paraId="7009A863" w14:textId="77777777" w:rsidR="000470AA" w:rsidRPr="00057979" w:rsidRDefault="001D2736" w:rsidP="000470AA">
            <w:pPr>
              <w:rPr>
                <w:b/>
                <w:sz w:val="20"/>
                <w:lang w:val="en-US"/>
              </w:rPr>
            </w:pPr>
            <w:r w:rsidRPr="00057979">
              <w:rPr>
                <w:b/>
                <w:sz w:val="20"/>
                <w:lang w:val="en-US"/>
              </w:rPr>
              <w:t>Press Office</w:t>
            </w:r>
          </w:p>
          <w:p w14:paraId="3D8DE1FD" w14:textId="0631C4C1" w:rsidR="000470AA" w:rsidRPr="00057979" w:rsidRDefault="00173795" w:rsidP="000470AA">
            <w:pPr>
              <w:rPr>
                <w:sz w:val="20"/>
                <w:lang w:val="en-US"/>
              </w:rPr>
            </w:pPr>
            <w:r>
              <w:rPr>
                <w:sz w:val="20"/>
                <w:lang w:val="en-US"/>
              </w:rPr>
              <w:t>T</w:t>
            </w:r>
            <w:r w:rsidR="000470AA" w:rsidRPr="00173795">
              <w:rPr>
                <w:sz w:val="20"/>
                <w:lang w:val="en-US"/>
              </w:rPr>
              <w:t>el.:</w:t>
            </w:r>
            <w:r w:rsidR="000470AA" w:rsidRPr="00057979">
              <w:rPr>
                <w:b/>
                <w:sz w:val="20"/>
                <w:lang w:val="en-US"/>
              </w:rPr>
              <w:t xml:space="preserve"> </w:t>
            </w:r>
            <w:r w:rsidR="00D64203" w:rsidRPr="00057979">
              <w:rPr>
                <w:sz w:val="20"/>
                <w:lang w:val="en-US"/>
              </w:rPr>
              <w:t>+48 22 608 34 91, +48 22</w:t>
            </w:r>
            <w:r w:rsidR="000470AA" w:rsidRPr="00057979">
              <w:rPr>
                <w:sz w:val="20"/>
                <w:lang w:val="en-US"/>
              </w:rPr>
              <w:t xml:space="preserve"> 608 38 04 </w:t>
            </w:r>
          </w:p>
          <w:p w14:paraId="072382DA" w14:textId="01EC8645" w:rsidR="000470AA" w:rsidRPr="00057979" w:rsidRDefault="00173795" w:rsidP="000470AA">
            <w:pPr>
              <w:rPr>
                <w:sz w:val="20"/>
                <w:lang w:val="en-US"/>
              </w:rPr>
            </w:pPr>
            <w:r w:rsidRPr="00057979">
              <w:rPr>
                <w:b/>
                <w:sz w:val="20"/>
                <w:lang w:val="en-US"/>
              </w:rPr>
              <w:t>e-mail:</w:t>
            </w:r>
            <w:r w:rsidRPr="00057979">
              <w:rPr>
                <w:sz w:val="20"/>
                <w:lang w:val="en-US"/>
              </w:rPr>
              <w:t xml:space="preserve"> </w:t>
            </w:r>
            <w:hyperlink r:id="rId14" w:history="1">
              <w:r w:rsidRPr="00173795">
                <w:rPr>
                  <w:rStyle w:val="Hipercze"/>
                  <w:rFonts w:cstheme="minorBidi"/>
                  <w:b/>
                  <w:color w:val="auto"/>
                  <w:sz w:val="20"/>
                  <w:lang w:val="en-US"/>
                </w:rPr>
                <w:t>obslugaprasowa@stat.gov.pl</w:t>
              </w:r>
            </w:hyperlink>
            <w:r w:rsidR="000470AA" w:rsidRPr="00173795">
              <w:rPr>
                <w:b/>
                <w:sz w:val="20"/>
                <w:lang w:val="en-US"/>
              </w:rPr>
              <w:t xml:space="preserve"> </w:t>
            </w:r>
          </w:p>
          <w:p w14:paraId="785F93CC" w14:textId="76537326" w:rsidR="000470AA" w:rsidRPr="00057979" w:rsidRDefault="000470AA" w:rsidP="000470AA">
            <w:pPr>
              <w:rPr>
                <w:sz w:val="18"/>
                <w:lang w:val="en-US"/>
              </w:rPr>
            </w:pPr>
          </w:p>
        </w:tc>
        <w:tc>
          <w:tcPr>
            <w:tcW w:w="369" w:type="pct"/>
            <w:vAlign w:val="center"/>
          </w:tcPr>
          <w:p w14:paraId="05B5F891" w14:textId="77777777" w:rsidR="000470AA" w:rsidRPr="00057979" w:rsidRDefault="000470AA" w:rsidP="000470AA">
            <w:pPr>
              <w:rPr>
                <w:sz w:val="18"/>
                <w:lang w:val="en-US"/>
              </w:rPr>
            </w:pPr>
            <w:r>
              <w:rPr>
                <w:noProof/>
                <w:sz w:val="20"/>
                <w:lang w:eastAsia="pl-PL"/>
              </w:rPr>
              <w:drawing>
                <wp:anchor distT="0" distB="0" distL="114300" distR="114300" simplePos="0" relativeHeight="251732992" behindDoc="0" locked="0" layoutInCell="1" allowOverlap="1" wp14:anchorId="71683494" wp14:editId="45B60215">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310D851B" w14:textId="77777777" w:rsidR="000470AA" w:rsidRPr="00057979" w:rsidRDefault="000470AA" w:rsidP="000470AA">
            <w:pPr>
              <w:rPr>
                <w:sz w:val="18"/>
                <w:lang w:val="en-US"/>
              </w:rPr>
            </w:pPr>
            <w:r w:rsidRPr="00057979">
              <w:rPr>
                <w:sz w:val="20"/>
                <w:lang w:val="en-US"/>
              </w:rPr>
              <w:t>www.stat.gov.pl</w:t>
            </w:r>
            <w:r w:rsidR="001D2736" w:rsidRPr="00057979">
              <w:rPr>
                <w:sz w:val="20"/>
                <w:lang w:val="en-US"/>
              </w:rPr>
              <w:t>/en/</w:t>
            </w:r>
          </w:p>
        </w:tc>
      </w:tr>
      <w:tr w:rsidR="000470AA" w14:paraId="43968C50" w14:textId="77777777" w:rsidTr="000470AA">
        <w:trPr>
          <w:trHeight w:val="436"/>
        </w:trPr>
        <w:tc>
          <w:tcPr>
            <w:tcW w:w="2721" w:type="pct"/>
            <w:vMerge/>
            <w:vAlign w:val="center"/>
          </w:tcPr>
          <w:p w14:paraId="27BCE207" w14:textId="77777777" w:rsidR="000470AA" w:rsidRPr="00057979" w:rsidRDefault="000470AA" w:rsidP="000470AA">
            <w:pPr>
              <w:rPr>
                <w:sz w:val="18"/>
                <w:lang w:val="en-US"/>
              </w:rPr>
            </w:pPr>
          </w:p>
        </w:tc>
        <w:tc>
          <w:tcPr>
            <w:tcW w:w="369" w:type="pct"/>
            <w:vAlign w:val="center"/>
          </w:tcPr>
          <w:p w14:paraId="1437EF9A" w14:textId="77777777" w:rsidR="000470AA" w:rsidRPr="00057979" w:rsidRDefault="000470AA" w:rsidP="000470AA">
            <w:pPr>
              <w:rPr>
                <w:sz w:val="18"/>
                <w:lang w:val="en-US"/>
              </w:rPr>
            </w:pPr>
            <w:r>
              <w:rPr>
                <w:noProof/>
                <w:sz w:val="20"/>
                <w:lang w:eastAsia="pl-PL"/>
              </w:rPr>
              <w:drawing>
                <wp:anchor distT="0" distB="0" distL="114300" distR="114300" simplePos="0" relativeHeight="251735040" behindDoc="0" locked="0" layoutInCell="1" allowOverlap="1" wp14:anchorId="727AC441" wp14:editId="6AC7EFA4">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40EF9E3E" w14:textId="77777777" w:rsidR="000470AA" w:rsidRDefault="001D2736" w:rsidP="000470AA">
            <w:pPr>
              <w:rPr>
                <w:sz w:val="18"/>
              </w:rPr>
            </w:pPr>
            <w:r>
              <w:rPr>
                <w:sz w:val="20"/>
              </w:rPr>
              <w:t>@</w:t>
            </w:r>
            <w:proofErr w:type="spellStart"/>
            <w:r>
              <w:rPr>
                <w:sz w:val="20"/>
              </w:rPr>
              <w:t>StatPoland</w:t>
            </w:r>
            <w:proofErr w:type="spellEnd"/>
          </w:p>
        </w:tc>
      </w:tr>
      <w:tr w:rsidR="000470AA" w14:paraId="3E5C9AAF" w14:textId="77777777" w:rsidTr="000470AA">
        <w:trPr>
          <w:trHeight w:val="436"/>
        </w:trPr>
        <w:tc>
          <w:tcPr>
            <w:tcW w:w="2721" w:type="pct"/>
            <w:vMerge/>
            <w:vAlign w:val="center"/>
          </w:tcPr>
          <w:p w14:paraId="0191A019" w14:textId="77777777" w:rsidR="000470AA" w:rsidRDefault="000470AA" w:rsidP="000470AA">
            <w:pPr>
              <w:rPr>
                <w:sz w:val="18"/>
              </w:rPr>
            </w:pPr>
          </w:p>
        </w:tc>
        <w:tc>
          <w:tcPr>
            <w:tcW w:w="369" w:type="pct"/>
            <w:vAlign w:val="center"/>
          </w:tcPr>
          <w:p w14:paraId="4AB79A0D" w14:textId="77777777" w:rsidR="000470AA" w:rsidRDefault="000470AA" w:rsidP="000470AA">
            <w:pPr>
              <w:rPr>
                <w:sz w:val="18"/>
              </w:rPr>
            </w:pPr>
            <w:r>
              <w:rPr>
                <w:noProof/>
                <w:sz w:val="20"/>
                <w:lang w:eastAsia="pl-PL"/>
              </w:rPr>
              <w:drawing>
                <wp:anchor distT="0" distB="0" distL="114300" distR="114300" simplePos="0" relativeHeight="251734016" behindDoc="0" locked="0" layoutInCell="1" allowOverlap="1" wp14:anchorId="13415480" wp14:editId="4C5377F5">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009DBCB2" w14:textId="77777777" w:rsidR="000470AA" w:rsidRDefault="000470AA" w:rsidP="000470AA">
            <w:pPr>
              <w:rPr>
                <w:sz w:val="20"/>
              </w:rPr>
            </w:pPr>
            <w:r w:rsidRPr="003D5F42">
              <w:rPr>
                <w:sz w:val="20"/>
              </w:rPr>
              <w:t>@</w:t>
            </w:r>
            <w:proofErr w:type="spellStart"/>
            <w:r w:rsidRPr="003D5F42">
              <w:rPr>
                <w:sz w:val="20"/>
              </w:rPr>
              <w:t>GlownyUrzadStatystyczny</w:t>
            </w:r>
            <w:proofErr w:type="spellEnd"/>
          </w:p>
        </w:tc>
      </w:tr>
    </w:tbl>
    <w:p w14:paraId="01A6F0E3" w14:textId="66504E0F" w:rsidR="00D261A2" w:rsidRPr="00001C5B" w:rsidRDefault="001448A7" w:rsidP="00E76D26">
      <w:pPr>
        <w:rPr>
          <w:sz w:val="18"/>
        </w:rPr>
      </w:pPr>
      <w:r w:rsidRPr="00001C5B">
        <w:rPr>
          <w:noProof/>
          <w:sz w:val="18"/>
          <w:lang w:eastAsia="pl-PL"/>
        </w:rPr>
        <mc:AlternateContent>
          <mc:Choice Requires="wps">
            <w:drawing>
              <wp:anchor distT="45720" distB="45720" distL="114300" distR="114300" simplePos="0" relativeHeight="251691008" behindDoc="0" locked="0" layoutInCell="1" allowOverlap="1" wp14:anchorId="392DDA74" wp14:editId="2F2275EC">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25C3484C" w14:textId="77777777" w:rsidR="0077193F" w:rsidRDefault="0077193F" w:rsidP="00AB6D25">
                            <w:pPr>
                              <w:rPr>
                                <w:b/>
                              </w:rPr>
                            </w:pPr>
                          </w:p>
                          <w:p w14:paraId="4FB962AD" w14:textId="77777777" w:rsidR="0077193F" w:rsidRPr="00057979" w:rsidRDefault="0077193F" w:rsidP="00AB6D25">
                            <w:pPr>
                              <w:rPr>
                                <w:b/>
                                <w:lang w:val="en-US"/>
                              </w:rPr>
                            </w:pPr>
                            <w:r w:rsidRPr="00057979">
                              <w:rPr>
                                <w:b/>
                                <w:lang w:val="en-US"/>
                              </w:rPr>
                              <w:t>Related information</w:t>
                            </w:r>
                          </w:p>
                          <w:p w14:paraId="160B633D" w14:textId="6B906A57" w:rsidR="0077193F" w:rsidRPr="00115342" w:rsidRDefault="00115342" w:rsidP="00AB6D25">
                            <w:pPr>
                              <w:rPr>
                                <w:color w:val="001D77"/>
                                <w:sz w:val="18"/>
                                <w:szCs w:val="18"/>
                                <w:u w:val="single"/>
                                <w:lang w:val="en-US"/>
                              </w:rPr>
                            </w:pPr>
                            <w:hyperlink r:id="rId18" w:history="1">
                              <w:r w:rsidRPr="00115342">
                                <w:rPr>
                                  <w:rStyle w:val="Hipercze"/>
                                  <w:rFonts w:cstheme="minorBidi"/>
                                  <w:color w:val="001D77"/>
                                  <w:sz w:val="18"/>
                                  <w:szCs w:val="18"/>
                                  <w:lang w:val="en-US"/>
                                </w:rPr>
                                <w:t xml:space="preserve">Yearbook of Foreign Trade Statistics </w:t>
                              </w:r>
                              <w:r w:rsidRPr="00115342">
                                <w:rPr>
                                  <w:rStyle w:val="Hipercze"/>
                                  <w:rFonts w:cstheme="minorBidi"/>
                                  <w:color w:val="001D77"/>
                                  <w:sz w:val="18"/>
                                  <w:szCs w:val="18"/>
                                  <w:lang w:val="en-US"/>
                                </w:rPr>
                                <w:t>o</w:t>
                              </w:r>
                              <w:r w:rsidRPr="00115342">
                                <w:rPr>
                                  <w:rStyle w:val="Hipercze"/>
                                  <w:rFonts w:cstheme="minorBidi"/>
                                  <w:color w:val="001D77"/>
                                  <w:sz w:val="18"/>
                                  <w:szCs w:val="18"/>
                                  <w:lang w:val="en-US"/>
                                </w:rPr>
                                <w:t>f Poland</w:t>
                              </w:r>
                            </w:hyperlink>
                          </w:p>
                          <w:p w14:paraId="4DEACD36" w14:textId="77777777" w:rsidR="004F14DE" w:rsidRPr="00057979" w:rsidRDefault="004F14DE" w:rsidP="00AB6D25">
                            <w:pPr>
                              <w:rPr>
                                <w:b/>
                                <w:color w:val="000000" w:themeColor="text1"/>
                                <w:szCs w:val="24"/>
                                <w:lang w:val="en-US"/>
                              </w:rPr>
                            </w:pPr>
                          </w:p>
                          <w:p w14:paraId="43CF7758" w14:textId="77777777" w:rsidR="0077193F" w:rsidRPr="00057979" w:rsidRDefault="0077193F" w:rsidP="00AB6D25">
                            <w:pPr>
                              <w:rPr>
                                <w:b/>
                                <w:color w:val="000000" w:themeColor="text1"/>
                                <w:szCs w:val="24"/>
                                <w:lang w:val="en-US"/>
                              </w:rPr>
                            </w:pPr>
                            <w:r w:rsidRPr="00057979">
                              <w:rPr>
                                <w:b/>
                                <w:color w:val="000000" w:themeColor="text1"/>
                                <w:szCs w:val="24"/>
                                <w:lang w:val="en-US"/>
                              </w:rPr>
                              <w:t>Data available in databases</w:t>
                            </w:r>
                          </w:p>
                          <w:p w14:paraId="092245EF" w14:textId="77777777" w:rsidR="0077193F" w:rsidRPr="00751377" w:rsidRDefault="00115342" w:rsidP="00673C26">
                            <w:pPr>
                              <w:rPr>
                                <w:rStyle w:val="Hipercze"/>
                                <w:rFonts w:cs="Arial"/>
                                <w:color w:val="001D77"/>
                                <w:sz w:val="18"/>
                                <w:szCs w:val="30"/>
                                <w:shd w:val="clear" w:color="auto" w:fill="F0F0F0"/>
                                <w:lang w:val="en-US"/>
                              </w:rPr>
                            </w:pPr>
                            <w:hyperlink r:id="rId19" w:history="1">
                              <w:r w:rsidR="0077193F" w:rsidRPr="00751377">
                                <w:rPr>
                                  <w:rStyle w:val="Hipercze"/>
                                  <w:rFonts w:cs="Arial"/>
                                  <w:color w:val="001D77"/>
                                  <w:sz w:val="18"/>
                                  <w:szCs w:val="30"/>
                                  <w:shd w:val="clear" w:color="auto" w:fill="F0F0F0"/>
                                  <w:lang w:val="en-US"/>
                                </w:rPr>
                                <w:t>Knowledge Datab</w:t>
                              </w:r>
                              <w:r w:rsidR="0077193F" w:rsidRPr="00751377">
                                <w:rPr>
                                  <w:rStyle w:val="Hipercze"/>
                                  <w:rFonts w:cs="Arial"/>
                                  <w:color w:val="001D77"/>
                                  <w:sz w:val="18"/>
                                  <w:szCs w:val="30"/>
                                  <w:shd w:val="clear" w:color="auto" w:fill="F0F0F0"/>
                                  <w:lang w:val="en-US"/>
                                </w:rPr>
                                <w:t>a</w:t>
                              </w:r>
                              <w:r w:rsidR="0077193F" w:rsidRPr="00751377">
                                <w:rPr>
                                  <w:rStyle w:val="Hipercze"/>
                                  <w:rFonts w:cs="Arial"/>
                                  <w:color w:val="001D77"/>
                                  <w:sz w:val="18"/>
                                  <w:szCs w:val="30"/>
                                  <w:shd w:val="clear" w:color="auto" w:fill="F0F0F0"/>
                                  <w:lang w:val="en-US"/>
                                </w:rPr>
                                <w:t>ses Foreign Trade</w:t>
                              </w:r>
                            </w:hyperlink>
                          </w:p>
                          <w:p w14:paraId="02E1A8EF" w14:textId="77777777" w:rsidR="0077193F" w:rsidRPr="00057979" w:rsidRDefault="0077193F" w:rsidP="00AB6D25">
                            <w:pPr>
                              <w:rPr>
                                <w:b/>
                                <w:color w:val="000000" w:themeColor="text1"/>
                                <w:szCs w:val="24"/>
                                <w:lang w:val="en-US"/>
                              </w:rPr>
                            </w:pPr>
                          </w:p>
                          <w:p w14:paraId="261A9AC3" w14:textId="77777777" w:rsidR="0077193F" w:rsidRPr="00057979" w:rsidRDefault="0077193F" w:rsidP="00AB6D25">
                            <w:pPr>
                              <w:rPr>
                                <w:b/>
                                <w:color w:val="000000" w:themeColor="text1"/>
                                <w:szCs w:val="24"/>
                                <w:lang w:val="en-US"/>
                              </w:rPr>
                            </w:pPr>
                            <w:r w:rsidRPr="00057979">
                              <w:rPr>
                                <w:b/>
                                <w:color w:val="000000" w:themeColor="text1"/>
                                <w:szCs w:val="24"/>
                                <w:lang w:val="en-US"/>
                              </w:rPr>
                              <w:t>Terms used in official statistics</w:t>
                            </w:r>
                          </w:p>
                          <w:p w14:paraId="65AFFEAF" w14:textId="77777777" w:rsidR="0077193F" w:rsidRPr="00751377" w:rsidRDefault="00115342" w:rsidP="00673C26">
                            <w:pPr>
                              <w:rPr>
                                <w:rStyle w:val="Hipercze"/>
                                <w:rFonts w:cs="Arial"/>
                                <w:color w:val="001D77"/>
                                <w:sz w:val="18"/>
                                <w:szCs w:val="30"/>
                                <w:shd w:val="clear" w:color="auto" w:fill="F0F0F0"/>
                                <w:lang w:val="en-US"/>
                              </w:rPr>
                            </w:pPr>
                            <w:hyperlink r:id="rId20" w:history="1">
                              <w:r w:rsidR="0077193F" w:rsidRPr="00751377">
                                <w:rPr>
                                  <w:rStyle w:val="Hipercze"/>
                                  <w:rFonts w:cs="Arial"/>
                                  <w:color w:val="001D77"/>
                                  <w:sz w:val="18"/>
                                  <w:szCs w:val="30"/>
                                  <w:shd w:val="clear" w:color="auto" w:fill="F0F0F0"/>
                                  <w:lang w:val="en-US"/>
                                </w:rPr>
                                <w:t>residents - international</w:t>
                              </w:r>
                              <w:r w:rsidR="0077193F" w:rsidRPr="00751377">
                                <w:rPr>
                                  <w:rStyle w:val="Hipercze"/>
                                  <w:rFonts w:cs="Arial"/>
                                  <w:color w:val="001D77"/>
                                  <w:sz w:val="18"/>
                                  <w:szCs w:val="30"/>
                                  <w:shd w:val="clear" w:color="auto" w:fill="F0F0F0"/>
                                  <w:lang w:val="en-US"/>
                                </w:rPr>
                                <w:t xml:space="preserve"> </w:t>
                              </w:r>
                              <w:r w:rsidR="0077193F" w:rsidRPr="00751377">
                                <w:rPr>
                                  <w:rStyle w:val="Hipercze"/>
                                  <w:rFonts w:cs="Arial"/>
                                  <w:color w:val="001D77"/>
                                  <w:sz w:val="18"/>
                                  <w:szCs w:val="30"/>
                                  <w:shd w:val="clear" w:color="auto" w:fill="F0F0F0"/>
                                  <w:lang w:val="en-US"/>
                                </w:rPr>
                                <w:t>trade in services</w:t>
                              </w:r>
                            </w:hyperlink>
                          </w:p>
                          <w:p w14:paraId="2BCA7A3C" w14:textId="77777777" w:rsidR="0077193F" w:rsidRPr="00751377" w:rsidRDefault="00115342" w:rsidP="00AB6D25">
                            <w:pPr>
                              <w:rPr>
                                <w:color w:val="001D77"/>
                                <w:sz w:val="18"/>
                                <w:szCs w:val="18"/>
                                <w:lang w:val="en-US"/>
                              </w:rPr>
                            </w:pPr>
                            <w:hyperlink r:id="rId21" w:history="1">
                              <w:r w:rsidR="0077193F" w:rsidRPr="00751377">
                                <w:rPr>
                                  <w:rStyle w:val="Hipercze"/>
                                  <w:rFonts w:cstheme="minorBidi"/>
                                  <w:color w:val="001D77"/>
                                  <w:sz w:val="18"/>
                                  <w:szCs w:val="18"/>
                                  <w:lang w:val="en-US"/>
                                </w:rPr>
                                <w:t>internationa</w:t>
                              </w:r>
                              <w:r w:rsidR="0077193F" w:rsidRPr="00751377">
                                <w:rPr>
                                  <w:rStyle w:val="Hipercze"/>
                                  <w:rFonts w:cstheme="minorBidi"/>
                                  <w:color w:val="001D77"/>
                                  <w:sz w:val="18"/>
                                  <w:szCs w:val="18"/>
                                  <w:lang w:val="en-US"/>
                                </w:rPr>
                                <w:t>l</w:t>
                              </w:r>
                              <w:r w:rsidR="0077193F" w:rsidRPr="00751377">
                                <w:rPr>
                                  <w:rStyle w:val="Hipercze"/>
                                  <w:rFonts w:cstheme="minorBidi"/>
                                  <w:color w:val="001D77"/>
                                  <w:sz w:val="18"/>
                                  <w:szCs w:val="18"/>
                                  <w:lang w:val="en-US"/>
                                </w:rPr>
                                <w:t xml:space="preserve"> trade in services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DA74" id="_x0000_t202" coordsize="21600,21600" o:spt="202" path="m,l,21600r21600,l21600,xe">
                <v:stroke joinstyle="miter"/>
                <v:path gradientshapeok="t" o:connecttype="rect"/>
              </v:shapetype>
              <v:shape id="Pole tekstowe 2" o:spid="_x0000_s1026"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gzOwIAAGw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" fillcolor="#f2f2f2 [3052]" strokecolor="white [3212]">
                <v:textbox>
                  <w:txbxContent>
                    <w:p w14:paraId="25C3484C" w14:textId="77777777" w:rsidR="0077193F" w:rsidRDefault="0077193F" w:rsidP="00AB6D25">
                      <w:pPr>
                        <w:rPr>
                          <w:b/>
                        </w:rPr>
                      </w:pPr>
                    </w:p>
                    <w:p w14:paraId="4FB962AD" w14:textId="77777777" w:rsidR="0077193F" w:rsidRPr="00057979" w:rsidRDefault="0077193F" w:rsidP="00AB6D25">
                      <w:pPr>
                        <w:rPr>
                          <w:b/>
                          <w:lang w:val="en-US"/>
                        </w:rPr>
                      </w:pPr>
                      <w:r w:rsidRPr="00057979">
                        <w:rPr>
                          <w:b/>
                          <w:lang w:val="en-US"/>
                        </w:rPr>
                        <w:t>Related information</w:t>
                      </w:r>
                    </w:p>
                    <w:p w14:paraId="160B633D" w14:textId="6B906A57" w:rsidR="0077193F" w:rsidRPr="00115342" w:rsidRDefault="00115342" w:rsidP="00AB6D25">
                      <w:pPr>
                        <w:rPr>
                          <w:color w:val="001D77"/>
                          <w:sz w:val="18"/>
                          <w:szCs w:val="18"/>
                          <w:u w:val="single"/>
                          <w:lang w:val="en-US"/>
                        </w:rPr>
                      </w:pPr>
                      <w:hyperlink r:id="rId22" w:history="1">
                        <w:r w:rsidRPr="00115342">
                          <w:rPr>
                            <w:rStyle w:val="Hipercze"/>
                            <w:rFonts w:cstheme="minorBidi"/>
                            <w:color w:val="001D77"/>
                            <w:sz w:val="18"/>
                            <w:szCs w:val="18"/>
                            <w:lang w:val="en-US"/>
                          </w:rPr>
                          <w:t xml:space="preserve">Yearbook of Foreign Trade Statistics </w:t>
                        </w:r>
                        <w:r w:rsidRPr="00115342">
                          <w:rPr>
                            <w:rStyle w:val="Hipercze"/>
                            <w:rFonts w:cstheme="minorBidi"/>
                            <w:color w:val="001D77"/>
                            <w:sz w:val="18"/>
                            <w:szCs w:val="18"/>
                            <w:lang w:val="en-US"/>
                          </w:rPr>
                          <w:t>o</w:t>
                        </w:r>
                        <w:r w:rsidRPr="00115342">
                          <w:rPr>
                            <w:rStyle w:val="Hipercze"/>
                            <w:rFonts w:cstheme="minorBidi"/>
                            <w:color w:val="001D77"/>
                            <w:sz w:val="18"/>
                            <w:szCs w:val="18"/>
                            <w:lang w:val="en-US"/>
                          </w:rPr>
                          <w:t>f Poland</w:t>
                        </w:r>
                      </w:hyperlink>
                    </w:p>
                    <w:p w14:paraId="4DEACD36" w14:textId="77777777" w:rsidR="004F14DE" w:rsidRPr="00057979" w:rsidRDefault="004F14DE" w:rsidP="00AB6D25">
                      <w:pPr>
                        <w:rPr>
                          <w:b/>
                          <w:color w:val="000000" w:themeColor="text1"/>
                          <w:szCs w:val="24"/>
                          <w:lang w:val="en-US"/>
                        </w:rPr>
                      </w:pPr>
                    </w:p>
                    <w:p w14:paraId="43CF7758" w14:textId="77777777" w:rsidR="0077193F" w:rsidRPr="00057979" w:rsidRDefault="0077193F" w:rsidP="00AB6D25">
                      <w:pPr>
                        <w:rPr>
                          <w:b/>
                          <w:color w:val="000000" w:themeColor="text1"/>
                          <w:szCs w:val="24"/>
                          <w:lang w:val="en-US"/>
                        </w:rPr>
                      </w:pPr>
                      <w:r w:rsidRPr="00057979">
                        <w:rPr>
                          <w:b/>
                          <w:color w:val="000000" w:themeColor="text1"/>
                          <w:szCs w:val="24"/>
                          <w:lang w:val="en-US"/>
                        </w:rPr>
                        <w:t>Data available in databases</w:t>
                      </w:r>
                    </w:p>
                    <w:p w14:paraId="092245EF" w14:textId="77777777" w:rsidR="0077193F" w:rsidRPr="00751377" w:rsidRDefault="00115342" w:rsidP="00673C26">
                      <w:pPr>
                        <w:rPr>
                          <w:rStyle w:val="Hipercze"/>
                          <w:rFonts w:cs="Arial"/>
                          <w:color w:val="001D77"/>
                          <w:sz w:val="18"/>
                          <w:szCs w:val="30"/>
                          <w:shd w:val="clear" w:color="auto" w:fill="F0F0F0"/>
                          <w:lang w:val="en-US"/>
                        </w:rPr>
                      </w:pPr>
                      <w:hyperlink r:id="rId23" w:history="1">
                        <w:r w:rsidR="0077193F" w:rsidRPr="00751377">
                          <w:rPr>
                            <w:rStyle w:val="Hipercze"/>
                            <w:rFonts w:cs="Arial"/>
                            <w:color w:val="001D77"/>
                            <w:sz w:val="18"/>
                            <w:szCs w:val="30"/>
                            <w:shd w:val="clear" w:color="auto" w:fill="F0F0F0"/>
                            <w:lang w:val="en-US"/>
                          </w:rPr>
                          <w:t>Knowledge Datab</w:t>
                        </w:r>
                        <w:r w:rsidR="0077193F" w:rsidRPr="00751377">
                          <w:rPr>
                            <w:rStyle w:val="Hipercze"/>
                            <w:rFonts w:cs="Arial"/>
                            <w:color w:val="001D77"/>
                            <w:sz w:val="18"/>
                            <w:szCs w:val="30"/>
                            <w:shd w:val="clear" w:color="auto" w:fill="F0F0F0"/>
                            <w:lang w:val="en-US"/>
                          </w:rPr>
                          <w:t>a</w:t>
                        </w:r>
                        <w:r w:rsidR="0077193F" w:rsidRPr="00751377">
                          <w:rPr>
                            <w:rStyle w:val="Hipercze"/>
                            <w:rFonts w:cs="Arial"/>
                            <w:color w:val="001D77"/>
                            <w:sz w:val="18"/>
                            <w:szCs w:val="30"/>
                            <w:shd w:val="clear" w:color="auto" w:fill="F0F0F0"/>
                            <w:lang w:val="en-US"/>
                          </w:rPr>
                          <w:t>ses Foreign Trade</w:t>
                        </w:r>
                      </w:hyperlink>
                    </w:p>
                    <w:p w14:paraId="02E1A8EF" w14:textId="77777777" w:rsidR="0077193F" w:rsidRPr="00057979" w:rsidRDefault="0077193F" w:rsidP="00AB6D25">
                      <w:pPr>
                        <w:rPr>
                          <w:b/>
                          <w:color w:val="000000" w:themeColor="text1"/>
                          <w:szCs w:val="24"/>
                          <w:lang w:val="en-US"/>
                        </w:rPr>
                      </w:pPr>
                    </w:p>
                    <w:p w14:paraId="261A9AC3" w14:textId="77777777" w:rsidR="0077193F" w:rsidRPr="00057979" w:rsidRDefault="0077193F" w:rsidP="00AB6D25">
                      <w:pPr>
                        <w:rPr>
                          <w:b/>
                          <w:color w:val="000000" w:themeColor="text1"/>
                          <w:szCs w:val="24"/>
                          <w:lang w:val="en-US"/>
                        </w:rPr>
                      </w:pPr>
                      <w:r w:rsidRPr="00057979">
                        <w:rPr>
                          <w:b/>
                          <w:color w:val="000000" w:themeColor="text1"/>
                          <w:szCs w:val="24"/>
                          <w:lang w:val="en-US"/>
                        </w:rPr>
                        <w:t>Terms used in official statistics</w:t>
                      </w:r>
                    </w:p>
                    <w:p w14:paraId="65AFFEAF" w14:textId="77777777" w:rsidR="0077193F" w:rsidRPr="00751377" w:rsidRDefault="00115342" w:rsidP="00673C26">
                      <w:pPr>
                        <w:rPr>
                          <w:rStyle w:val="Hipercze"/>
                          <w:rFonts w:cs="Arial"/>
                          <w:color w:val="001D77"/>
                          <w:sz w:val="18"/>
                          <w:szCs w:val="30"/>
                          <w:shd w:val="clear" w:color="auto" w:fill="F0F0F0"/>
                          <w:lang w:val="en-US"/>
                        </w:rPr>
                      </w:pPr>
                      <w:hyperlink r:id="rId24" w:history="1">
                        <w:r w:rsidR="0077193F" w:rsidRPr="00751377">
                          <w:rPr>
                            <w:rStyle w:val="Hipercze"/>
                            <w:rFonts w:cs="Arial"/>
                            <w:color w:val="001D77"/>
                            <w:sz w:val="18"/>
                            <w:szCs w:val="30"/>
                            <w:shd w:val="clear" w:color="auto" w:fill="F0F0F0"/>
                            <w:lang w:val="en-US"/>
                          </w:rPr>
                          <w:t>residents - international</w:t>
                        </w:r>
                        <w:r w:rsidR="0077193F" w:rsidRPr="00751377">
                          <w:rPr>
                            <w:rStyle w:val="Hipercze"/>
                            <w:rFonts w:cs="Arial"/>
                            <w:color w:val="001D77"/>
                            <w:sz w:val="18"/>
                            <w:szCs w:val="30"/>
                            <w:shd w:val="clear" w:color="auto" w:fill="F0F0F0"/>
                            <w:lang w:val="en-US"/>
                          </w:rPr>
                          <w:t xml:space="preserve"> </w:t>
                        </w:r>
                        <w:r w:rsidR="0077193F" w:rsidRPr="00751377">
                          <w:rPr>
                            <w:rStyle w:val="Hipercze"/>
                            <w:rFonts w:cs="Arial"/>
                            <w:color w:val="001D77"/>
                            <w:sz w:val="18"/>
                            <w:szCs w:val="30"/>
                            <w:shd w:val="clear" w:color="auto" w:fill="F0F0F0"/>
                            <w:lang w:val="en-US"/>
                          </w:rPr>
                          <w:t>trade in services</w:t>
                        </w:r>
                      </w:hyperlink>
                    </w:p>
                    <w:p w14:paraId="2BCA7A3C" w14:textId="77777777" w:rsidR="0077193F" w:rsidRPr="00751377" w:rsidRDefault="00115342" w:rsidP="00AB6D25">
                      <w:pPr>
                        <w:rPr>
                          <w:color w:val="001D77"/>
                          <w:sz w:val="18"/>
                          <w:szCs w:val="18"/>
                          <w:lang w:val="en-US"/>
                        </w:rPr>
                      </w:pPr>
                      <w:hyperlink r:id="rId25" w:history="1">
                        <w:r w:rsidR="0077193F" w:rsidRPr="00751377">
                          <w:rPr>
                            <w:rStyle w:val="Hipercze"/>
                            <w:rFonts w:cstheme="minorBidi"/>
                            <w:color w:val="001D77"/>
                            <w:sz w:val="18"/>
                            <w:szCs w:val="18"/>
                            <w:lang w:val="en-US"/>
                          </w:rPr>
                          <w:t>internationa</w:t>
                        </w:r>
                        <w:r w:rsidR="0077193F" w:rsidRPr="00751377">
                          <w:rPr>
                            <w:rStyle w:val="Hipercze"/>
                            <w:rFonts w:cstheme="minorBidi"/>
                            <w:color w:val="001D77"/>
                            <w:sz w:val="18"/>
                            <w:szCs w:val="18"/>
                            <w:lang w:val="en-US"/>
                          </w:rPr>
                          <w:t>l</w:t>
                        </w:r>
                        <w:r w:rsidR="0077193F" w:rsidRPr="00751377">
                          <w:rPr>
                            <w:rStyle w:val="Hipercze"/>
                            <w:rFonts w:cstheme="minorBidi"/>
                            <w:color w:val="001D77"/>
                            <w:sz w:val="18"/>
                            <w:szCs w:val="18"/>
                            <w:lang w:val="en-US"/>
                          </w:rPr>
                          <w:t xml:space="preserve"> trade in services</w:t>
                        </w:r>
                      </w:hyperlink>
                    </w:p>
                  </w:txbxContent>
                </v:textbox>
                <w10:wrap type="square" anchorx="margin"/>
              </v:shape>
            </w:pict>
          </mc:Fallback>
        </mc:AlternateContent>
      </w:r>
      <w:r w:rsidR="00350A0B">
        <w:rPr>
          <w:sz w:val="18"/>
        </w:rPr>
        <w:t xml:space="preserve"> </w:t>
      </w:r>
      <w:bookmarkStart w:id="2" w:name="_GoBack"/>
      <w:bookmarkEnd w:id="2"/>
    </w:p>
    <w:sectPr w:rsidR="00D261A2" w:rsidRPr="00001C5B" w:rsidSect="003B18B6">
      <w:headerReference w:type="default" r:id="rId26"/>
      <w:footerReference w:type="default" r:id="rId27"/>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9CB7" w14:textId="77777777" w:rsidR="0077193F" w:rsidRDefault="0077193F" w:rsidP="000662E2">
      <w:pPr>
        <w:spacing w:after="0" w:line="240" w:lineRule="auto"/>
      </w:pPr>
      <w:r>
        <w:separator/>
      </w:r>
    </w:p>
  </w:endnote>
  <w:endnote w:type="continuationSeparator" w:id="0">
    <w:p w14:paraId="3EE09256" w14:textId="77777777" w:rsidR="0077193F" w:rsidRDefault="0077193F"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79211"/>
      <w:docPartObj>
        <w:docPartGallery w:val="Page Numbers (Bottom of Page)"/>
        <w:docPartUnique/>
      </w:docPartObj>
    </w:sdtPr>
    <w:sdtEndPr/>
    <w:sdtContent>
      <w:p w14:paraId="1C7BDCA9" w14:textId="77777777" w:rsidR="0077193F" w:rsidRDefault="0077193F" w:rsidP="003B18B6">
        <w:pPr>
          <w:pStyle w:val="Stopka"/>
          <w:jc w:val="center"/>
        </w:pPr>
        <w:r>
          <w:fldChar w:fldCharType="begin"/>
        </w:r>
        <w:r>
          <w:instrText>PAGE   \* MERGEFORMAT</w:instrText>
        </w:r>
        <w:r>
          <w:fldChar w:fldCharType="separate"/>
        </w:r>
        <w:r w:rsidR="0011534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35245"/>
      <w:docPartObj>
        <w:docPartGallery w:val="Page Numbers (Bottom of Page)"/>
        <w:docPartUnique/>
      </w:docPartObj>
    </w:sdtPr>
    <w:sdtEndPr/>
    <w:sdtContent>
      <w:p w14:paraId="697784D9" w14:textId="77777777" w:rsidR="0077193F" w:rsidRDefault="0077193F" w:rsidP="003B18B6">
        <w:pPr>
          <w:pStyle w:val="Stopka"/>
          <w:jc w:val="center"/>
        </w:pPr>
        <w:r>
          <w:fldChar w:fldCharType="begin"/>
        </w:r>
        <w:r>
          <w:instrText>PAGE   \* MERGEFORMAT</w:instrText>
        </w:r>
        <w:r>
          <w:fldChar w:fldCharType="separate"/>
        </w:r>
        <w:r w:rsidR="00115342">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049CA3E5" w14:textId="77777777" w:rsidR="0077193F" w:rsidRDefault="0077193F" w:rsidP="003B18B6">
        <w:pPr>
          <w:pStyle w:val="Stopka"/>
          <w:jc w:val="center"/>
        </w:pPr>
        <w:r>
          <w:fldChar w:fldCharType="begin"/>
        </w:r>
        <w:r>
          <w:instrText>PAGE   \* MERGEFORMAT</w:instrText>
        </w:r>
        <w:r>
          <w:fldChar w:fldCharType="separate"/>
        </w:r>
        <w:r w:rsidR="00115342">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2613" w14:textId="77777777" w:rsidR="0077193F" w:rsidRDefault="0077193F" w:rsidP="000662E2">
      <w:pPr>
        <w:spacing w:after="0" w:line="240" w:lineRule="auto"/>
      </w:pPr>
      <w:r>
        <w:separator/>
      </w:r>
    </w:p>
  </w:footnote>
  <w:footnote w:type="continuationSeparator" w:id="0">
    <w:p w14:paraId="48CA97F1" w14:textId="77777777" w:rsidR="0077193F" w:rsidRDefault="0077193F" w:rsidP="000662E2">
      <w:pPr>
        <w:spacing w:after="0" w:line="240" w:lineRule="auto"/>
      </w:pPr>
      <w:r>
        <w:continuationSeparator/>
      </w:r>
    </w:p>
  </w:footnote>
  <w:footnote w:id="1">
    <w:p w14:paraId="46CD31CB" w14:textId="77777777" w:rsidR="000B6B9D" w:rsidRDefault="000B6B9D" w:rsidP="000B6B9D">
      <w:pPr>
        <w:pStyle w:val="Tekstprzypisudolnego"/>
      </w:pPr>
      <w:r>
        <w:rPr>
          <w:rStyle w:val="Odwoanieprzypisudolnego"/>
        </w:rPr>
        <w:footnoteRef/>
      </w:r>
      <w:r>
        <w:t xml:space="preserve"> </w:t>
      </w:r>
      <w:r w:rsidRPr="00A82791">
        <w:rPr>
          <w:sz w:val="18"/>
          <w:szCs w:val="18"/>
        </w:rPr>
        <w:t xml:space="preserve">Trade by </w:t>
      </w:r>
      <w:proofErr w:type="spellStart"/>
      <w:r w:rsidRPr="00A82791">
        <w:rPr>
          <w:sz w:val="18"/>
          <w:szCs w:val="18"/>
        </w:rPr>
        <w:t>enterprise</w:t>
      </w:r>
      <w:proofErr w:type="spellEnd"/>
      <w:r w:rsidRPr="00A82791">
        <w:rPr>
          <w:sz w:val="18"/>
          <w:szCs w:val="18"/>
        </w:rPr>
        <w:t xml:space="preserve"> </w:t>
      </w:r>
      <w:proofErr w:type="spellStart"/>
      <w:r w:rsidRPr="00A82791">
        <w:rPr>
          <w:sz w:val="18"/>
          <w:szCs w:val="18"/>
        </w:rPr>
        <w:t>characteristics</w:t>
      </w:r>
      <w:proofErr w:type="spellEnd"/>
    </w:p>
  </w:footnote>
  <w:footnote w:id="2">
    <w:p w14:paraId="48FC0339" w14:textId="77777777" w:rsidR="000B6B9D" w:rsidRDefault="000B6B9D" w:rsidP="000B6B9D">
      <w:pPr>
        <w:pStyle w:val="Tekstprzypisudolnego"/>
      </w:pPr>
      <w:r>
        <w:rPr>
          <w:rStyle w:val="Odwoanieprzypisudolnego"/>
        </w:rPr>
        <w:footnoteRef/>
      </w:r>
      <w:r>
        <w:t xml:space="preserve"> Extended </w:t>
      </w:r>
      <w:proofErr w:type="spellStart"/>
      <w:r>
        <w:t>Balance</w:t>
      </w:r>
      <w:proofErr w:type="spellEnd"/>
      <w:r>
        <w:t xml:space="preserve"> of </w:t>
      </w:r>
      <w:proofErr w:type="spellStart"/>
      <w:r>
        <w:t>Payments</w:t>
      </w:r>
      <w:proofErr w:type="spellEnd"/>
      <w:r>
        <w:t xml:space="preserve"> Services </w:t>
      </w:r>
      <w:proofErr w:type="spellStart"/>
      <w:r>
        <w:t>Classification</w:t>
      </w:r>
      <w:proofErr w:type="spellEnd"/>
      <w: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50D7" w14:textId="77777777" w:rsidR="0077193F" w:rsidRDefault="0077193F">
    <w:pPr>
      <w:pStyle w:val="Nagwek"/>
    </w:pPr>
    <w:r>
      <w:rPr>
        <w:noProof/>
        <w:lang w:eastAsia="pl-PL"/>
      </w:rPr>
      <mc:AlternateContent>
        <mc:Choice Requires="wps">
          <w:drawing>
            <wp:anchor distT="0" distB="0" distL="114300" distR="114300" simplePos="0" relativeHeight="251662336" behindDoc="1" locked="0" layoutInCell="1" allowOverlap="1" wp14:anchorId="5306E3FA" wp14:editId="4A64D8AB">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2DA52"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42E2349A" w14:textId="77777777" w:rsidR="0077193F" w:rsidRDefault="007719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9DE5" w14:textId="7BDC1A46" w:rsidR="0077193F" w:rsidRDefault="00F20A03">
    <w:pPr>
      <w:pStyle w:val="Nagwek"/>
      <w:rPr>
        <w:noProof/>
        <w:lang w:eastAsia="pl-PL"/>
      </w:rPr>
    </w:pPr>
    <w:r>
      <w:rPr>
        <w:noProof/>
        <w:lang w:eastAsia="pl-PL"/>
      </w:rPr>
      <w:drawing>
        <wp:inline distT="0" distB="0" distL="0" distR="0" wp14:anchorId="45E8DEEC" wp14:editId="11BCE85E">
          <wp:extent cx="1866900" cy="704850"/>
          <wp:effectExtent l="0" t="0" r="0" b="0"/>
          <wp:docPr id="41" name="Obraz 41" descr="logog-02"/>
          <wp:cNvGraphicFramePr/>
          <a:graphic xmlns:a="http://schemas.openxmlformats.org/drawingml/2006/main">
            <a:graphicData uri="http://schemas.openxmlformats.org/drawingml/2006/picture">
              <pic:pic xmlns:pic="http://schemas.openxmlformats.org/drawingml/2006/picture">
                <pic:nvPicPr>
                  <pic:cNvPr id="4" name="Obraz 4" descr="logog-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r w:rsidR="0077193F" w:rsidRPr="00F37172">
      <w:rPr>
        <w:noProof/>
        <w:lang w:eastAsia="pl-PL"/>
      </w:rPr>
      <mc:AlternateContent>
        <mc:Choice Requires="wps">
          <w:drawing>
            <wp:anchor distT="0" distB="0" distL="114300" distR="114300" simplePos="0" relativeHeight="251668480" behindDoc="0" locked="0" layoutInCell="1" allowOverlap="1" wp14:anchorId="19D8F2B6" wp14:editId="126A4D77">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16FDB" w14:textId="22DA1088" w:rsidR="0077193F" w:rsidRPr="003C6C8D" w:rsidRDefault="0001163D" w:rsidP="00074DD8">
                          <w:pPr>
                            <w:spacing w:before="0" w:after="0" w:line="240" w:lineRule="auto"/>
                            <w:ind w:left="227"/>
                            <w:jc w:val="both"/>
                            <w:rPr>
                              <w:rFonts w:ascii="Fira Sans SemiBold" w:hAnsi="Fira Sans SemiBold"/>
                            </w:rPr>
                          </w:pPr>
                          <w:r>
                            <w:rPr>
                              <w:rFonts w:ascii="Fira Sans SemiBold" w:hAnsi="Fira Sans SemiBold"/>
                            </w:rPr>
                            <w:t>EXPERIMENTAL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F2B6" id="Schemat blokowy: opóźnienie 6" o:spid="_x0000_s1027"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73F16FDB" w14:textId="22DA1088" w:rsidR="0077193F" w:rsidRPr="003C6C8D" w:rsidRDefault="0001163D" w:rsidP="00074DD8">
                    <w:pPr>
                      <w:spacing w:before="0" w:after="0" w:line="240" w:lineRule="auto"/>
                      <w:ind w:left="227"/>
                      <w:jc w:val="both"/>
                      <w:rPr>
                        <w:rFonts w:ascii="Fira Sans SemiBold" w:hAnsi="Fira Sans SemiBold"/>
                      </w:rPr>
                    </w:pPr>
                    <w:r>
                      <w:rPr>
                        <w:rFonts w:ascii="Fira Sans SemiBold" w:hAnsi="Fira Sans SemiBold"/>
                      </w:rPr>
                      <w:t>EXPERIMENTAL STUDIES</w:t>
                    </w:r>
                  </w:p>
                </w:txbxContent>
              </v:textbox>
            </v:shape>
          </w:pict>
        </mc:Fallback>
      </mc:AlternateContent>
    </w:r>
    <w:r w:rsidR="0077193F">
      <w:rPr>
        <w:noProof/>
        <w:lang w:eastAsia="pl-PL"/>
      </w:rPr>
      <mc:AlternateContent>
        <mc:Choice Requires="wps">
          <w:drawing>
            <wp:anchor distT="0" distB="0" distL="114300" distR="114300" simplePos="0" relativeHeight="251666432" behindDoc="1" locked="0" layoutInCell="1" allowOverlap="1" wp14:anchorId="6F1747ED" wp14:editId="6B2F476E">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40D43"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26230188" w14:textId="77777777" w:rsidR="0077193F" w:rsidRDefault="0077193F">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5EC7BE77" wp14:editId="2FE2BC1D">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5CCEA73F" w14:textId="2C35ACB3" w:rsidR="0077193F" w:rsidRPr="00C97596" w:rsidRDefault="0001163D" w:rsidP="00F37172">
                          <w:pPr>
                            <w:jc w:val="both"/>
                            <w:rPr>
                              <w:rFonts w:ascii="Fira Sans SemiBold" w:hAnsi="Fira Sans SemiBold"/>
                              <w:color w:val="001D77"/>
                            </w:rPr>
                          </w:pPr>
                          <w:r>
                            <w:rPr>
                              <w:rFonts w:ascii="Fira Sans SemiBold" w:hAnsi="Fira Sans SemiBold"/>
                              <w:color w:val="001D77"/>
                            </w:rPr>
                            <w:t xml:space="preserve">31st </w:t>
                          </w:r>
                          <w:proofErr w:type="spellStart"/>
                          <w:r>
                            <w:rPr>
                              <w:rFonts w:ascii="Fira Sans SemiBold" w:hAnsi="Fira Sans SemiBold"/>
                              <w:color w:val="001D77"/>
                            </w:rPr>
                            <w:t>July</w:t>
                          </w:r>
                          <w:proofErr w:type="spellEnd"/>
                          <w:r>
                            <w:rPr>
                              <w:rFonts w:ascii="Fira Sans SemiBold" w:hAnsi="Fira Sans SemiBold"/>
                              <w:color w:val="001D77"/>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7BE77" id="_x0000_t202" coordsize="21600,21600" o:spt="202" path="m,l,21600r21600,l21600,xe">
              <v:stroke joinstyle="miter"/>
              <v:path gradientshapeok="t" o:connecttype="rect"/>
            </v:shapetype>
            <v:shape id="_x0000_s1028"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5CCEA73F" w14:textId="2C35ACB3" w:rsidR="0077193F" w:rsidRPr="00C97596" w:rsidRDefault="0001163D" w:rsidP="00F37172">
                    <w:pPr>
                      <w:jc w:val="both"/>
                      <w:rPr>
                        <w:rFonts w:ascii="Fira Sans SemiBold" w:hAnsi="Fira Sans SemiBold"/>
                        <w:color w:val="001D77"/>
                      </w:rPr>
                    </w:pPr>
                    <w:r>
                      <w:rPr>
                        <w:rFonts w:ascii="Fira Sans SemiBold" w:hAnsi="Fira Sans SemiBold"/>
                        <w:color w:val="001D77"/>
                      </w:rPr>
                      <w:t xml:space="preserve">31st </w:t>
                    </w:r>
                    <w:proofErr w:type="spellStart"/>
                    <w:r>
                      <w:rPr>
                        <w:rFonts w:ascii="Fira Sans SemiBold" w:hAnsi="Fira Sans SemiBold"/>
                        <w:color w:val="001D77"/>
                      </w:rPr>
                      <w:t>July</w:t>
                    </w:r>
                    <w:proofErr w:type="spellEnd"/>
                    <w:r>
                      <w:rPr>
                        <w:rFonts w:ascii="Fira Sans SemiBold" w:hAnsi="Fira Sans SemiBold"/>
                        <w:color w:val="001D77"/>
                      </w:rPr>
                      <w:t>, 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FA87" w14:textId="77777777" w:rsidR="0077193F" w:rsidRDefault="0077193F">
    <w:pPr>
      <w:pStyle w:val="Nagwek"/>
    </w:pPr>
  </w:p>
  <w:p w14:paraId="4E5CD978" w14:textId="77777777" w:rsidR="0077193F" w:rsidRDefault="007719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 o:bullet="t">
        <v:imagedata r:id="rId1" o:title=""/>
      </v:shape>
    </w:pict>
  </w:numPicBullet>
  <w:numPicBullet w:numPicBulletId="1">
    <w:pict>
      <v:shape id="_x0000_i1027" type="#_x0000_t75" style="width:122.5pt;height:122.5pt;visibility:visible" o:bullet="t">
        <v:imagedata r:id="rId2" o:title=""/>
      </v:shape>
    </w:pict>
  </w:numPicBullet>
  <w:abstractNum w:abstractNumId="0" w15:restartNumberingAfterBreak="0">
    <w:nsid w:val="09C1643A"/>
    <w:multiLevelType w:val="hybridMultilevel"/>
    <w:tmpl w:val="80DA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6153B86"/>
    <w:multiLevelType w:val="hybridMultilevel"/>
    <w:tmpl w:val="A2C6F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CB7616"/>
    <w:multiLevelType w:val="hybridMultilevel"/>
    <w:tmpl w:val="82C06D1C"/>
    <w:lvl w:ilvl="0" w:tplc="EB329EB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0C74429"/>
    <w:multiLevelType w:val="hybridMultilevel"/>
    <w:tmpl w:val="7C80A6F2"/>
    <w:lvl w:ilvl="0" w:tplc="0415000F">
      <w:start w:val="1"/>
      <w:numFmt w:val="decimal"/>
      <w:lvlText w:val="%1."/>
      <w:lvlJc w:val="left"/>
      <w:pPr>
        <w:ind w:left="720" w:hanging="360"/>
      </w:pPr>
    </w:lvl>
    <w:lvl w:ilvl="1" w:tplc="FF66893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9B2A7F"/>
    <w:multiLevelType w:val="hybridMultilevel"/>
    <w:tmpl w:val="D198400A"/>
    <w:lvl w:ilvl="0" w:tplc="AC8C163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5FED5C4D"/>
    <w:multiLevelType w:val="hybridMultilevel"/>
    <w:tmpl w:val="81F62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A1D17"/>
    <w:multiLevelType w:val="hybridMultilevel"/>
    <w:tmpl w:val="530ED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3E00BD"/>
    <w:multiLevelType w:val="hybridMultilevel"/>
    <w:tmpl w:val="B4329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923032"/>
    <w:multiLevelType w:val="hybridMultilevel"/>
    <w:tmpl w:val="EC121C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5F13FE"/>
    <w:multiLevelType w:val="hybridMultilevel"/>
    <w:tmpl w:val="7A48A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6"/>
  </w:num>
  <w:num w:numId="6">
    <w:abstractNumId w:val="4"/>
  </w:num>
  <w:num w:numId="7">
    <w:abstractNumId w:val="7"/>
  </w:num>
  <w:num w:numId="8">
    <w:abstractNumId w:val="1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1C81"/>
    <w:rsid w:val="00003437"/>
    <w:rsid w:val="0000709F"/>
    <w:rsid w:val="000108B8"/>
    <w:rsid w:val="0001163D"/>
    <w:rsid w:val="000152F5"/>
    <w:rsid w:val="00032E57"/>
    <w:rsid w:val="0003303B"/>
    <w:rsid w:val="000334DF"/>
    <w:rsid w:val="00043622"/>
    <w:rsid w:val="0004582E"/>
    <w:rsid w:val="000470AA"/>
    <w:rsid w:val="000519EC"/>
    <w:rsid w:val="00057979"/>
    <w:rsid w:val="00057CA1"/>
    <w:rsid w:val="000662E2"/>
    <w:rsid w:val="00066883"/>
    <w:rsid w:val="0007064A"/>
    <w:rsid w:val="00074DD8"/>
    <w:rsid w:val="000806F7"/>
    <w:rsid w:val="00090060"/>
    <w:rsid w:val="000A7698"/>
    <w:rsid w:val="000B0727"/>
    <w:rsid w:val="000B2E43"/>
    <w:rsid w:val="000B3AB9"/>
    <w:rsid w:val="000B6B9D"/>
    <w:rsid w:val="000C0DD6"/>
    <w:rsid w:val="000C135D"/>
    <w:rsid w:val="000D052B"/>
    <w:rsid w:val="000D1D43"/>
    <w:rsid w:val="000D225C"/>
    <w:rsid w:val="000D2A5C"/>
    <w:rsid w:val="000D2DB4"/>
    <w:rsid w:val="000D7AC1"/>
    <w:rsid w:val="000E0918"/>
    <w:rsid w:val="000E7562"/>
    <w:rsid w:val="000F0900"/>
    <w:rsid w:val="001011C3"/>
    <w:rsid w:val="00103CCD"/>
    <w:rsid w:val="00104934"/>
    <w:rsid w:val="00104A27"/>
    <w:rsid w:val="001073EF"/>
    <w:rsid w:val="00110D87"/>
    <w:rsid w:val="00114DB9"/>
    <w:rsid w:val="00115342"/>
    <w:rsid w:val="00116087"/>
    <w:rsid w:val="00123F1B"/>
    <w:rsid w:val="001266A5"/>
    <w:rsid w:val="00126A91"/>
    <w:rsid w:val="00130296"/>
    <w:rsid w:val="001318BB"/>
    <w:rsid w:val="00132CB8"/>
    <w:rsid w:val="0013692F"/>
    <w:rsid w:val="0014000D"/>
    <w:rsid w:val="001423B6"/>
    <w:rsid w:val="001448A7"/>
    <w:rsid w:val="00146621"/>
    <w:rsid w:val="00157377"/>
    <w:rsid w:val="00162325"/>
    <w:rsid w:val="00173795"/>
    <w:rsid w:val="001817F1"/>
    <w:rsid w:val="00192ADD"/>
    <w:rsid w:val="001951DA"/>
    <w:rsid w:val="00195481"/>
    <w:rsid w:val="00197E62"/>
    <w:rsid w:val="001C3269"/>
    <w:rsid w:val="001D1DB4"/>
    <w:rsid w:val="001D2736"/>
    <w:rsid w:val="001F25F3"/>
    <w:rsid w:val="001F6454"/>
    <w:rsid w:val="0020036B"/>
    <w:rsid w:val="002100A4"/>
    <w:rsid w:val="00223CE0"/>
    <w:rsid w:val="002272D2"/>
    <w:rsid w:val="00241824"/>
    <w:rsid w:val="002474B3"/>
    <w:rsid w:val="00251784"/>
    <w:rsid w:val="002574F9"/>
    <w:rsid w:val="00262B61"/>
    <w:rsid w:val="00276811"/>
    <w:rsid w:val="00282699"/>
    <w:rsid w:val="00287DD3"/>
    <w:rsid w:val="002926DF"/>
    <w:rsid w:val="002946C9"/>
    <w:rsid w:val="00296697"/>
    <w:rsid w:val="002A18AD"/>
    <w:rsid w:val="002A3AAE"/>
    <w:rsid w:val="002A4BFC"/>
    <w:rsid w:val="002B0472"/>
    <w:rsid w:val="002B6B12"/>
    <w:rsid w:val="002B7D18"/>
    <w:rsid w:val="002C49AC"/>
    <w:rsid w:val="002C681A"/>
    <w:rsid w:val="002D07DD"/>
    <w:rsid w:val="002D3C20"/>
    <w:rsid w:val="002D4DAA"/>
    <w:rsid w:val="002E6140"/>
    <w:rsid w:val="002E6985"/>
    <w:rsid w:val="002E71B6"/>
    <w:rsid w:val="002F77C8"/>
    <w:rsid w:val="00304EB7"/>
    <w:rsid w:val="00304F22"/>
    <w:rsid w:val="00306C7C"/>
    <w:rsid w:val="00307DCC"/>
    <w:rsid w:val="00321FF1"/>
    <w:rsid w:val="00322EDD"/>
    <w:rsid w:val="00332320"/>
    <w:rsid w:val="00340AF2"/>
    <w:rsid w:val="00347D72"/>
    <w:rsid w:val="00350A0B"/>
    <w:rsid w:val="00357611"/>
    <w:rsid w:val="00364895"/>
    <w:rsid w:val="00364998"/>
    <w:rsid w:val="00367237"/>
    <w:rsid w:val="0037077F"/>
    <w:rsid w:val="00372411"/>
    <w:rsid w:val="00373882"/>
    <w:rsid w:val="003843DB"/>
    <w:rsid w:val="003915A5"/>
    <w:rsid w:val="00393761"/>
    <w:rsid w:val="00395D42"/>
    <w:rsid w:val="00396396"/>
    <w:rsid w:val="00397D18"/>
    <w:rsid w:val="003A1B36"/>
    <w:rsid w:val="003A5836"/>
    <w:rsid w:val="003B1454"/>
    <w:rsid w:val="003B18B6"/>
    <w:rsid w:val="003B236A"/>
    <w:rsid w:val="003C59E0"/>
    <w:rsid w:val="003C6C8D"/>
    <w:rsid w:val="003D4F95"/>
    <w:rsid w:val="003D5F42"/>
    <w:rsid w:val="003D60A9"/>
    <w:rsid w:val="003F4C97"/>
    <w:rsid w:val="003F7FE6"/>
    <w:rsid w:val="00400193"/>
    <w:rsid w:val="00406B58"/>
    <w:rsid w:val="0041388E"/>
    <w:rsid w:val="004212E7"/>
    <w:rsid w:val="004216F6"/>
    <w:rsid w:val="0042446D"/>
    <w:rsid w:val="00427BF8"/>
    <w:rsid w:val="00431C02"/>
    <w:rsid w:val="00431DF5"/>
    <w:rsid w:val="00437395"/>
    <w:rsid w:val="00437678"/>
    <w:rsid w:val="00441AF6"/>
    <w:rsid w:val="00442B9E"/>
    <w:rsid w:val="00445047"/>
    <w:rsid w:val="0045229D"/>
    <w:rsid w:val="0045444B"/>
    <w:rsid w:val="00463E39"/>
    <w:rsid w:val="004657FC"/>
    <w:rsid w:val="00470E23"/>
    <w:rsid w:val="004733F6"/>
    <w:rsid w:val="004741A3"/>
    <w:rsid w:val="00474E69"/>
    <w:rsid w:val="00480D9F"/>
    <w:rsid w:val="0049621B"/>
    <w:rsid w:val="004A1C5A"/>
    <w:rsid w:val="004B008B"/>
    <w:rsid w:val="004C092D"/>
    <w:rsid w:val="004C1895"/>
    <w:rsid w:val="004C6D40"/>
    <w:rsid w:val="004D4E6B"/>
    <w:rsid w:val="004D6B80"/>
    <w:rsid w:val="004D7D1A"/>
    <w:rsid w:val="004E3058"/>
    <w:rsid w:val="004F0C3C"/>
    <w:rsid w:val="004F14DE"/>
    <w:rsid w:val="004F4414"/>
    <w:rsid w:val="004F63FC"/>
    <w:rsid w:val="00503A91"/>
    <w:rsid w:val="00505A92"/>
    <w:rsid w:val="005203F1"/>
    <w:rsid w:val="00521BC3"/>
    <w:rsid w:val="00533632"/>
    <w:rsid w:val="005361EE"/>
    <w:rsid w:val="00541E6E"/>
    <w:rsid w:val="0054246E"/>
    <w:rsid w:val="0054251F"/>
    <w:rsid w:val="005457D1"/>
    <w:rsid w:val="005520D8"/>
    <w:rsid w:val="00556CF1"/>
    <w:rsid w:val="00560953"/>
    <w:rsid w:val="00561DC0"/>
    <w:rsid w:val="0056798B"/>
    <w:rsid w:val="005762A7"/>
    <w:rsid w:val="00584E94"/>
    <w:rsid w:val="00590043"/>
    <w:rsid w:val="005905CF"/>
    <w:rsid w:val="005916D7"/>
    <w:rsid w:val="00592AA6"/>
    <w:rsid w:val="005A0EAB"/>
    <w:rsid w:val="005A4253"/>
    <w:rsid w:val="005A698C"/>
    <w:rsid w:val="005B2C4E"/>
    <w:rsid w:val="005D2DA0"/>
    <w:rsid w:val="005E0799"/>
    <w:rsid w:val="005E1C1A"/>
    <w:rsid w:val="005F05DF"/>
    <w:rsid w:val="005F5A80"/>
    <w:rsid w:val="006044FF"/>
    <w:rsid w:val="00607CC5"/>
    <w:rsid w:val="00625CF8"/>
    <w:rsid w:val="00633014"/>
    <w:rsid w:val="0063437B"/>
    <w:rsid w:val="0064647C"/>
    <w:rsid w:val="00651F95"/>
    <w:rsid w:val="00662F71"/>
    <w:rsid w:val="00664C25"/>
    <w:rsid w:val="006673CA"/>
    <w:rsid w:val="00673C26"/>
    <w:rsid w:val="006812AF"/>
    <w:rsid w:val="0068327D"/>
    <w:rsid w:val="006865A1"/>
    <w:rsid w:val="00694AF0"/>
    <w:rsid w:val="006A4686"/>
    <w:rsid w:val="006B0E9E"/>
    <w:rsid w:val="006B5AE4"/>
    <w:rsid w:val="006B7DCF"/>
    <w:rsid w:val="006C0776"/>
    <w:rsid w:val="006C2598"/>
    <w:rsid w:val="006C7CFA"/>
    <w:rsid w:val="006D1507"/>
    <w:rsid w:val="006D4054"/>
    <w:rsid w:val="006E02EC"/>
    <w:rsid w:val="006E2EBC"/>
    <w:rsid w:val="006F559F"/>
    <w:rsid w:val="00701D7A"/>
    <w:rsid w:val="007211B1"/>
    <w:rsid w:val="007229CF"/>
    <w:rsid w:val="00725384"/>
    <w:rsid w:val="00730A25"/>
    <w:rsid w:val="0073123A"/>
    <w:rsid w:val="00732230"/>
    <w:rsid w:val="0073223E"/>
    <w:rsid w:val="00746187"/>
    <w:rsid w:val="00751377"/>
    <w:rsid w:val="00761E3B"/>
    <w:rsid w:val="0076254F"/>
    <w:rsid w:val="0077193F"/>
    <w:rsid w:val="007801F5"/>
    <w:rsid w:val="00783CA4"/>
    <w:rsid w:val="007842FB"/>
    <w:rsid w:val="00786124"/>
    <w:rsid w:val="00793B70"/>
    <w:rsid w:val="007946C2"/>
    <w:rsid w:val="0079514B"/>
    <w:rsid w:val="007976EA"/>
    <w:rsid w:val="007A2DC1"/>
    <w:rsid w:val="007A7EF7"/>
    <w:rsid w:val="007B0C84"/>
    <w:rsid w:val="007B5C65"/>
    <w:rsid w:val="007D3319"/>
    <w:rsid w:val="007D335D"/>
    <w:rsid w:val="007D578E"/>
    <w:rsid w:val="007E3314"/>
    <w:rsid w:val="007E4B03"/>
    <w:rsid w:val="007F324B"/>
    <w:rsid w:val="008016ED"/>
    <w:rsid w:val="0080553C"/>
    <w:rsid w:val="00805B46"/>
    <w:rsid w:val="00807CD4"/>
    <w:rsid w:val="00821DE0"/>
    <w:rsid w:val="00825DC2"/>
    <w:rsid w:val="00832B89"/>
    <w:rsid w:val="00834AD3"/>
    <w:rsid w:val="008362D5"/>
    <w:rsid w:val="008408D9"/>
    <w:rsid w:val="00840FDA"/>
    <w:rsid w:val="00843795"/>
    <w:rsid w:val="00847F0F"/>
    <w:rsid w:val="00852448"/>
    <w:rsid w:val="008554EF"/>
    <w:rsid w:val="008670C6"/>
    <w:rsid w:val="0088258A"/>
    <w:rsid w:val="00883182"/>
    <w:rsid w:val="00886332"/>
    <w:rsid w:val="008A26D9"/>
    <w:rsid w:val="008A75DA"/>
    <w:rsid w:val="008C0C29"/>
    <w:rsid w:val="008D26AB"/>
    <w:rsid w:val="008D5FB9"/>
    <w:rsid w:val="008F1527"/>
    <w:rsid w:val="008F3638"/>
    <w:rsid w:val="008F4441"/>
    <w:rsid w:val="008F6F31"/>
    <w:rsid w:val="008F74DF"/>
    <w:rsid w:val="009119C5"/>
    <w:rsid w:val="009127BA"/>
    <w:rsid w:val="00915AA6"/>
    <w:rsid w:val="00916F0A"/>
    <w:rsid w:val="00922608"/>
    <w:rsid w:val="009227A6"/>
    <w:rsid w:val="00933EC1"/>
    <w:rsid w:val="00934871"/>
    <w:rsid w:val="009402C8"/>
    <w:rsid w:val="009530DB"/>
    <w:rsid w:val="00953676"/>
    <w:rsid w:val="0095512A"/>
    <w:rsid w:val="00956120"/>
    <w:rsid w:val="00967CDA"/>
    <w:rsid w:val="009705EE"/>
    <w:rsid w:val="00977927"/>
    <w:rsid w:val="0098135C"/>
    <w:rsid w:val="0098156A"/>
    <w:rsid w:val="00981CD7"/>
    <w:rsid w:val="00991BAC"/>
    <w:rsid w:val="009A6EA0"/>
    <w:rsid w:val="009C1335"/>
    <w:rsid w:val="009C1AB2"/>
    <w:rsid w:val="009C3F8E"/>
    <w:rsid w:val="009C69C0"/>
    <w:rsid w:val="009C7251"/>
    <w:rsid w:val="009D0AA4"/>
    <w:rsid w:val="009D7C82"/>
    <w:rsid w:val="009E0B69"/>
    <w:rsid w:val="009E2DC5"/>
    <w:rsid w:val="009E2E91"/>
    <w:rsid w:val="00A01963"/>
    <w:rsid w:val="00A139F5"/>
    <w:rsid w:val="00A21ED2"/>
    <w:rsid w:val="00A23818"/>
    <w:rsid w:val="00A310E4"/>
    <w:rsid w:val="00A365F4"/>
    <w:rsid w:val="00A46852"/>
    <w:rsid w:val="00A47D80"/>
    <w:rsid w:val="00A53132"/>
    <w:rsid w:val="00A563F2"/>
    <w:rsid w:val="00A566E8"/>
    <w:rsid w:val="00A72612"/>
    <w:rsid w:val="00A72AD3"/>
    <w:rsid w:val="00A750AB"/>
    <w:rsid w:val="00A756BE"/>
    <w:rsid w:val="00A810F9"/>
    <w:rsid w:val="00A81B09"/>
    <w:rsid w:val="00A86ECC"/>
    <w:rsid w:val="00A86FCC"/>
    <w:rsid w:val="00A9750D"/>
    <w:rsid w:val="00AA710D"/>
    <w:rsid w:val="00AB5DFF"/>
    <w:rsid w:val="00AB6D25"/>
    <w:rsid w:val="00AC3FCE"/>
    <w:rsid w:val="00AD1CC7"/>
    <w:rsid w:val="00AE05DD"/>
    <w:rsid w:val="00AE2D4B"/>
    <w:rsid w:val="00AE4F99"/>
    <w:rsid w:val="00AF3B75"/>
    <w:rsid w:val="00B11C8C"/>
    <w:rsid w:val="00B1321E"/>
    <w:rsid w:val="00B14952"/>
    <w:rsid w:val="00B1662D"/>
    <w:rsid w:val="00B214A0"/>
    <w:rsid w:val="00B21817"/>
    <w:rsid w:val="00B31E5A"/>
    <w:rsid w:val="00B326FF"/>
    <w:rsid w:val="00B330B1"/>
    <w:rsid w:val="00B34E9D"/>
    <w:rsid w:val="00B370C3"/>
    <w:rsid w:val="00B6427B"/>
    <w:rsid w:val="00B653AB"/>
    <w:rsid w:val="00B65F9E"/>
    <w:rsid w:val="00B66B19"/>
    <w:rsid w:val="00B8108B"/>
    <w:rsid w:val="00B85A25"/>
    <w:rsid w:val="00B91368"/>
    <w:rsid w:val="00B914E9"/>
    <w:rsid w:val="00B956EE"/>
    <w:rsid w:val="00B969FE"/>
    <w:rsid w:val="00BA1005"/>
    <w:rsid w:val="00BA1E13"/>
    <w:rsid w:val="00BA2BA1"/>
    <w:rsid w:val="00BB1308"/>
    <w:rsid w:val="00BB1DAE"/>
    <w:rsid w:val="00BB20E1"/>
    <w:rsid w:val="00BB4F09"/>
    <w:rsid w:val="00BC3110"/>
    <w:rsid w:val="00BD4E33"/>
    <w:rsid w:val="00BD7A4E"/>
    <w:rsid w:val="00BF404D"/>
    <w:rsid w:val="00C030DE"/>
    <w:rsid w:val="00C03A89"/>
    <w:rsid w:val="00C07287"/>
    <w:rsid w:val="00C0788C"/>
    <w:rsid w:val="00C1202E"/>
    <w:rsid w:val="00C22105"/>
    <w:rsid w:val="00C244B6"/>
    <w:rsid w:val="00C27F58"/>
    <w:rsid w:val="00C3702F"/>
    <w:rsid w:val="00C41597"/>
    <w:rsid w:val="00C47E47"/>
    <w:rsid w:val="00C64A37"/>
    <w:rsid w:val="00C665CC"/>
    <w:rsid w:val="00C7158E"/>
    <w:rsid w:val="00C7250B"/>
    <w:rsid w:val="00C7346B"/>
    <w:rsid w:val="00C77C0E"/>
    <w:rsid w:val="00C80B0F"/>
    <w:rsid w:val="00C91687"/>
    <w:rsid w:val="00C924A8"/>
    <w:rsid w:val="00C945FE"/>
    <w:rsid w:val="00C96FAA"/>
    <w:rsid w:val="00C97A04"/>
    <w:rsid w:val="00CA107B"/>
    <w:rsid w:val="00CA484D"/>
    <w:rsid w:val="00CA4FB6"/>
    <w:rsid w:val="00CB0BA3"/>
    <w:rsid w:val="00CB41A7"/>
    <w:rsid w:val="00CC1B5D"/>
    <w:rsid w:val="00CC2EE9"/>
    <w:rsid w:val="00CC739E"/>
    <w:rsid w:val="00CD213D"/>
    <w:rsid w:val="00CD48C6"/>
    <w:rsid w:val="00CD58B7"/>
    <w:rsid w:val="00CE3C94"/>
    <w:rsid w:val="00CF4099"/>
    <w:rsid w:val="00D00796"/>
    <w:rsid w:val="00D14F1B"/>
    <w:rsid w:val="00D228F2"/>
    <w:rsid w:val="00D259F6"/>
    <w:rsid w:val="00D261A2"/>
    <w:rsid w:val="00D32316"/>
    <w:rsid w:val="00D34063"/>
    <w:rsid w:val="00D616D2"/>
    <w:rsid w:val="00D62209"/>
    <w:rsid w:val="00D63B5F"/>
    <w:rsid w:val="00D64203"/>
    <w:rsid w:val="00D70EF7"/>
    <w:rsid w:val="00D71151"/>
    <w:rsid w:val="00D742AA"/>
    <w:rsid w:val="00D8397C"/>
    <w:rsid w:val="00D94EED"/>
    <w:rsid w:val="00D96026"/>
    <w:rsid w:val="00DA7C1C"/>
    <w:rsid w:val="00DB147A"/>
    <w:rsid w:val="00DB1B7A"/>
    <w:rsid w:val="00DC2B07"/>
    <w:rsid w:val="00DC6708"/>
    <w:rsid w:val="00E01436"/>
    <w:rsid w:val="00E045BD"/>
    <w:rsid w:val="00E17359"/>
    <w:rsid w:val="00E17B77"/>
    <w:rsid w:val="00E23337"/>
    <w:rsid w:val="00E259EA"/>
    <w:rsid w:val="00E32061"/>
    <w:rsid w:val="00E42FF9"/>
    <w:rsid w:val="00E4714C"/>
    <w:rsid w:val="00E51AEB"/>
    <w:rsid w:val="00E522A7"/>
    <w:rsid w:val="00E54452"/>
    <w:rsid w:val="00E664C5"/>
    <w:rsid w:val="00E671A2"/>
    <w:rsid w:val="00E76D26"/>
    <w:rsid w:val="00E91828"/>
    <w:rsid w:val="00E929EB"/>
    <w:rsid w:val="00EB1390"/>
    <w:rsid w:val="00EB2C71"/>
    <w:rsid w:val="00EB4340"/>
    <w:rsid w:val="00EB556D"/>
    <w:rsid w:val="00EB5A7D"/>
    <w:rsid w:val="00ED55C0"/>
    <w:rsid w:val="00ED682B"/>
    <w:rsid w:val="00EE41D5"/>
    <w:rsid w:val="00EF4979"/>
    <w:rsid w:val="00F0185B"/>
    <w:rsid w:val="00F037A4"/>
    <w:rsid w:val="00F070D5"/>
    <w:rsid w:val="00F13362"/>
    <w:rsid w:val="00F20A03"/>
    <w:rsid w:val="00F20D80"/>
    <w:rsid w:val="00F27C8F"/>
    <w:rsid w:val="00F32749"/>
    <w:rsid w:val="00F37172"/>
    <w:rsid w:val="00F422EB"/>
    <w:rsid w:val="00F4477E"/>
    <w:rsid w:val="00F670E8"/>
    <w:rsid w:val="00F67D8F"/>
    <w:rsid w:val="00F70D6C"/>
    <w:rsid w:val="00F802BE"/>
    <w:rsid w:val="00F82661"/>
    <w:rsid w:val="00F86024"/>
    <w:rsid w:val="00F8611A"/>
    <w:rsid w:val="00F93EE8"/>
    <w:rsid w:val="00FA368B"/>
    <w:rsid w:val="00FA5128"/>
    <w:rsid w:val="00FB42D4"/>
    <w:rsid w:val="00FB5906"/>
    <w:rsid w:val="00FB6ADE"/>
    <w:rsid w:val="00FB762F"/>
    <w:rsid w:val="00FC2AED"/>
    <w:rsid w:val="00FD5EA7"/>
    <w:rsid w:val="00FD7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EAEC"/>
  <w15:chartTrackingRefBased/>
  <w15:docId w15:val="{39666624-30C7-40E8-A174-5C8341DB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2D07DD"/>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Odwoaniedokomentarza">
    <w:name w:val="annotation reference"/>
    <w:basedOn w:val="Domylnaczcionkaakapitu"/>
    <w:uiPriority w:val="99"/>
    <w:semiHidden/>
    <w:unhideWhenUsed/>
    <w:rsid w:val="00FA368B"/>
    <w:rPr>
      <w:sz w:val="16"/>
      <w:szCs w:val="16"/>
    </w:rPr>
  </w:style>
  <w:style w:type="paragraph" w:styleId="Tekstkomentarza">
    <w:name w:val="annotation text"/>
    <w:basedOn w:val="Normalny"/>
    <w:link w:val="TekstkomentarzaZnak"/>
    <w:uiPriority w:val="99"/>
    <w:semiHidden/>
    <w:unhideWhenUsed/>
    <w:rsid w:val="00FA36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68B"/>
    <w:rPr>
      <w:rFonts w:ascii="Fira Sans" w:hAnsi="Fira Sans"/>
      <w:sz w:val="20"/>
      <w:szCs w:val="20"/>
    </w:rPr>
  </w:style>
  <w:style w:type="character" w:styleId="UyteHipercze">
    <w:name w:val="FollowedHyperlink"/>
    <w:basedOn w:val="Domylnaczcionkaakapitu"/>
    <w:uiPriority w:val="99"/>
    <w:semiHidden/>
    <w:unhideWhenUsed/>
    <w:rsid w:val="009402C8"/>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D742AA"/>
    <w:rPr>
      <w:b/>
      <w:bCs/>
    </w:rPr>
  </w:style>
  <w:style w:type="character" w:customStyle="1" w:styleId="TematkomentarzaZnak">
    <w:name w:val="Temat komentarza Znak"/>
    <w:basedOn w:val="TekstkomentarzaZnak"/>
    <w:link w:val="Tematkomentarza"/>
    <w:uiPriority w:val="99"/>
    <w:semiHidden/>
    <w:rsid w:val="00D742AA"/>
    <w:rPr>
      <w:rFonts w:ascii="Fira Sans" w:hAnsi="Fir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zecznik@stat.gov.pl" TargetMode="External"/><Relationship Id="rId18" Type="http://schemas.openxmlformats.org/officeDocument/2006/relationships/hyperlink" Target="https://stat.gov.pl/en/topics/statistical-yearbooks/statistical-yearbooks/yearbook-of-foreign-trade-statistics-of-poland-2019,9,13.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at.gov.pl/en/metainformations/glossary/terms-used-in-official-statistics/3179,term.html" TargetMode="External"/><Relationship Id="rId7" Type="http://schemas.openxmlformats.org/officeDocument/2006/relationships/endnotes" Target="endnotes.xml"/><Relationship Id="rId12" Type="http://schemas.openxmlformats.org/officeDocument/2006/relationships/hyperlink" Target="mailto:a.kazmierczak@stat.gov.pl" TargetMode="External"/><Relationship Id="rId17" Type="http://schemas.openxmlformats.org/officeDocument/2006/relationships/image" Target="media/image6.png"/><Relationship Id="rId25" Type="http://schemas.openxmlformats.org/officeDocument/2006/relationships/hyperlink" Target="http://stat.gov.pl/en/metainformations/glossary/terms-used-in-official-statistics/3179,term.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at.gov.pl/en/metainformations/glossary/terms-used-in-official-statistics/3180,term.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at.gov.pl/en/metainformations/glossary/terms-used-in-official-statistics/3180,term.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aid.stat.gov.pl/en/SitePagesDBW/HandelZagraniczny.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aid.stat.gov.pl/en/SitePagesDBW/HandelZagraniczny.aspx"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bslugaprasowa@stat.gov.pl" TargetMode="External"/><Relationship Id="rId22" Type="http://schemas.openxmlformats.org/officeDocument/2006/relationships/hyperlink" Target="https://stat.gov.pl/en/topics/statistical-yearbooks/statistical-yearbooks/yearbook-of-foreign-trade-statistics-of-poland-2019,9,13.html" TargetMode="External"/><Relationship Id="rId27" Type="http://schemas.openxmlformats.org/officeDocument/2006/relationships/footer" Target="footer3.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Methodology of internationa trade in services by enterprise characteristics (STEC) compilation.docx</NazwaPliku>
    <_SourceUrl xmlns="http://schemas.microsoft.com/sharepoint/v3" xsi:nil="true"/>
    <Odbiorcy2 xmlns="8C029B3F-2CC4-4A59-AF0D-A90575FA3373" xsi:nil="true"/>
    <xd_ProgID xmlns="http://schemas.microsoft.com/sharepoint/v3" xsi:nil="true"/>
    <Osoba xmlns="8C029B3F-2CC4-4A59-AF0D-A90575FA3373">STAT\KAZMIERCZAKA</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08E22FF4-49EC-41F1-B912-23CB24A5224B}"/>
</file>

<file path=customXml/itemProps2.xml><?xml version="1.0" encoding="utf-8"?>
<ds:datastoreItem xmlns:ds="http://schemas.openxmlformats.org/officeDocument/2006/customXml" ds:itemID="{4B279A95-6667-4DE0-89DF-3593BA9CB3D1}"/>
</file>

<file path=customXml/itemProps3.xml><?xml version="1.0" encoding="utf-8"?>
<ds:datastoreItem xmlns:ds="http://schemas.openxmlformats.org/officeDocument/2006/customXml" ds:itemID="{B30BC48B-AB6D-4F40-A725-A7FCE745C542}"/>
</file>

<file path=docProps/app.xml><?xml version="1.0" encoding="utf-8"?>
<Properties xmlns="http://schemas.openxmlformats.org/officeDocument/2006/extended-properties" xmlns:vt="http://schemas.openxmlformats.org/officeDocument/2006/docPropsVTypes">
  <Template>Normal</Template>
  <TotalTime>45</TotalTime>
  <Pages>5</Pages>
  <Words>1795</Words>
  <Characters>10771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2018-09-13T09:30:00Z</cp:lastPrinted>
  <dcterms:created xsi:type="dcterms:W3CDTF">2019-09-16T05:44:00Z</dcterms:created>
  <dcterms:modified xsi:type="dcterms:W3CDTF">2020-07-21T09:48:00Z</dcterms:modified>
</cp:coreProperties>
</file>