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5D08" w14:textId="77777777" w:rsidR="0098135C" w:rsidRPr="00D57447" w:rsidRDefault="00D57447" w:rsidP="00FC3927">
      <w:pPr>
        <w:pStyle w:val="tytuinformacji"/>
        <w:spacing w:after="600"/>
        <w:rPr>
          <w:color w:val="auto"/>
          <w:shd w:val="clear" w:color="auto" w:fill="FFFFFF"/>
          <w:lang w:val="en-US"/>
        </w:rPr>
      </w:pPr>
      <w:r w:rsidRPr="00D57447">
        <w:rPr>
          <w:color w:val="auto"/>
          <w:shd w:val="clear" w:color="auto" w:fill="FFFFFF"/>
          <w:lang w:val="en-US"/>
        </w:rPr>
        <w:t>Factoring activity of f</w:t>
      </w:r>
      <w:bookmarkStart w:id="0" w:name="_GoBack"/>
      <w:bookmarkEnd w:id="0"/>
      <w:r w:rsidRPr="00D57447">
        <w:rPr>
          <w:color w:val="auto"/>
          <w:shd w:val="clear" w:color="auto" w:fill="FFFFFF"/>
          <w:lang w:val="en-US"/>
        </w:rPr>
        <w:t>inancial enterprises in</w:t>
      </w:r>
      <w:r w:rsidR="00E0090C" w:rsidRPr="00D57447">
        <w:rPr>
          <w:color w:val="auto"/>
          <w:shd w:val="clear" w:color="auto" w:fill="FFFFFF"/>
          <w:lang w:val="en-US"/>
        </w:rPr>
        <w:t xml:space="preserve"> 202</w:t>
      </w:r>
      <w:r w:rsidR="00171936" w:rsidRPr="00D57447">
        <w:rPr>
          <w:color w:val="auto"/>
          <w:shd w:val="clear" w:color="auto" w:fill="FFFFFF"/>
          <w:lang w:val="en-US"/>
        </w:rPr>
        <w:t>1</w:t>
      </w:r>
    </w:p>
    <w:p w14:paraId="3D49A4AB" w14:textId="77777777" w:rsidR="00E0090C" w:rsidRPr="002D55D1" w:rsidRDefault="002D55D1" w:rsidP="00FC3927">
      <w:pPr>
        <w:spacing w:before="360"/>
        <w:rPr>
          <w:rFonts w:eastAsia="Times New Roman" w:cs="Times New Roman"/>
          <w:b/>
          <w:bCs/>
          <w:color w:val="001D77"/>
          <w:szCs w:val="19"/>
          <w:lang w:val="en-US" w:eastAsia="pl-PL"/>
        </w:rPr>
      </w:pPr>
      <w:r w:rsidRPr="002D55D1">
        <w:rPr>
          <w:rFonts w:asciiTheme="minorHAnsi" w:hAnsiTheme="minorHAnsi"/>
          <w:b/>
          <w:noProof/>
          <w:szCs w:val="19"/>
          <w:lang w:eastAsia="pl-PL"/>
        </w:rPr>
        <mc:AlternateContent>
          <mc:Choice Requires="wps">
            <w:drawing>
              <wp:anchor distT="45720" distB="45720" distL="114300" distR="114300" simplePos="0" relativeHeight="251746304" behindDoc="0" locked="0" layoutInCell="1" allowOverlap="1" wp14:anchorId="448F1735" wp14:editId="6CB5CF8A">
                <wp:simplePos x="0" y="0"/>
                <wp:positionH relativeFrom="margin">
                  <wp:align>left</wp:align>
                </wp:positionH>
                <wp:positionV relativeFrom="paragraph">
                  <wp:posOffset>10160</wp:posOffset>
                </wp:positionV>
                <wp:extent cx="2263140" cy="1249680"/>
                <wp:effectExtent l="0" t="0" r="3810" b="7620"/>
                <wp:wrapSquare wrapText="bothSides"/>
                <wp:docPr id="40" name="Pole tekstowe 2" descr="29.4%&#10;Increase in the value of purchased receivables&#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249680"/>
                        </a:xfrm>
                        <a:prstGeom prst="roundRect">
                          <a:avLst/>
                        </a:prstGeom>
                        <a:solidFill>
                          <a:srgbClr val="001D77"/>
                        </a:solidFill>
                        <a:ln w="9525">
                          <a:noFill/>
                          <a:miter lim="800000"/>
                          <a:headEnd/>
                          <a:tailEnd/>
                        </a:ln>
                      </wps:spPr>
                      <wps:txbx>
                        <w:txbxContent>
                          <w:p w14:paraId="540198A7" w14:textId="77777777" w:rsidR="002D55D1" w:rsidRPr="002D55D1" w:rsidRDefault="00267C04" w:rsidP="002D55D1">
                            <w:pPr>
                              <w:autoSpaceDE w:val="0"/>
                              <w:autoSpaceDN w:val="0"/>
                              <w:adjustRightInd w:val="0"/>
                              <w:spacing w:after="0" w:line="240" w:lineRule="auto"/>
                              <w:rPr>
                                <w:rFonts w:ascii="Fira Sans SemiBold" w:hAnsi="Fira Sans SemiBold"/>
                                <w:color w:val="FFFFFF" w:themeColor="background1"/>
                                <w:sz w:val="72"/>
                                <w:szCs w:val="72"/>
                                <w:lang w:val="en-US"/>
                              </w:rPr>
                            </w:pPr>
                            <w:r w:rsidRPr="004B4292">
                              <w:rPr>
                                <w:rStyle w:val="IkonawskanikaZnak"/>
                                <w:sz w:val="76"/>
                                <w:szCs w:val="76"/>
                              </w:rPr>
                              <w:sym w:font="Wingdings" w:char="F0F1"/>
                            </w:r>
                            <w:r w:rsidR="002D55D1" w:rsidRPr="002D55D1">
                              <w:rPr>
                                <w:rFonts w:ascii="Fira Sans SemiBold" w:hAnsi="Fira Sans SemiBold"/>
                                <w:color w:val="FFFFFF" w:themeColor="background1"/>
                                <w:sz w:val="72"/>
                                <w:szCs w:val="72"/>
                                <w:lang w:val="en-US"/>
                              </w:rPr>
                              <w:t xml:space="preserve"> </w:t>
                            </w:r>
                            <w:r w:rsidR="0040662D">
                              <w:rPr>
                                <w:rStyle w:val="WartowskanikaZnak"/>
                                <w:sz w:val="72"/>
                                <w:szCs w:val="72"/>
                                <w:lang w:val="en-US"/>
                              </w:rPr>
                              <w:t>2</w:t>
                            </w:r>
                            <w:r w:rsidR="00FC040D">
                              <w:rPr>
                                <w:rStyle w:val="WartowskanikaZnak"/>
                                <w:sz w:val="72"/>
                                <w:szCs w:val="72"/>
                                <w:lang w:val="en-US"/>
                              </w:rPr>
                              <w:t>9</w:t>
                            </w:r>
                            <w:r w:rsidR="002D55D1" w:rsidRPr="002D55D1">
                              <w:rPr>
                                <w:rStyle w:val="WartowskanikaZnak"/>
                                <w:sz w:val="72"/>
                                <w:szCs w:val="72"/>
                                <w:lang w:val="en-US"/>
                              </w:rPr>
                              <w:t>.</w:t>
                            </w:r>
                            <w:r w:rsidR="0040662D">
                              <w:rPr>
                                <w:rStyle w:val="WartowskanikaZnak"/>
                                <w:sz w:val="72"/>
                                <w:szCs w:val="72"/>
                                <w:lang w:val="en-US"/>
                              </w:rPr>
                              <w:t>4</w:t>
                            </w:r>
                            <w:r w:rsidR="00FC040D">
                              <w:rPr>
                                <w:rStyle w:val="WartowskanikaZnak"/>
                                <w:sz w:val="72"/>
                                <w:szCs w:val="72"/>
                                <w:lang w:val="en-US"/>
                              </w:rPr>
                              <w:t>%</w:t>
                            </w:r>
                          </w:p>
                          <w:p w14:paraId="5C4A20BF" w14:textId="77777777" w:rsidR="002D55D1" w:rsidRPr="002D55D1" w:rsidRDefault="0040662D" w:rsidP="0040662D">
                            <w:pPr>
                              <w:pStyle w:val="Opiswskanika"/>
                              <w:rPr>
                                <w:sz w:val="19"/>
                                <w:szCs w:val="19"/>
                                <w:lang w:val="en-US"/>
                              </w:rPr>
                            </w:pPr>
                            <w:r w:rsidRPr="0040662D">
                              <w:rPr>
                                <w:sz w:val="19"/>
                                <w:szCs w:val="19"/>
                                <w:lang w:val="en-US"/>
                              </w:rPr>
                              <w:t>Increase in the value of purchased receivables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8F1735" id="Pole tekstowe 2" o:spid="_x0000_s1026" alt="29.4%&#10;Increase in the value of purchased receivables&#10;&#10;" style="position:absolute;margin-left:0;margin-top:.8pt;width:178.2pt;height:98.4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" fillcolor="#001d77" stroked="f">
                <v:stroke joinstyle="miter"/>
                <v:textbox>
                  <w:txbxContent>
                    <w:p w14:paraId="540198A7" w14:textId="77777777" w:rsidR="002D55D1" w:rsidRPr="002D55D1" w:rsidRDefault="00267C04" w:rsidP="002D55D1">
                      <w:pPr>
                        <w:autoSpaceDE w:val="0"/>
                        <w:autoSpaceDN w:val="0"/>
                        <w:adjustRightInd w:val="0"/>
                        <w:spacing w:after="0" w:line="240" w:lineRule="auto"/>
                        <w:rPr>
                          <w:rFonts w:ascii="Fira Sans SemiBold" w:hAnsi="Fira Sans SemiBold"/>
                          <w:color w:val="FFFFFF" w:themeColor="background1"/>
                          <w:sz w:val="72"/>
                          <w:szCs w:val="72"/>
                          <w:lang w:val="en-US"/>
                        </w:rPr>
                      </w:pPr>
                      <w:r w:rsidRPr="004B4292">
                        <w:rPr>
                          <w:rStyle w:val="IkonawskanikaZnak"/>
                          <w:sz w:val="76"/>
                          <w:szCs w:val="76"/>
                        </w:rPr>
                        <w:sym w:font="Wingdings" w:char="F0F1"/>
                      </w:r>
                      <w:r w:rsidR="002D55D1" w:rsidRPr="002D55D1">
                        <w:rPr>
                          <w:rFonts w:ascii="Fira Sans SemiBold" w:hAnsi="Fira Sans SemiBold"/>
                          <w:color w:val="FFFFFF" w:themeColor="background1"/>
                          <w:sz w:val="72"/>
                          <w:szCs w:val="72"/>
                          <w:lang w:val="en-US"/>
                        </w:rPr>
                        <w:t xml:space="preserve"> </w:t>
                      </w:r>
                      <w:r w:rsidR="0040662D">
                        <w:rPr>
                          <w:rStyle w:val="WartowskanikaZnak"/>
                          <w:sz w:val="72"/>
                          <w:szCs w:val="72"/>
                          <w:lang w:val="en-US"/>
                        </w:rPr>
                        <w:t>2</w:t>
                      </w:r>
                      <w:r w:rsidR="00FC040D">
                        <w:rPr>
                          <w:rStyle w:val="WartowskanikaZnak"/>
                          <w:sz w:val="72"/>
                          <w:szCs w:val="72"/>
                          <w:lang w:val="en-US"/>
                        </w:rPr>
                        <w:t>9</w:t>
                      </w:r>
                      <w:r w:rsidR="002D55D1" w:rsidRPr="002D55D1">
                        <w:rPr>
                          <w:rStyle w:val="WartowskanikaZnak"/>
                          <w:sz w:val="72"/>
                          <w:szCs w:val="72"/>
                          <w:lang w:val="en-US"/>
                        </w:rPr>
                        <w:t>.</w:t>
                      </w:r>
                      <w:r w:rsidR="0040662D">
                        <w:rPr>
                          <w:rStyle w:val="WartowskanikaZnak"/>
                          <w:sz w:val="72"/>
                          <w:szCs w:val="72"/>
                          <w:lang w:val="en-US"/>
                        </w:rPr>
                        <w:t>4</w:t>
                      </w:r>
                      <w:r w:rsidR="00FC040D">
                        <w:rPr>
                          <w:rStyle w:val="WartowskanikaZnak"/>
                          <w:sz w:val="72"/>
                          <w:szCs w:val="72"/>
                          <w:lang w:val="en-US"/>
                        </w:rPr>
                        <w:t>%</w:t>
                      </w:r>
                    </w:p>
                    <w:p w14:paraId="5C4A20BF" w14:textId="77777777" w:rsidR="002D55D1" w:rsidRPr="002D55D1" w:rsidRDefault="0040662D" w:rsidP="0040662D">
                      <w:pPr>
                        <w:pStyle w:val="Opiswskanika"/>
                        <w:rPr>
                          <w:sz w:val="19"/>
                          <w:szCs w:val="19"/>
                          <w:lang w:val="en-US"/>
                        </w:rPr>
                      </w:pPr>
                      <w:r w:rsidRPr="0040662D">
                        <w:rPr>
                          <w:sz w:val="19"/>
                          <w:szCs w:val="19"/>
                          <w:lang w:val="en-US"/>
                        </w:rPr>
                        <w:t>Increase in the value of purchased receivables</w:t>
                      </w:r>
                    </w:p>
                  </w:txbxContent>
                </v:textbox>
                <w10:wrap type="square" anchorx="margin"/>
              </v:roundrect>
            </w:pict>
          </mc:Fallback>
        </mc:AlternateContent>
      </w:r>
      <w:r w:rsidR="0040662D" w:rsidRPr="0040662D">
        <w:rPr>
          <w:b/>
          <w:szCs w:val="19"/>
          <w:lang w:val="en-US"/>
        </w:rPr>
        <w:t>In 2021, the study covered 52 entities conducting factoring activity. The number of purchased invoices by the surveyed companies increased by 17.0% compared to the previous year, and the value of purchased receivables increased by 29.4%. The number of clients using factoring services increased by 24.7%</w:t>
      </w:r>
      <w:r w:rsidR="00724B9C" w:rsidRPr="002D55D1">
        <w:rPr>
          <w:rFonts w:eastAsia="Times New Roman" w:cs="Times New Roman"/>
          <w:b/>
          <w:bCs/>
          <w:color w:val="000000" w:themeColor="text1"/>
          <w:szCs w:val="19"/>
          <w:lang w:val="en" w:eastAsia="pl-PL"/>
        </w:rPr>
        <w:t>.</w:t>
      </w:r>
    </w:p>
    <w:p w14:paraId="4D3F06C4" w14:textId="77777777" w:rsidR="00D33CF4" w:rsidRPr="00724B9C" w:rsidRDefault="00D33CF4" w:rsidP="00FC3927">
      <w:pPr>
        <w:pStyle w:val="Nagwek1"/>
        <w:spacing w:before="360" w:line="240" w:lineRule="exact"/>
        <w:rPr>
          <w:shd w:val="clear" w:color="auto" w:fill="FFFFFF"/>
          <w:lang w:val="en-US"/>
        </w:rPr>
      </w:pPr>
    </w:p>
    <w:p w14:paraId="05F37475" w14:textId="77777777" w:rsidR="00C22105" w:rsidRPr="00DE1C7A" w:rsidRDefault="006A1D0B" w:rsidP="00FC3927">
      <w:pPr>
        <w:pStyle w:val="Nagwek1"/>
        <w:spacing w:before="360"/>
        <w:rPr>
          <w:lang w:val="en-US"/>
        </w:rPr>
      </w:pPr>
      <w:r w:rsidRPr="00DE1C7A">
        <w:rPr>
          <w:b/>
          <w:noProof/>
          <w:color w:val="212492"/>
          <w:spacing w:val="-2"/>
        </w:rPr>
        <mc:AlternateContent>
          <mc:Choice Requires="wps">
            <w:drawing>
              <wp:anchor distT="45720" distB="45720" distL="114300" distR="114300" simplePos="0" relativeHeight="251666432" behindDoc="1" locked="0" layoutInCell="1" allowOverlap="1" wp14:anchorId="28A6FD4F" wp14:editId="06D77937">
                <wp:simplePos x="0" y="0"/>
                <wp:positionH relativeFrom="column">
                  <wp:posOffset>5295900</wp:posOffset>
                </wp:positionH>
                <wp:positionV relativeFrom="paragraph">
                  <wp:posOffset>383540</wp:posOffset>
                </wp:positionV>
                <wp:extent cx="1725295" cy="762000"/>
                <wp:effectExtent l="0" t="0" r="0" b="0"/>
                <wp:wrapTight wrapText="bothSides">
                  <wp:wrapPolygon edited="0">
                    <wp:start x="715" y="0"/>
                    <wp:lineTo x="715" y="21060"/>
                    <wp:lineTo x="20749" y="21060"/>
                    <wp:lineTo x="20749" y="0"/>
                    <wp:lineTo x="715" y="0"/>
                  </wp:wrapPolygon>
                </wp:wrapTight>
                <wp:docPr id="11" name="Pole tekstowe 2" descr="In 2021, factoring companies purchased 22.0 million in-voices worth PLN 399.8 bil-l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62000"/>
                        </a:xfrm>
                        <a:prstGeom prst="rect">
                          <a:avLst/>
                        </a:prstGeom>
                        <a:noFill/>
                        <a:ln w="9525">
                          <a:noFill/>
                          <a:miter lim="800000"/>
                          <a:headEnd/>
                          <a:tailEnd/>
                        </a:ln>
                      </wps:spPr>
                      <wps:txbx>
                        <w:txbxContent>
                          <w:p w14:paraId="355944EB" w14:textId="77777777" w:rsidR="00724B9C" w:rsidRPr="00724B9C" w:rsidRDefault="006A1D0B" w:rsidP="00FC3927">
                            <w:pPr>
                              <w:spacing w:before="0" w:after="0"/>
                              <w:rPr>
                                <w:rFonts w:eastAsia="Times New Roman" w:cs="Times New Roman"/>
                                <w:bCs/>
                                <w:color w:val="002060"/>
                                <w:sz w:val="18"/>
                                <w:szCs w:val="18"/>
                                <w:lang w:val="en-US" w:eastAsia="pl-PL"/>
                              </w:rPr>
                            </w:pPr>
                            <w:r w:rsidRPr="006A1D0B">
                              <w:rPr>
                                <w:rFonts w:eastAsia="Times New Roman" w:cs="Times New Roman"/>
                                <w:bCs/>
                                <w:color w:val="002060"/>
                                <w:sz w:val="18"/>
                                <w:szCs w:val="18"/>
                                <w:lang w:val="en-US" w:eastAsia="pl-PL"/>
                              </w:rPr>
                              <w:t>In 2021, factoring companies purchased 22.0 million in-voices worth PLN 399.8 billion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6FD4F" id="_x0000_t202" coordsize="21600,21600" o:spt="202" path="m,l,21600r21600,l21600,xe">
                <v:stroke joinstyle="miter"/>
                <v:path gradientshapeok="t" o:connecttype="rect"/>
              </v:shapetype>
              <v:shape id="_x0000_s1027" type="#_x0000_t202" alt="In 2021, factoring companies purchased 22.0 million in-voices worth PLN 399.8 bil-lion" style="position:absolute;margin-left:417pt;margin-top:30.2pt;width:135.85pt;height:6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" filled="f" stroked="f">
                <v:textbox>
                  <w:txbxContent>
                    <w:p w14:paraId="355944EB" w14:textId="77777777" w:rsidR="00724B9C" w:rsidRPr="00724B9C" w:rsidRDefault="006A1D0B" w:rsidP="00FC3927">
                      <w:pPr>
                        <w:spacing w:before="0" w:after="0"/>
                        <w:rPr>
                          <w:rFonts w:eastAsia="Times New Roman" w:cs="Times New Roman"/>
                          <w:bCs/>
                          <w:color w:val="002060"/>
                          <w:sz w:val="18"/>
                          <w:szCs w:val="18"/>
                          <w:lang w:val="en-US" w:eastAsia="pl-PL"/>
                        </w:rPr>
                      </w:pPr>
                      <w:r w:rsidRPr="006A1D0B">
                        <w:rPr>
                          <w:rFonts w:eastAsia="Times New Roman" w:cs="Times New Roman"/>
                          <w:bCs/>
                          <w:color w:val="002060"/>
                          <w:sz w:val="18"/>
                          <w:szCs w:val="18"/>
                          <w:lang w:val="en-US" w:eastAsia="pl-PL"/>
                        </w:rPr>
                        <w:t>In 2021, factoring companies purchased 22.0 million in-voices worth PLN 399.8 billion</w:t>
                      </w:r>
                    </w:p>
                  </w:txbxContent>
                </v:textbox>
                <w10:wrap type="tight"/>
              </v:shape>
            </w:pict>
          </mc:Fallback>
        </mc:AlternateContent>
      </w:r>
      <w:r w:rsidR="00B73F22" w:rsidRPr="00DE1C7A">
        <w:rPr>
          <w:lang w:val="en-US"/>
        </w:rPr>
        <w:t xml:space="preserve">Basic </w:t>
      </w:r>
      <w:r w:rsidR="0040662D" w:rsidRPr="0040662D">
        <w:rPr>
          <w:lang w:val="en-US"/>
        </w:rPr>
        <w:t>data on factoring companies</w:t>
      </w:r>
    </w:p>
    <w:p w14:paraId="67C76B84" w14:textId="77777777" w:rsidR="00EE144A" w:rsidRPr="00DE1C7A" w:rsidRDefault="0040662D" w:rsidP="00FC3927">
      <w:pPr>
        <w:spacing w:line="288" w:lineRule="auto"/>
        <w:rPr>
          <w:shd w:val="clear" w:color="auto" w:fill="FFFFFF"/>
          <w:lang w:val="en"/>
        </w:rPr>
      </w:pPr>
      <w:r w:rsidRPr="0040662D">
        <w:rPr>
          <w:shd w:val="clear" w:color="auto" w:fill="FFFFFF"/>
          <w:lang w:val="en"/>
        </w:rPr>
        <w:t>In the group of 52 surveyed entities conducting factoring activities in 2021, there were 43 non-banking enterprises conducting this type of activity and 9 commercial banks that dealt with factoring alongside statutory banking activities</w:t>
      </w:r>
      <w:r w:rsidR="00EE144A" w:rsidRPr="00DE1C7A">
        <w:rPr>
          <w:shd w:val="clear" w:color="auto" w:fill="FFFFFF"/>
          <w:lang w:val="en"/>
        </w:rPr>
        <w:t>.</w:t>
      </w:r>
    </w:p>
    <w:p w14:paraId="68749DF0" w14:textId="77777777" w:rsidR="00B91532" w:rsidRPr="00FC3927" w:rsidRDefault="00B91532" w:rsidP="00B91532">
      <w:pPr>
        <w:pStyle w:val="tytuwykresu"/>
        <w:spacing w:before="240" w:line="240" w:lineRule="auto"/>
        <w:ind w:left="709" w:hanging="709"/>
        <w:rPr>
          <w:sz w:val="19"/>
          <w:szCs w:val="19"/>
          <w:shd w:val="clear" w:color="auto" w:fill="FFFFFF"/>
          <w:lang w:val="en"/>
        </w:rPr>
      </w:pPr>
      <w:r w:rsidRPr="00FC3927">
        <w:rPr>
          <w:sz w:val="19"/>
          <w:szCs w:val="19"/>
          <w:lang w:val="en-US"/>
        </w:rPr>
        <w:t>Table 1.</w:t>
      </w:r>
      <w:r w:rsidRPr="00FC3927">
        <w:rPr>
          <w:sz w:val="19"/>
          <w:szCs w:val="19"/>
          <w:shd w:val="clear" w:color="auto" w:fill="FFFFFF"/>
          <w:lang w:val="en-US"/>
        </w:rPr>
        <w:t xml:space="preserve"> </w:t>
      </w:r>
      <w:r w:rsidR="006A1D0B" w:rsidRPr="006A1D0B">
        <w:rPr>
          <w:sz w:val="19"/>
          <w:szCs w:val="19"/>
          <w:shd w:val="clear" w:color="auto" w:fill="FFFFFF"/>
          <w:lang w:val="en"/>
        </w:rPr>
        <w:t>Activities of the surveyed entities</w:t>
      </w:r>
    </w:p>
    <w:tbl>
      <w:tblPr>
        <w:tblStyle w:val="Siatkatabelijasna10"/>
        <w:tblpPr w:leftFromText="141" w:rightFromText="141" w:vertAnchor="text" w:horzAnchor="margin" w:tblpY="137"/>
        <w:tblW w:w="5000" w:type="pct"/>
        <w:tblBorders>
          <w:top w:val="single" w:sz="4" w:space="0" w:color="auto"/>
          <w:left w:val="none" w:sz="0" w:space="0" w:color="auto"/>
          <w:bottom w:val="none" w:sz="0" w:space="0" w:color="auto"/>
          <w:right w:val="none" w:sz="0" w:space="0" w:color="auto"/>
          <w:insideH w:val="single" w:sz="4" w:space="0" w:color="auto"/>
          <w:insideV w:val="single" w:sz="4" w:space="0" w:color="212492"/>
        </w:tblBorders>
        <w:tblCellMar>
          <w:top w:w="57" w:type="dxa"/>
          <w:bottom w:w="57" w:type="dxa"/>
        </w:tblCellMar>
        <w:tblLook w:val="0000" w:firstRow="0" w:lastRow="0" w:firstColumn="0" w:lastColumn="0" w:noHBand="0" w:noVBand="0"/>
        <w:tblCaption w:val="Table 1. Activities of the surveyed entities"/>
        <w:tblDescription w:val="52 factoring enterprises were included in the study, including 43 factoring non-banking enterprises and 9 banks. factoring was the only type of activity for 28 enterprises, dominant for 3, and secondary activity for 21."/>
      </w:tblPr>
      <w:tblGrid>
        <w:gridCol w:w="3260"/>
        <w:gridCol w:w="1559"/>
        <w:gridCol w:w="1701"/>
        <w:gridCol w:w="1547"/>
      </w:tblGrid>
      <w:tr w:rsidR="00B91532" w:rsidRPr="00DE1C7A" w14:paraId="382CCF6A" w14:textId="77777777" w:rsidTr="00335BE1">
        <w:trPr>
          <w:trHeight w:val="57"/>
        </w:trPr>
        <w:tc>
          <w:tcPr>
            <w:tcW w:w="2021" w:type="pct"/>
            <w:vMerge w:val="restart"/>
            <w:vAlign w:val="center"/>
          </w:tcPr>
          <w:p w14:paraId="5CDBEB1C" w14:textId="77777777" w:rsidR="00B91532" w:rsidRPr="006A1D0B" w:rsidRDefault="00B91532" w:rsidP="00B91532">
            <w:pPr>
              <w:keepNext/>
              <w:tabs>
                <w:tab w:val="right" w:leader="dot" w:pos="4139"/>
              </w:tabs>
              <w:spacing w:before="240" w:line="240" w:lineRule="auto"/>
              <w:jc w:val="center"/>
              <w:outlineLvl w:val="0"/>
              <w:rPr>
                <w:rFonts w:eastAsia="Times New Roman" w:cs="Arial"/>
                <w:b/>
                <w:color w:val="000000" w:themeColor="text1"/>
                <w:szCs w:val="19"/>
                <w:lang w:eastAsia="pl-PL"/>
              </w:rPr>
            </w:pPr>
            <w:r w:rsidRPr="006A1D0B">
              <w:rPr>
                <w:rFonts w:eastAsia="Times New Roman" w:cs="Arial"/>
                <w:bCs/>
                <w:color w:val="000000" w:themeColor="text1"/>
                <w:szCs w:val="19"/>
                <w:lang w:eastAsia="pl-PL"/>
              </w:rPr>
              <w:t>SPECIFICATION</w:t>
            </w:r>
          </w:p>
        </w:tc>
        <w:tc>
          <w:tcPr>
            <w:tcW w:w="966" w:type="pct"/>
            <w:vAlign w:val="center"/>
          </w:tcPr>
          <w:p w14:paraId="7BD772BA" w14:textId="77777777" w:rsidR="00B91532" w:rsidRPr="006A1D0B" w:rsidRDefault="00B91532" w:rsidP="00B91532">
            <w:pPr>
              <w:jc w:val="center"/>
              <w:rPr>
                <w:szCs w:val="19"/>
              </w:rPr>
            </w:pPr>
            <w:r w:rsidRPr="006A1D0B">
              <w:rPr>
                <w:szCs w:val="19"/>
              </w:rPr>
              <w:t>Total</w:t>
            </w:r>
          </w:p>
        </w:tc>
        <w:tc>
          <w:tcPr>
            <w:tcW w:w="1054" w:type="pct"/>
            <w:vAlign w:val="center"/>
          </w:tcPr>
          <w:p w14:paraId="13593672" w14:textId="77777777" w:rsidR="00B91532" w:rsidRPr="006A1D0B" w:rsidRDefault="00B91532" w:rsidP="00B91532">
            <w:pPr>
              <w:jc w:val="center"/>
              <w:rPr>
                <w:szCs w:val="19"/>
              </w:rPr>
            </w:pPr>
            <w:r w:rsidRPr="006A1D0B">
              <w:rPr>
                <w:szCs w:val="19"/>
              </w:rPr>
              <w:t>Non-banking factoring enterprises</w:t>
            </w:r>
          </w:p>
        </w:tc>
        <w:tc>
          <w:tcPr>
            <w:tcW w:w="959" w:type="pct"/>
            <w:vAlign w:val="center"/>
          </w:tcPr>
          <w:p w14:paraId="608A640A" w14:textId="77777777" w:rsidR="00B91532" w:rsidRPr="006A1D0B" w:rsidRDefault="00B91532" w:rsidP="00B91532">
            <w:pPr>
              <w:keepNext/>
              <w:keepLines/>
              <w:spacing w:before="240" w:line="240" w:lineRule="auto"/>
              <w:jc w:val="center"/>
              <w:outlineLvl w:val="2"/>
              <w:rPr>
                <w:rFonts w:eastAsiaTheme="majorEastAsia" w:cstheme="majorBidi"/>
                <w:color w:val="000000" w:themeColor="text1"/>
                <w:szCs w:val="19"/>
              </w:rPr>
            </w:pPr>
            <w:r w:rsidRPr="006A1D0B">
              <w:rPr>
                <w:rFonts w:eastAsiaTheme="majorEastAsia" w:cstheme="majorBidi"/>
                <w:color w:val="000000" w:themeColor="text1"/>
                <w:szCs w:val="19"/>
              </w:rPr>
              <w:t xml:space="preserve">Factoring </w:t>
            </w:r>
            <w:proofErr w:type="spellStart"/>
            <w:r w:rsidRPr="006A1D0B">
              <w:rPr>
                <w:rFonts w:eastAsiaTheme="majorEastAsia" w:cstheme="majorBidi"/>
                <w:color w:val="000000" w:themeColor="text1"/>
                <w:szCs w:val="19"/>
              </w:rPr>
              <w:t>a</w:t>
            </w:r>
            <w:r w:rsidR="006A1D0B" w:rsidRPr="006A1D0B">
              <w:rPr>
                <w:rFonts w:eastAsiaTheme="majorEastAsia" w:cstheme="majorBidi"/>
                <w:color w:val="000000" w:themeColor="text1"/>
                <w:szCs w:val="19"/>
              </w:rPr>
              <w:t>c</w:t>
            </w:r>
            <w:r w:rsidRPr="006A1D0B">
              <w:rPr>
                <w:rFonts w:eastAsiaTheme="majorEastAsia" w:cstheme="majorBidi"/>
                <w:color w:val="000000" w:themeColor="text1"/>
                <w:szCs w:val="19"/>
              </w:rPr>
              <w:t>tivity</w:t>
            </w:r>
            <w:proofErr w:type="spellEnd"/>
            <w:r w:rsidRPr="006A1D0B">
              <w:rPr>
                <w:rFonts w:eastAsiaTheme="majorEastAsia" w:cstheme="majorBidi"/>
                <w:color w:val="000000" w:themeColor="text1"/>
                <w:szCs w:val="19"/>
              </w:rPr>
              <w:t xml:space="preserve"> in </w:t>
            </w:r>
            <w:proofErr w:type="spellStart"/>
            <w:r w:rsidRPr="006A1D0B">
              <w:rPr>
                <w:rFonts w:eastAsiaTheme="majorEastAsia" w:cstheme="majorBidi"/>
                <w:color w:val="000000" w:themeColor="text1"/>
                <w:szCs w:val="19"/>
              </w:rPr>
              <w:t>banks</w:t>
            </w:r>
            <w:proofErr w:type="spellEnd"/>
          </w:p>
        </w:tc>
      </w:tr>
      <w:tr w:rsidR="00B91532" w:rsidRPr="00DE1C7A" w14:paraId="535812D1" w14:textId="77777777" w:rsidTr="00335BE1">
        <w:trPr>
          <w:trHeight w:val="381"/>
        </w:trPr>
        <w:tc>
          <w:tcPr>
            <w:tcW w:w="2021" w:type="pct"/>
            <w:vMerge/>
            <w:vAlign w:val="center"/>
          </w:tcPr>
          <w:p w14:paraId="2A1DF20C" w14:textId="77777777" w:rsidR="00B91532" w:rsidRPr="006A1D0B" w:rsidRDefault="00B91532" w:rsidP="00B91532">
            <w:pPr>
              <w:keepNext/>
              <w:keepLines/>
              <w:tabs>
                <w:tab w:val="right" w:leader="dot" w:pos="4156"/>
              </w:tabs>
              <w:spacing w:line="240" w:lineRule="auto"/>
              <w:contextualSpacing/>
              <w:outlineLvl w:val="4"/>
              <w:rPr>
                <w:rFonts w:asciiTheme="majorHAnsi" w:eastAsiaTheme="majorEastAsia" w:hAnsiTheme="majorHAnsi" w:cstheme="majorBidi"/>
                <w:color w:val="2E74B5" w:themeColor="accent1" w:themeShade="BF"/>
                <w:szCs w:val="19"/>
                <w:lang w:val="en-US"/>
              </w:rPr>
            </w:pPr>
          </w:p>
        </w:tc>
        <w:tc>
          <w:tcPr>
            <w:tcW w:w="2979" w:type="pct"/>
            <w:gridSpan w:val="3"/>
            <w:vAlign w:val="center"/>
          </w:tcPr>
          <w:p w14:paraId="59DB7659" w14:textId="77777777" w:rsidR="00B91532" w:rsidRPr="006A1D0B" w:rsidRDefault="00335BE1" w:rsidP="00B91532">
            <w:pPr>
              <w:spacing w:line="240" w:lineRule="auto"/>
              <w:jc w:val="center"/>
              <w:rPr>
                <w:rFonts w:cs="Arial"/>
                <w:color w:val="000000" w:themeColor="text1"/>
                <w:szCs w:val="19"/>
              </w:rPr>
            </w:pPr>
            <w:proofErr w:type="spellStart"/>
            <w:r w:rsidRPr="006A1D0B">
              <w:rPr>
                <w:rFonts w:cs="Arial"/>
                <w:color w:val="000000" w:themeColor="text1"/>
                <w:szCs w:val="19"/>
              </w:rPr>
              <w:t>Number</w:t>
            </w:r>
            <w:proofErr w:type="spellEnd"/>
            <w:r w:rsidR="00B2280D" w:rsidRPr="006A1D0B">
              <w:rPr>
                <w:rFonts w:cs="Arial"/>
                <w:color w:val="000000" w:themeColor="text1"/>
                <w:szCs w:val="19"/>
              </w:rPr>
              <w:t xml:space="preserve"> </w:t>
            </w:r>
            <w:r w:rsidRPr="006A1D0B">
              <w:rPr>
                <w:rFonts w:cs="Arial"/>
                <w:color w:val="000000" w:themeColor="text1"/>
                <w:szCs w:val="19"/>
              </w:rPr>
              <w:t xml:space="preserve">of </w:t>
            </w:r>
            <w:proofErr w:type="spellStart"/>
            <w:r w:rsidRPr="006A1D0B">
              <w:rPr>
                <w:rFonts w:cs="Arial"/>
                <w:color w:val="000000" w:themeColor="text1"/>
                <w:szCs w:val="19"/>
              </w:rPr>
              <w:t>entities</w:t>
            </w:r>
            <w:proofErr w:type="spellEnd"/>
          </w:p>
        </w:tc>
      </w:tr>
      <w:tr w:rsidR="00335BE1" w:rsidRPr="00DE1C7A" w14:paraId="753EE1B2" w14:textId="77777777" w:rsidTr="00335BE1">
        <w:trPr>
          <w:trHeight w:val="57"/>
        </w:trPr>
        <w:tc>
          <w:tcPr>
            <w:tcW w:w="2021" w:type="pct"/>
            <w:vAlign w:val="center"/>
          </w:tcPr>
          <w:p w14:paraId="74D6B7A3" w14:textId="77777777" w:rsidR="00335BE1" w:rsidRPr="006A1D0B" w:rsidRDefault="00335BE1" w:rsidP="00335BE1">
            <w:pPr>
              <w:keepNext/>
              <w:keepLines/>
              <w:tabs>
                <w:tab w:val="right" w:leader="dot" w:pos="4156"/>
              </w:tabs>
              <w:spacing w:line="240" w:lineRule="auto"/>
              <w:contextualSpacing/>
              <w:outlineLvl w:val="7"/>
              <w:rPr>
                <w:rFonts w:eastAsiaTheme="majorEastAsia" w:cstheme="majorBidi"/>
                <w:color w:val="000000" w:themeColor="text1"/>
                <w:szCs w:val="19"/>
                <w:lang w:val="en-US"/>
              </w:rPr>
            </w:pPr>
            <w:r w:rsidRPr="006A1D0B">
              <w:rPr>
                <w:rFonts w:eastAsiaTheme="majorEastAsia" w:cstheme="majorBidi"/>
                <w:color w:val="000000" w:themeColor="text1"/>
                <w:szCs w:val="19"/>
                <w:lang w:val="en"/>
              </w:rPr>
              <w:t>Total entities surveyed</w:t>
            </w:r>
          </w:p>
        </w:tc>
        <w:tc>
          <w:tcPr>
            <w:tcW w:w="966" w:type="pct"/>
            <w:vAlign w:val="center"/>
          </w:tcPr>
          <w:p w14:paraId="6C4FCEA4" w14:textId="77777777" w:rsidR="00335BE1" w:rsidRPr="006A1D0B" w:rsidRDefault="00335BE1" w:rsidP="00335BE1">
            <w:pPr>
              <w:jc w:val="right"/>
              <w:rPr>
                <w:rFonts w:cs="Arial"/>
                <w:szCs w:val="19"/>
              </w:rPr>
            </w:pPr>
            <w:r w:rsidRPr="006A1D0B">
              <w:rPr>
                <w:rFonts w:cs="Arial"/>
                <w:szCs w:val="19"/>
              </w:rPr>
              <w:t>52</w:t>
            </w:r>
          </w:p>
        </w:tc>
        <w:tc>
          <w:tcPr>
            <w:tcW w:w="1054" w:type="pct"/>
            <w:vAlign w:val="center"/>
          </w:tcPr>
          <w:p w14:paraId="4CB74F1B" w14:textId="77777777" w:rsidR="00335BE1" w:rsidRPr="006A1D0B" w:rsidRDefault="00335BE1" w:rsidP="00335BE1">
            <w:pPr>
              <w:jc w:val="right"/>
              <w:rPr>
                <w:rFonts w:cs="Arial"/>
                <w:szCs w:val="19"/>
              </w:rPr>
            </w:pPr>
            <w:r w:rsidRPr="006A1D0B">
              <w:rPr>
                <w:rFonts w:cs="Arial"/>
                <w:szCs w:val="19"/>
              </w:rPr>
              <w:t>43</w:t>
            </w:r>
          </w:p>
        </w:tc>
        <w:tc>
          <w:tcPr>
            <w:tcW w:w="959" w:type="pct"/>
            <w:vAlign w:val="center"/>
          </w:tcPr>
          <w:p w14:paraId="2F629D72" w14:textId="77777777" w:rsidR="00335BE1" w:rsidRPr="006A1D0B" w:rsidRDefault="00335BE1" w:rsidP="00335BE1">
            <w:pPr>
              <w:jc w:val="right"/>
              <w:rPr>
                <w:rFonts w:cs="Arial"/>
                <w:szCs w:val="19"/>
              </w:rPr>
            </w:pPr>
            <w:r w:rsidRPr="006A1D0B">
              <w:rPr>
                <w:rFonts w:cs="Arial"/>
                <w:szCs w:val="19"/>
              </w:rPr>
              <w:t>9</w:t>
            </w:r>
          </w:p>
        </w:tc>
      </w:tr>
      <w:tr w:rsidR="00335BE1" w:rsidRPr="00DE1C7A" w14:paraId="47352A8B" w14:textId="77777777" w:rsidTr="00335BE1">
        <w:trPr>
          <w:trHeight w:val="57"/>
        </w:trPr>
        <w:tc>
          <w:tcPr>
            <w:tcW w:w="2021" w:type="pct"/>
            <w:vAlign w:val="center"/>
          </w:tcPr>
          <w:p w14:paraId="08656E37" w14:textId="5F36B3AD" w:rsidR="00335BE1" w:rsidRPr="006A1D0B" w:rsidRDefault="00335BE1" w:rsidP="00335BE1">
            <w:pPr>
              <w:keepNext/>
              <w:keepLines/>
              <w:tabs>
                <w:tab w:val="right" w:leader="dot" w:pos="4156"/>
              </w:tabs>
              <w:spacing w:line="240" w:lineRule="auto"/>
              <w:contextualSpacing/>
              <w:outlineLvl w:val="7"/>
              <w:rPr>
                <w:rFonts w:eastAsiaTheme="majorEastAsia" w:cstheme="majorBidi"/>
                <w:color w:val="000000" w:themeColor="text1"/>
                <w:szCs w:val="19"/>
                <w:lang w:val="en-US"/>
              </w:rPr>
            </w:pPr>
            <w:r w:rsidRPr="006A1D0B">
              <w:rPr>
                <w:rFonts w:eastAsiaTheme="majorEastAsia" w:cstheme="majorBidi"/>
                <w:color w:val="000000" w:themeColor="text1"/>
                <w:szCs w:val="19"/>
                <w:lang w:val="en"/>
              </w:rPr>
              <w:t>Factoring –only activity</w:t>
            </w:r>
          </w:p>
        </w:tc>
        <w:tc>
          <w:tcPr>
            <w:tcW w:w="966" w:type="pct"/>
            <w:vAlign w:val="center"/>
          </w:tcPr>
          <w:p w14:paraId="3641F3E5" w14:textId="77777777" w:rsidR="00335BE1" w:rsidRPr="006A1D0B" w:rsidRDefault="00335BE1" w:rsidP="00335BE1">
            <w:pPr>
              <w:jc w:val="right"/>
              <w:rPr>
                <w:rFonts w:cs="Arial"/>
                <w:szCs w:val="19"/>
              </w:rPr>
            </w:pPr>
            <w:r w:rsidRPr="006A1D0B">
              <w:rPr>
                <w:rFonts w:cs="Arial"/>
                <w:szCs w:val="19"/>
              </w:rPr>
              <w:t>28</w:t>
            </w:r>
          </w:p>
        </w:tc>
        <w:tc>
          <w:tcPr>
            <w:tcW w:w="1054" w:type="pct"/>
            <w:vAlign w:val="center"/>
          </w:tcPr>
          <w:p w14:paraId="1B366FB6" w14:textId="77777777" w:rsidR="00335BE1" w:rsidRPr="006A1D0B" w:rsidRDefault="00335BE1" w:rsidP="00335BE1">
            <w:pPr>
              <w:jc w:val="right"/>
              <w:rPr>
                <w:rFonts w:cs="Arial"/>
                <w:szCs w:val="19"/>
              </w:rPr>
            </w:pPr>
            <w:r w:rsidRPr="006A1D0B">
              <w:rPr>
                <w:rFonts w:cs="Arial"/>
                <w:szCs w:val="19"/>
              </w:rPr>
              <w:t>28</w:t>
            </w:r>
          </w:p>
        </w:tc>
        <w:tc>
          <w:tcPr>
            <w:tcW w:w="959" w:type="pct"/>
            <w:vAlign w:val="center"/>
          </w:tcPr>
          <w:p w14:paraId="12685297" w14:textId="77777777" w:rsidR="00335BE1" w:rsidRPr="006A1D0B" w:rsidRDefault="00335BE1" w:rsidP="00335BE1">
            <w:pPr>
              <w:jc w:val="right"/>
              <w:rPr>
                <w:rFonts w:cs="Arial"/>
                <w:szCs w:val="19"/>
              </w:rPr>
            </w:pPr>
            <w:r w:rsidRPr="006A1D0B">
              <w:rPr>
                <w:rFonts w:cs="Arial"/>
                <w:szCs w:val="19"/>
              </w:rPr>
              <w:t>-</w:t>
            </w:r>
          </w:p>
        </w:tc>
      </w:tr>
      <w:tr w:rsidR="00335BE1" w:rsidRPr="00DE1C7A" w14:paraId="17B4EF52" w14:textId="77777777" w:rsidTr="00335BE1">
        <w:trPr>
          <w:trHeight w:val="57"/>
        </w:trPr>
        <w:tc>
          <w:tcPr>
            <w:tcW w:w="2021" w:type="pct"/>
            <w:vAlign w:val="center"/>
          </w:tcPr>
          <w:p w14:paraId="5DADFF78" w14:textId="2AC5CFA6" w:rsidR="00335BE1" w:rsidRPr="006A1D0B" w:rsidRDefault="00335BE1" w:rsidP="00335BE1">
            <w:pPr>
              <w:keepNext/>
              <w:keepLines/>
              <w:tabs>
                <w:tab w:val="right" w:leader="dot" w:pos="4156"/>
              </w:tabs>
              <w:spacing w:line="240" w:lineRule="auto"/>
              <w:contextualSpacing/>
              <w:outlineLvl w:val="7"/>
              <w:rPr>
                <w:rFonts w:eastAsiaTheme="majorEastAsia" w:cstheme="majorBidi"/>
                <w:color w:val="000000" w:themeColor="text1"/>
                <w:szCs w:val="19"/>
                <w:lang w:val="en-US"/>
              </w:rPr>
            </w:pPr>
            <w:r w:rsidRPr="006A1D0B">
              <w:rPr>
                <w:rFonts w:eastAsiaTheme="majorEastAsia" w:cstheme="majorBidi"/>
                <w:color w:val="000000" w:themeColor="text1"/>
                <w:szCs w:val="19"/>
                <w:lang w:val="en-US"/>
              </w:rPr>
              <w:t xml:space="preserve">Factoring – </w:t>
            </w:r>
            <w:r w:rsidR="00F245A4">
              <w:rPr>
                <w:rFonts w:eastAsiaTheme="majorEastAsia" w:cstheme="majorBidi"/>
                <w:color w:val="000000" w:themeColor="text1"/>
                <w:szCs w:val="19"/>
                <w:lang w:val="en-US"/>
              </w:rPr>
              <w:t>dominant</w:t>
            </w:r>
            <w:r w:rsidRPr="006A1D0B">
              <w:rPr>
                <w:rFonts w:eastAsiaTheme="majorEastAsia" w:cstheme="majorBidi"/>
                <w:color w:val="000000" w:themeColor="text1"/>
                <w:szCs w:val="19"/>
                <w:lang w:val="en-US"/>
              </w:rPr>
              <w:t xml:space="preserve"> activity</w:t>
            </w:r>
          </w:p>
        </w:tc>
        <w:tc>
          <w:tcPr>
            <w:tcW w:w="966" w:type="pct"/>
            <w:vAlign w:val="center"/>
          </w:tcPr>
          <w:p w14:paraId="772E8ACA" w14:textId="77777777" w:rsidR="00335BE1" w:rsidRPr="006A1D0B" w:rsidRDefault="00335BE1" w:rsidP="00335BE1">
            <w:pPr>
              <w:jc w:val="right"/>
              <w:rPr>
                <w:rFonts w:cs="Arial"/>
                <w:szCs w:val="19"/>
              </w:rPr>
            </w:pPr>
            <w:r w:rsidRPr="006A1D0B">
              <w:rPr>
                <w:rFonts w:cs="Arial"/>
                <w:szCs w:val="19"/>
              </w:rPr>
              <w:t>3</w:t>
            </w:r>
          </w:p>
        </w:tc>
        <w:tc>
          <w:tcPr>
            <w:tcW w:w="1054" w:type="pct"/>
            <w:vAlign w:val="center"/>
          </w:tcPr>
          <w:p w14:paraId="4F8F4C50" w14:textId="77777777" w:rsidR="00335BE1" w:rsidRPr="006A1D0B" w:rsidRDefault="00335BE1" w:rsidP="00335BE1">
            <w:pPr>
              <w:jc w:val="right"/>
              <w:rPr>
                <w:rFonts w:cs="Arial"/>
                <w:szCs w:val="19"/>
              </w:rPr>
            </w:pPr>
            <w:r w:rsidRPr="006A1D0B">
              <w:rPr>
                <w:rFonts w:cs="Arial"/>
                <w:szCs w:val="19"/>
              </w:rPr>
              <w:t>3</w:t>
            </w:r>
          </w:p>
        </w:tc>
        <w:tc>
          <w:tcPr>
            <w:tcW w:w="959" w:type="pct"/>
            <w:vAlign w:val="center"/>
          </w:tcPr>
          <w:p w14:paraId="476F6650" w14:textId="77777777" w:rsidR="00335BE1" w:rsidRPr="006A1D0B" w:rsidRDefault="00335BE1" w:rsidP="00335BE1">
            <w:pPr>
              <w:jc w:val="right"/>
              <w:rPr>
                <w:rFonts w:cs="Arial"/>
                <w:szCs w:val="19"/>
              </w:rPr>
            </w:pPr>
            <w:r w:rsidRPr="006A1D0B">
              <w:rPr>
                <w:rFonts w:cs="Arial"/>
                <w:szCs w:val="19"/>
              </w:rPr>
              <w:t>-</w:t>
            </w:r>
          </w:p>
        </w:tc>
      </w:tr>
      <w:tr w:rsidR="00335BE1" w:rsidRPr="00DE1C7A" w14:paraId="3375D6DB" w14:textId="77777777" w:rsidTr="00335BE1">
        <w:trPr>
          <w:trHeight w:val="57"/>
        </w:trPr>
        <w:tc>
          <w:tcPr>
            <w:tcW w:w="2021" w:type="pct"/>
            <w:vAlign w:val="center"/>
          </w:tcPr>
          <w:p w14:paraId="134DD19E" w14:textId="7F400856" w:rsidR="00335BE1" w:rsidRPr="006A1D0B" w:rsidRDefault="00335BE1" w:rsidP="00335BE1">
            <w:pPr>
              <w:keepNext/>
              <w:keepLines/>
              <w:tabs>
                <w:tab w:val="right" w:leader="dot" w:pos="4156"/>
              </w:tabs>
              <w:spacing w:line="240" w:lineRule="auto"/>
              <w:contextualSpacing/>
              <w:outlineLvl w:val="7"/>
              <w:rPr>
                <w:rFonts w:eastAsiaTheme="majorEastAsia" w:cstheme="majorBidi"/>
                <w:color w:val="000000" w:themeColor="text1"/>
                <w:szCs w:val="19"/>
                <w:lang w:val="en-US"/>
              </w:rPr>
            </w:pPr>
            <w:r w:rsidRPr="006A1D0B">
              <w:rPr>
                <w:rFonts w:eastAsiaTheme="majorEastAsia" w:cstheme="majorBidi"/>
                <w:color w:val="000000" w:themeColor="text1"/>
                <w:szCs w:val="19"/>
                <w:lang w:val="en-US"/>
              </w:rPr>
              <w:t xml:space="preserve">Factoring – </w:t>
            </w:r>
            <w:r w:rsidR="00F245A4">
              <w:rPr>
                <w:rFonts w:eastAsiaTheme="majorEastAsia" w:cstheme="majorBidi"/>
                <w:color w:val="000000" w:themeColor="text1"/>
                <w:szCs w:val="19"/>
                <w:lang w:val="en-US"/>
              </w:rPr>
              <w:t>second</w:t>
            </w:r>
            <w:r w:rsidRPr="006A1D0B">
              <w:rPr>
                <w:rFonts w:eastAsiaTheme="majorEastAsia" w:cstheme="majorBidi"/>
                <w:color w:val="000000" w:themeColor="text1"/>
                <w:szCs w:val="19"/>
                <w:lang w:val="en-US"/>
              </w:rPr>
              <w:t>ary activity</w:t>
            </w:r>
          </w:p>
        </w:tc>
        <w:tc>
          <w:tcPr>
            <w:tcW w:w="966" w:type="pct"/>
            <w:vAlign w:val="center"/>
          </w:tcPr>
          <w:p w14:paraId="2B6F500C" w14:textId="77777777" w:rsidR="00335BE1" w:rsidRPr="006A1D0B" w:rsidRDefault="00335BE1" w:rsidP="00335BE1">
            <w:pPr>
              <w:jc w:val="right"/>
              <w:rPr>
                <w:rFonts w:cs="Arial"/>
                <w:szCs w:val="19"/>
              </w:rPr>
            </w:pPr>
            <w:r w:rsidRPr="006A1D0B">
              <w:rPr>
                <w:rFonts w:cs="Arial"/>
                <w:szCs w:val="19"/>
              </w:rPr>
              <w:t>21</w:t>
            </w:r>
          </w:p>
        </w:tc>
        <w:tc>
          <w:tcPr>
            <w:tcW w:w="1054" w:type="pct"/>
            <w:vAlign w:val="center"/>
          </w:tcPr>
          <w:p w14:paraId="685EB84B" w14:textId="77777777" w:rsidR="00335BE1" w:rsidRPr="006A1D0B" w:rsidRDefault="00335BE1" w:rsidP="00335BE1">
            <w:pPr>
              <w:jc w:val="right"/>
              <w:rPr>
                <w:rFonts w:cs="Arial"/>
                <w:szCs w:val="19"/>
              </w:rPr>
            </w:pPr>
            <w:r w:rsidRPr="006A1D0B">
              <w:rPr>
                <w:rFonts w:cs="Arial"/>
                <w:szCs w:val="19"/>
              </w:rPr>
              <w:t>12</w:t>
            </w:r>
          </w:p>
        </w:tc>
        <w:tc>
          <w:tcPr>
            <w:tcW w:w="959" w:type="pct"/>
            <w:vAlign w:val="center"/>
          </w:tcPr>
          <w:p w14:paraId="14D11095" w14:textId="77777777" w:rsidR="00335BE1" w:rsidRPr="006A1D0B" w:rsidRDefault="00335BE1" w:rsidP="00335BE1">
            <w:pPr>
              <w:jc w:val="right"/>
              <w:rPr>
                <w:rFonts w:cs="Arial"/>
                <w:szCs w:val="19"/>
              </w:rPr>
            </w:pPr>
            <w:r w:rsidRPr="006A1D0B">
              <w:rPr>
                <w:rFonts w:cs="Arial"/>
                <w:szCs w:val="19"/>
              </w:rPr>
              <w:t>9</w:t>
            </w:r>
          </w:p>
        </w:tc>
      </w:tr>
    </w:tbl>
    <w:p w14:paraId="4AC06846" w14:textId="5B31163B" w:rsidR="00894DFD" w:rsidRPr="00DE1C7A" w:rsidRDefault="00335BE1" w:rsidP="00FC3927">
      <w:pPr>
        <w:spacing w:line="288" w:lineRule="auto"/>
        <w:rPr>
          <w:shd w:val="clear" w:color="auto" w:fill="FFFFFF"/>
          <w:lang w:val="en"/>
        </w:rPr>
      </w:pPr>
      <w:r w:rsidRPr="00335BE1">
        <w:rPr>
          <w:shd w:val="clear" w:color="auto" w:fill="FFFFFF"/>
          <w:lang w:val="en"/>
        </w:rPr>
        <w:t>Among the non-banking factoring enterprises, 26 belonged to capital groups, of which 2</w:t>
      </w:r>
      <w:r w:rsidR="000D7C49">
        <w:rPr>
          <w:shd w:val="clear" w:color="auto" w:fill="FFFFFF"/>
          <w:lang w:val="en"/>
        </w:rPr>
        <w:t>1</w:t>
      </w:r>
      <w:r w:rsidRPr="00335BE1">
        <w:rPr>
          <w:shd w:val="clear" w:color="auto" w:fill="FFFFFF"/>
          <w:lang w:val="en"/>
        </w:rPr>
        <w:t xml:space="preserve"> were subsidiaries, one was a parent entity and four were parent and subsidiary entities simultaneously. Among the examined banks, eight</w:t>
      </w:r>
      <w:r w:rsidR="00A36907">
        <w:rPr>
          <w:shd w:val="clear" w:color="auto" w:fill="FFFFFF"/>
          <w:lang w:val="en"/>
        </w:rPr>
        <w:t xml:space="preserve"> enterprises</w:t>
      </w:r>
      <w:r w:rsidRPr="00335BE1">
        <w:rPr>
          <w:shd w:val="clear" w:color="auto" w:fill="FFFFFF"/>
          <w:lang w:val="en"/>
        </w:rPr>
        <w:t xml:space="preserve"> belonged to capital groups</w:t>
      </w:r>
      <w:r w:rsidR="00894DFD" w:rsidRPr="00DE1C7A">
        <w:rPr>
          <w:shd w:val="clear" w:color="auto" w:fill="FFFFFF"/>
          <w:lang w:val="en"/>
        </w:rPr>
        <w:t>.</w:t>
      </w:r>
    </w:p>
    <w:p w14:paraId="526D21AA" w14:textId="3697AE2E" w:rsidR="00335BE1" w:rsidRDefault="00335BE1" w:rsidP="00FC3927">
      <w:pPr>
        <w:spacing w:line="288" w:lineRule="auto"/>
        <w:rPr>
          <w:shd w:val="clear" w:color="auto" w:fill="FFFFFF"/>
          <w:lang w:val="en-US"/>
        </w:rPr>
      </w:pPr>
      <w:r w:rsidRPr="00335BE1">
        <w:rPr>
          <w:shd w:val="clear" w:color="auto" w:fill="FFFFFF"/>
          <w:lang w:val="en-US"/>
        </w:rPr>
        <w:t xml:space="preserve">In thirty-two non-banking factoring enterprises, domestic capital dominated, </w:t>
      </w:r>
      <w:r w:rsidRPr="00827903">
        <w:rPr>
          <w:shd w:val="clear" w:color="auto" w:fill="FFFFFF"/>
          <w:lang w:val="en-US"/>
        </w:rPr>
        <w:t xml:space="preserve">in </w:t>
      </w:r>
      <w:r w:rsidR="00877DF9">
        <w:rPr>
          <w:shd w:val="clear" w:color="auto" w:fill="FFFFFF"/>
          <w:lang w:val="en-US"/>
        </w:rPr>
        <w:t>10</w:t>
      </w:r>
      <w:r w:rsidRPr="00827903">
        <w:rPr>
          <w:shd w:val="clear" w:color="auto" w:fill="FFFFFF"/>
          <w:lang w:val="en-US"/>
        </w:rPr>
        <w:t xml:space="preserve"> foreign</w:t>
      </w:r>
      <w:r w:rsidRPr="00335BE1">
        <w:rPr>
          <w:shd w:val="clear" w:color="auto" w:fill="FFFFFF"/>
          <w:lang w:val="en-US"/>
        </w:rPr>
        <w:t xml:space="preserve"> capital, while one enterprise had a 50% share of domestic and foreign capital. In the group of non-banking factoring enterprises, joint-stock companies (23 units) and limited liability companies (19 units) dominated</w:t>
      </w:r>
      <w:r w:rsidR="00A36907">
        <w:rPr>
          <w:shd w:val="clear" w:color="auto" w:fill="FFFFFF"/>
          <w:lang w:val="en-US"/>
        </w:rPr>
        <w:t>.</w:t>
      </w:r>
      <w:r w:rsidRPr="00335BE1">
        <w:rPr>
          <w:shd w:val="clear" w:color="auto" w:fill="FFFFFF"/>
          <w:lang w:val="en-US"/>
        </w:rPr>
        <w:t xml:space="preserve"> </w:t>
      </w:r>
      <w:r w:rsidR="00A36907">
        <w:rPr>
          <w:shd w:val="clear" w:color="auto" w:fill="FFFFFF"/>
          <w:lang w:val="en-US"/>
        </w:rPr>
        <w:t>One</w:t>
      </w:r>
      <w:r w:rsidRPr="00335BE1">
        <w:rPr>
          <w:shd w:val="clear" w:color="auto" w:fill="FFFFFF"/>
          <w:lang w:val="en-US"/>
        </w:rPr>
        <w:t xml:space="preserve"> enterprise had a different organizational form</w:t>
      </w:r>
      <w:r w:rsidR="00A36907">
        <w:rPr>
          <w:shd w:val="clear" w:color="auto" w:fill="FFFFFF"/>
          <w:lang w:val="en-US"/>
        </w:rPr>
        <w:t>.</w:t>
      </w:r>
    </w:p>
    <w:p w14:paraId="3FB1679A" w14:textId="77777777" w:rsidR="00335BE1" w:rsidRDefault="006A1D0B" w:rsidP="00FC3927">
      <w:pPr>
        <w:spacing w:line="288" w:lineRule="auto"/>
        <w:rPr>
          <w:shd w:val="clear" w:color="auto" w:fill="FFFFFF"/>
          <w:lang w:val="en-US"/>
        </w:rPr>
      </w:pPr>
      <w:r w:rsidRPr="006A1D0B">
        <w:rPr>
          <w:noProof/>
          <w:color w:val="212492"/>
          <w:lang w:eastAsia="pl-PL"/>
        </w:rPr>
        <mc:AlternateContent>
          <mc:Choice Requires="wps">
            <w:drawing>
              <wp:anchor distT="45720" distB="45720" distL="114300" distR="114300" simplePos="0" relativeHeight="251751424" behindDoc="1" locked="0" layoutInCell="1" allowOverlap="1" wp14:anchorId="0EC6D25E" wp14:editId="408EBD8C">
                <wp:simplePos x="0" y="0"/>
                <wp:positionH relativeFrom="column">
                  <wp:posOffset>5311140</wp:posOffset>
                </wp:positionH>
                <wp:positionV relativeFrom="paragraph">
                  <wp:posOffset>639445</wp:posOffset>
                </wp:positionV>
                <wp:extent cx="1725295" cy="769620"/>
                <wp:effectExtent l="0" t="0" r="0" b="0"/>
                <wp:wrapTight wrapText="bothSides">
                  <wp:wrapPolygon edited="0">
                    <wp:start x="715" y="0"/>
                    <wp:lineTo x="715" y="20851"/>
                    <wp:lineTo x="20749" y="20851"/>
                    <wp:lineTo x="20749" y="0"/>
                    <wp:lineTo x="715" y="0"/>
                  </wp:wrapPolygon>
                </wp:wrapTight>
                <wp:docPr id="15" name="Pole tekstowe 15" descr="18 factoring companies sur-veyed noticed the impact of the coronavirus pandemic on their activ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769620"/>
                        </a:xfrm>
                        <a:prstGeom prst="rect">
                          <a:avLst/>
                        </a:prstGeom>
                        <a:noFill/>
                        <a:ln w="9525">
                          <a:noFill/>
                          <a:miter lim="800000"/>
                          <a:headEnd/>
                          <a:tailEnd/>
                        </a:ln>
                      </wps:spPr>
                      <wps:txbx>
                        <w:txbxContent>
                          <w:p w14:paraId="230B296C" w14:textId="1B9A2BC6" w:rsidR="006A1D0B" w:rsidRDefault="000D7C49" w:rsidP="006A1D0B">
                            <w:pPr>
                              <w:pStyle w:val="tekstzboku"/>
                              <w:spacing w:before="0"/>
                              <w:rPr>
                                <w:lang w:val="en"/>
                              </w:rPr>
                            </w:pPr>
                            <w:r>
                              <w:rPr>
                                <w:lang w:val="en"/>
                              </w:rPr>
                              <w:t>18</w:t>
                            </w:r>
                            <w:r w:rsidR="006A1D0B" w:rsidRPr="006A1D0B">
                              <w:rPr>
                                <w:lang w:val="en"/>
                              </w:rPr>
                              <w:t xml:space="preserve"> factoring companies surveyed noticed the impact of the coronavirus pandemic on their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6D25E" id="Pole tekstowe 15" o:spid="_x0000_s1028" type="#_x0000_t202" alt="18 factoring companies sur-veyed noticed the impact of the coronavirus pandemic on their activities" style="position:absolute;margin-left:418.2pt;margin-top:50.35pt;width:135.85pt;height:60.6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" filled="f" stroked="f">
                <v:textbox>
                  <w:txbxContent>
                    <w:p w14:paraId="230B296C" w14:textId="1B9A2BC6" w:rsidR="006A1D0B" w:rsidRDefault="000D7C49" w:rsidP="006A1D0B">
                      <w:pPr>
                        <w:pStyle w:val="tekstzboku"/>
                        <w:spacing w:before="0"/>
                        <w:rPr>
                          <w:lang w:val="en"/>
                        </w:rPr>
                      </w:pPr>
                      <w:r>
                        <w:rPr>
                          <w:lang w:val="en"/>
                        </w:rPr>
                        <w:t>18</w:t>
                      </w:r>
                      <w:r w:rsidR="006A1D0B" w:rsidRPr="006A1D0B">
                        <w:rPr>
                          <w:lang w:val="en"/>
                        </w:rPr>
                        <w:t xml:space="preserve"> factoring companies surveyed noticed the impact of the coronavirus pandemic on their activities</w:t>
                      </w:r>
                    </w:p>
                  </w:txbxContent>
                </v:textbox>
                <w10:wrap type="tight"/>
              </v:shape>
            </w:pict>
          </mc:Fallback>
        </mc:AlternateContent>
      </w:r>
      <w:r w:rsidR="00335BE1" w:rsidRPr="00335BE1">
        <w:rPr>
          <w:shd w:val="clear" w:color="auto" w:fill="FFFFFF"/>
          <w:lang w:val="en-US"/>
        </w:rPr>
        <w:t>Non-banking factoring companies employed 1,544 people on the basis of an employment contract, 118 based on a mandate contract, agency contract or specific work contract, and 247 based on the Business Activity Act. The distribution network</w:t>
      </w:r>
      <w:r w:rsidR="007E7B8D">
        <w:rPr>
          <w:shd w:val="clear" w:color="auto" w:fill="FFFFFF"/>
          <w:lang w:val="en-US"/>
        </w:rPr>
        <w:t xml:space="preserve"> of these companies</w:t>
      </w:r>
      <w:r w:rsidR="00335BE1" w:rsidRPr="00335BE1">
        <w:rPr>
          <w:shd w:val="clear" w:color="auto" w:fill="FFFFFF"/>
          <w:lang w:val="en-US"/>
        </w:rPr>
        <w:t xml:space="preserve"> consisted of a total of 339 branches, representative offices and affiliates</w:t>
      </w:r>
      <w:r w:rsidR="00335BE1">
        <w:rPr>
          <w:shd w:val="clear" w:color="auto" w:fill="FFFFFF"/>
          <w:lang w:val="en-US"/>
        </w:rPr>
        <w:t>.</w:t>
      </w:r>
    </w:p>
    <w:p w14:paraId="13E0478E" w14:textId="4FDC48CF" w:rsidR="00335BE1" w:rsidRDefault="00335BE1" w:rsidP="00FC3927">
      <w:pPr>
        <w:spacing w:line="288" w:lineRule="auto"/>
        <w:rPr>
          <w:shd w:val="clear" w:color="auto" w:fill="FFFFFF"/>
          <w:lang w:val="en-US"/>
        </w:rPr>
      </w:pPr>
      <w:r w:rsidRPr="00335BE1">
        <w:rPr>
          <w:shd w:val="clear" w:color="auto" w:fill="FFFFFF"/>
          <w:lang w:val="en-US"/>
        </w:rPr>
        <w:t xml:space="preserve">Eighteen of the surveyed factoring companies have observed the impact of  </w:t>
      </w:r>
      <w:r w:rsidR="007E7B8D">
        <w:rPr>
          <w:shd w:val="clear" w:color="auto" w:fill="FFFFFF"/>
          <w:lang w:val="en-US"/>
        </w:rPr>
        <w:t xml:space="preserve">coronavirus </w:t>
      </w:r>
      <w:r w:rsidRPr="00335BE1">
        <w:rPr>
          <w:shd w:val="clear" w:color="auto" w:fill="FFFFFF"/>
          <w:lang w:val="en-US"/>
        </w:rPr>
        <w:t xml:space="preserve">pandemic on their business, of which </w:t>
      </w:r>
      <w:r w:rsidR="00960FAB">
        <w:rPr>
          <w:shd w:val="clear" w:color="auto" w:fill="FFFFFF"/>
          <w:lang w:val="en-US"/>
        </w:rPr>
        <w:t>10</w:t>
      </w:r>
      <w:r w:rsidRPr="00335BE1">
        <w:rPr>
          <w:shd w:val="clear" w:color="auto" w:fill="FFFFFF"/>
          <w:lang w:val="en-US"/>
        </w:rPr>
        <w:t xml:space="preserve"> companies rated it as "slightly negative", five as a "major negative", two as </w:t>
      </w:r>
      <w:r w:rsidR="007E7B8D">
        <w:rPr>
          <w:shd w:val="clear" w:color="auto" w:fill="FFFFFF"/>
          <w:lang w:val="en-US"/>
        </w:rPr>
        <w:t>“</w:t>
      </w:r>
      <w:r w:rsidRPr="00335BE1">
        <w:rPr>
          <w:shd w:val="clear" w:color="auto" w:fill="FFFFFF"/>
          <w:lang w:val="en-US"/>
        </w:rPr>
        <w:t>threatening the stability of the company</w:t>
      </w:r>
      <w:r w:rsidR="007E7B8D">
        <w:rPr>
          <w:shd w:val="clear" w:color="auto" w:fill="FFFFFF"/>
          <w:lang w:val="en-US"/>
        </w:rPr>
        <w:t>”</w:t>
      </w:r>
      <w:r w:rsidRPr="00335BE1">
        <w:rPr>
          <w:shd w:val="clear" w:color="auto" w:fill="FFFFFF"/>
          <w:lang w:val="en-US"/>
        </w:rPr>
        <w:t xml:space="preserve"> and one as "slightly positive"</w:t>
      </w:r>
      <w:r>
        <w:rPr>
          <w:shd w:val="clear" w:color="auto" w:fill="FFFFFF"/>
          <w:lang w:val="en-US"/>
        </w:rPr>
        <w:t>.</w:t>
      </w:r>
    </w:p>
    <w:p w14:paraId="1E25C670" w14:textId="77777777" w:rsidR="00DC02DB" w:rsidRPr="00DE1C7A" w:rsidRDefault="00DC02DB" w:rsidP="00DC02DB">
      <w:pPr>
        <w:pStyle w:val="Nagwek1"/>
        <w:rPr>
          <w:b/>
          <w:noProof/>
          <w:color w:val="212492"/>
          <w:spacing w:val="-2"/>
          <w:lang w:val="en-US"/>
        </w:rPr>
      </w:pPr>
      <w:r w:rsidRPr="00DE1C7A">
        <w:rPr>
          <w:b/>
          <w:noProof/>
          <w:color w:val="212492"/>
          <w:spacing w:val="-2"/>
        </w:rPr>
        <w:lastRenderedPageBreak/>
        <mc:AlternateContent>
          <mc:Choice Requires="wps">
            <w:drawing>
              <wp:anchor distT="45720" distB="45720" distL="114300" distR="114300" simplePos="0" relativeHeight="251657216" behindDoc="1" locked="0" layoutInCell="1" allowOverlap="1" wp14:anchorId="7F8CEAC6" wp14:editId="53DFEDAD">
                <wp:simplePos x="0" y="0"/>
                <wp:positionH relativeFrom="column">
                  <wp:posOffset>5250180</wp:posOffset>
                </wp:positionH>
                <wp:positionV relativeFrom="paragraph">
                  <wp:posOffset>170180</wp:posOffset>
                </wp:positionV>
                <wp:extent cx="1725295" cy="617220"/>
                <wp:effectExtent l="0" t="0" r="0" b="0"/>
                <wp:wrapTight wrapText="bothSides">
                  <wp:wrapPolygon edited="0">
                    <wp:start x="715" y="0"/>
                    <wp:lineTo x="715" y="20667"/>
                    <wp:lineTo x="20749" y="20667"/>
                    <wp:lineTo x="20749" y="0"/>
                    <wp:lineTo x="715" y="0"/>
                  </wp:wrapPolygon>
                </wp:wrapTight>
                <wp:docPr id="6" name="Pole tekstowe 6" descr="26.4 thousand customers used factoring services in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617220"/>
                        </a:xfrm>
                        <a:prstGeom prst="rect">
                          <a:avLst/>
                        </a:prstGeom>
                        <a:noFill/>
                        <a:ln w="9525">
                          <a:noFill/>
                          <a:miter lim="800000"/>
                          <a:headEnd/>
                          <a:tailEnd/>
                        </a:ln>
                      </wps:spPr>
                      <wps:txbx>
                        <w:txbxContent>
                          <w:p w14:paraId="196D9DEF" w14:textId="4EB24AAF" w:rsidR="00711EEC" w:rsidRDefault="006A1D0B" w:rsidP="00FC3927">
                            <w:pPr>
                              <w:pStyle w:val="tekstzboku"/>
                              <w:spacing w:before="0"/>
                              <w:rPr>
                                <w:lang w:val="en"/>
                              </w:rPr>
                            </w:pPr>
                            <w:r w:rsidRPr="006A1D0B">
                              <w:rPr>
                                <w:lang w:val="en"/>
                              </w:rPr>
                              <w:t>26.4 thousand customers used factoring services in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CEAC6" id="Pole tekstowe 6" o:spid="_x0000_s1029" type="#_x0000_t202" alt="26.4 thousand customers used factoring services in 2021" style="position:absolute;margin-left:413.4pt;margin-top:13.4pt;width:135.85pt;height:4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" filled="f" stroked="f">
                <v:textbox>
                  <w:txbxContent>
                    <w:p w14:paraId="196D9DEF" w14:textId="4EB24AAF" w:rsidR="00711EEC" w:rsidRDefault="006A1D0B" w:rsidP="00FC3927">
                      <w:pPr>
                        <w:pStyle w:val="tekstzboku"/>
                        <w:spacing w:before="0"/>
                        <w:rPr>
                          <w:lang w:val="en"/>
                        </w:rPr>
                      </w:pPr>
                      <w:r w:rsidRPr="006A1D0B">
                        <w:rPr>
                          <w:lang w:val="en"/>
                        </w:rPr>
                        <w:t>26.4 thousand customers used factoring services in 2021</w:t>
                      </w:r>
                    </w:p>
                  </w:txbxContent>
                </v:textbox>
                <w10:wrap type="tight"/>
              </v:shape>
            </w:pict>
          </mc:Fallback>
        </mc:AlternateContent>
      </w:r>
      <w:r w:rsidRPr="00DE1C7A">
        <w:rPr>
          <w:lang w:val="en-US"/>
        </w:rPr>
        <w:t xml:space="preserve">Characteristics of </w:t>
      </w:r>
      <w:r w:rsidR="00335BE1" w:rsidRPr="00335BE1">
        <w:rPr>
          <w:lang w:val="en-US"/>
        </w:rPr>
        <w:t xml:space="preserve">factoring services </w:t>
      </w:r>
    </w:p>
    <w:p w14:paraId="2A3A84D7" w14:textId="01CCD784" w:rsidR="00335BE1" w:rsidRDefault="00335BE1" w:rsidP="00FC3927">
      <w:pPr>
        <w:pStyle w:val="HTML-wstpniesformatowany"/>
        <w:spacing w:before="120" w:line="288" w:lineRule="auto"/>
        <w:rPr>
          <w:rFonts w:ascii="Fira Sans" w:eastAsiaTheme="minorHAnsi" w:hAnsi="Fira Sans" w:cstheme="minorBidi"/>
          <w:sz w:val="19"/>
          <w:szCs w:val="22"/>
          <w:shd w:val="clear" w:color="auto" w:fill="FFFFFF"/>
          <w:lang w:val="en-US" w:eastAsia="en-US"/>
        </w:rPr>
      </w:pPr>
      <w:r w:rsidRPr="00335BE1">
        <w:rPr>
          <w:rFonts w:ascii="Fira Sans" w:eastAsiaTheme="minorHAnsi" w:hAnsi="Fira Sans" w:cstheme="minorBidi"/>
          <w:sz w:val="19"/>
          <w:szCs w:val="22"/>
          <w:shd w:val="clear" w:color="auto" w:fill="FFFFFF"/>
          <w:lang w:val="en-US" w:eastAsia="en-US"/>
        </w:rPr>
        <w:t xml:space="preserve">In 2021, factoring services were used by 26,371 clients. In this number, 28.5% of clients operated in the field of trade, 21.1% - </w:t>
      </w:r>
      <w:r w:rsidR="00FD36FE">
        <w:rPr>
          <w:rFonts w:ascii="Fira Sans" w:eastAsiaTheme="minorHAnsi" w:hAnsi="Fira Sans" w:cstheme="minorBidi"/>
          <w:sz w:val="19"/>
          <w:szCs w:val="22"/>
          <w:shd w:val="clear" w:color="auto" w:fill="FFFFFF"/>
          <w:lang w:val="en-US" w:eastAsia="en-US"/>
        </w:rPr>
        <w:t xml:space="preserve">in </w:t>
      </w:r>
      <w:r w:rsidRPr="00335BE1">
        <w:rPr>
          <w:rFonts w:ascii="Fira Sans" w:eastAsiaTheme="minorHAnsi" w:hAnsi="Fira Sans" w:cstheme="minorBidi"/>
          <w:sz w:val="19"/>
          <w:szCs w:val="22"/>
          <w:shd w:val="clear" w:color="auto" w:fill="FFFFFF"/>
          <w:lang w:val="en-US" w:eastAsia="en-US"/>
        </w:rPr>
        <w:t xml:space="preserve">transport, 18.8% - </w:t>
      </w:r>
      <w:r w:rsidR="00FD36FE">
        <w:rPr>
          <w:rFonts w:ascii="Fira Sans" w:eastAsiaTheme="minorHAnsi" w:hAnsi="Fira Sans" w:cstheme="minorBidi"/>
          <w:sz w:val="19"/>
          <w:szCs w:val="22"/>
          <w:shd w:val="clear" w:color="auto" w:fill="FFFFFF"/>
          <w:lang w:val="en-US" w:eastAsia="en-US"/>
        </w:rPr>
        <w:t xml:space="preserve">in </w:t>
      </w:r>
      <w:r w:rsidRPr="00335BE1">
        <w:rPr>
          <w:rFonts w:ascii="Fira Sans" w:eastAsiaTheme="minorHAnsi" w:hAnsi="Fira Sans" w:cstheme="minorBidi"/>
          <w:sz w:val="19"/>
          <w:szCs w:val="22"/>
          <w:shd w:val="clear" w:color="auto" w:fill="FFFFFF"/>
          <w:lang w:val="en-US" w:eastAsia="en-US"/>
        </w:rPr>
        <w:t>industry.</w:t>
      </w:r>
    </w:p>
    <w:p w14:paraId="2206F0E4" w14:textId="77777777" w:rsidR="00140CEE" w:rsidRPr="00DE1C7A" w:rsidRDefault="00335BE1" w:rsidP="00FC3927">
      <w:pPr>
        <w:pStyle w:val="HTML-wstpniesformatowany"/>
        <w:spacing w:before="120" w:line="288" w:lineRule="auto"/>
        <w:rPr>
          <w:rFonts w:ascii="Fira Sans" w:eastAsiaTheme="minorHAnsi" w:hAnsi="Fira Sans" w:cstheme="minorBidi"/>
          <w:sz w:val="19"/>
          <w:szCs w:val="22"/>
          <w:shd w:val="clear" w:color="auto" w:fill="FFFFFF"/>
          <w:lang w:val="en-US" w:eastAsia="en-US"/>
        </w:rPr>
      </w:pPr>
      <w:r w:rsidRPr="00335BE1">
        <w:rPr>
          <w:rFonts w:ascii="Fira Sans" w:eastAsiaTheme="minorHAnsi" w:hAnsi="Fira Sans" w:cstheme="minorBidi"/>
          <w:sz w:val="19"/>
          <w:szCs w:val="22"/>
          <w:shd w:val="clear" w:color="auto" w:fill="FFFFFF"/>
          <w:lang w:val="en-US" w:eastAsia="en-US"/>
        </w:rPr>
        <w:t>The value of purchased receivables by the examined factoring companies (in total) increased by 29.4%, from PLN 308,975 million in 2020 to PLN 399,822 million in 2021</w:t>
      </w:r>
      <w:r w:rsidR="00805F1C" w:rsidRPr="00DE1C7A">
        <w:rPr>
          <w:rFonts w:ascii="Fira Sans" w:eastAsiaTheme="minorHAnsi" w:hAnsi="Fira Sans" w:cstheme="minorBidi"/>
          <w:sz w:val="19"/>
          <w:szCs w:val="22"/>
          <w:shd w:val="clear" w:color="auto" w:fill="FFFFFF"/>
          <w:lang w:val="en-US" w:eastAsia="en-US"/>
        </w:rPr>
        <w:t>.</w:t>
      </w:r>
    </w:p>
    <w:p w14:paraId="7F542AEC" w14:textId="77777777" w:rsidR="00765B99" w:rsidRPr="00FC3927" w:rsidRDefault="004D0C49" w:rsidP="00FC3927">
      <w:pPr>
        <w:pStyle w:val="tytuwykresu"/>
        <w:spacing w:before="240" w:line="240" w:lineRule="auto"/>
        <w:ind w:left="709" w:hanging="709"/>
        <w:rPr>
          <w:sz w:val="19"/>
          <w:szCs w:val="19"/>
          <w:shd w:val="clear" w:color="auto" w:fill="FFFFFF"/>
          <w:lang w:val="en"/>
        </w:rPr>
      </w:pPr>
      <w:r w:rsidRPr="00FC3927">
        <w:rPr>
          <w:sz w:val="19"/>
          <w:szCs w:val="19"/>
          <w:lang w:val="en-US"/>
        </w:rPr>
        <w:t>Table</w:t>
      </w:r>
      <w:r w:rsidR="00FB5906" w:rsidRPr="00FC3927">
        <w:rPr>
          <w:sz w:val="19"/>
          <w:szCs w:val="19"/>
          <w:lang w:val="en-US"/>
        </w:rPr>
        <w:t xml:space="preserve"> </w:t>
      </w:r>
      <w:r w:rsidR="00815292">
        <w:rPr>
          <w:sz w:val="19"/>
          <w:szCs w:val="19"/>
          <w:lang w:val="en-US"/>
        </w:rPr>
        <w:t>2</w:t>
      </w:r>
      <w:r w:rsidR="008F4441" w:rsidRPr="00FC3927">
        <w:rPr>
          <w:sz w:val="19"/>
          <w:szCs w:val="19"/>
          <w:lang w:val="en-US"/>
        </w:rPr>
        <w:t>.</w:t>
      </w:r>
      <w:r w:rsidR="00074DD8" w:rsidRPr="00FC3927">
        <w:rPr>
          <w:sz w:val="19"/>
          <w:szCs w:val="19"/>
          <w:shd w:val="clear" w:color="auto" w:fill="FFFFFF"/>
          <w:lang w:val="en-US"/>
        </w:rPr>
        <w:t xml:space="preserve"> </w:t>
      </w:r>
      <w:r w:rsidR="00815292" w:rsidRPr="00815292">
        <w:rPr>
          <w:sz w:val="19"/>
          <w:szCs w:val="19"/>
          <w:shd w:val="clear" w:color="auto" w:fill="FFFFFF"/>
          <w:lang w:val="en"/>
        </w:rPr>
        <w:t>Basic information on the activities of factoring companies</w:t>
      </w:r>
    </w:p>
    <w:tbl>
      <w:tblPr>
        <w:tblStyle w:val="Siatkatabelijasna10"/>
        <w:tblpPr w:leftFromText="141" w:rightFromText="141" w:vertAnchor="text" w:horzAnchor="margin" w:tblpY="137"/>
        <w:tblW w:w="5000" w:type="pct"/>
        <w:tblBorders>
          <w:top w:val="single" w:sz="4" w:space="0" w:color="auto"/>
          <w:left w:val="none" w:sz="0" w:space="0" w:color="auto"/>
          <w:bottom w:val="none" w:sz="0" w:space="0" w:color="auto"/>
          <w:right w:val="none" w:sz="0" w:space="0" w:color="auto"/>
          <w:insideH w:val="single" w:sz="4" w:space="0" w:color="auto"/>
          <w:insideV w:val="single" w:sz="4" w:space="0" w:color="212492"/>
        </w:tblBorders>
        <w:tblLayout w:type="fixed"/>
        <w:tblCellMar>
          <w:top w:w="57" w:type="dxa"/>
          <w:bottom w:w="57" w:type="dxa"/>
        </w:tblCellMar>
        <w:tblLook w:val="0000" w:firstRow="0" w:lastRow="0" w:firstColumn="0" w:lastColumn="0" w:noHBand="0" w:noVBand="0"/>
        <w:tblCaption w:val="Table 2. Basic information on the activities of factoring companies"/>
        <w:tblDescription w:val="In total, factoring companies handled 26.4 thousand. customers. They bought 21.7 million invoices worth about PLN 400 billion. Non-bank factoring companies serviced 23.9 thousand customers, buying 19.3 million invoices worth PLN 325 billion. banks serviced 2.5 million factoring customers from whom 2.4 million invoices worth PLN 74.8 billion were purchased."/>
      </w:tblPr>
      <w:tblGrid>
        <w:gridCol w:w="2129"/>
        <w:gridCol w:w="989"/>
        <w:gridCol w:w="991"/>
        <w:gridCol w:w="991"/>
        <w:gridCol w:w="989"/>
        <w:gridCol w:w="991"/>
        <w:gridCol w:w="987"/>
      </w:tblGrid>
      <w:tr w:rsidR="00815292" w:rsidRPr="00DE1C7A" w14:paraId="084A517B" w14:textId="77777777" w:rsidTr="00D37B1C">
        <w:trPr>
          <w:trHeight w:val="57"/>
        </w:trPr>
        <w:tc>
          <w:tcPr>
            <w:tcW w:w="1320" w:type="pct"/>
            <w:vMerge w:val="restart"/>
            <w:vAlign w:val="center"/>
          </w:tcPr>
          <w:p w14:paraId="5AFFA69B" w14:textId="77777777" w:rsidR="00815292" w:rsidRPr="00815292" w:rsidRDefault="00815292" w:rsidP="00815292">
            <w:pPr>
              <w:keepNext/>
              <w:tabs>
                <w:tab w:val="right" w:leader="dot" w:pos="4139"/>
              </w:tabs>
              <w:spacing w:before="240" w:line="240" w:lineRule="auto"/>
              <w:jc w:val="center"/>
              <w:outlineLvl w:val="0"/>
              <w:rPr>
                <w:rFonts w:eastAsia="Times New Roman" w:cs="Arial"/>
                <w:b/>
                <w:color w:val="000000" w:themeColor="text1"/>
                <w:sz w:val="18"/>
                <w:szCs w:val="18"/>
                <w:lang w:eastAsia="pl-PL"/>
              </w:rPr>
            </w:pPr>
            <w:r w:rsidRPr="00815292">
              <w:rPr>
                <w:rFonts w:eastAsia="Times New Roman" w:cs="Arial"/>
                <w:bCs/>
                <w:color w:val="000000" w:themeColor="text1"/>
                <w:sz w:val="18"/>
                <w:szCs w:val="18"/>
                <w:lang w:eastAsia="pl-PL"/>
              </w:rPr>
              <w:t>SPECIFICATION</w:t>
            </w:r>
          </w:p>
        </w:tc>
        <w:tc>
          <w:tcPr>
            <w:tcW w:w="1227" w:type="pct"/>
            <w:gridSpan w:val="2"/>
            <w:vAlign w:val="center"/>
          </w:tcPr>
          <w:p w14:paraId="1CA7605A" w14:textId="77777777" w:rsidR="00815292" w:rsidRPr="00815292" w:rsidRDefault="00815292" w:rsidP="00815292">
            <w:pPr>
              <w:pStyle w:val="Nagwek3"/>
              <w:spacing w:before="0"/>
              <w:jc w:val="center"/>
              <w:outlineLvl w:val="2"/>
              <w:rPr>
                <w:rFonts w:ascii="Fira Sans" w:hAnsi="Fira Sans"/>
                <w:color w:val="000000" w:themeColor="text1"/>
                <w:sz w:val="18"/>
                <w:szCs w:val="18"/>
              </w:rPr>
            </w:pPr>
            <w:r w:rsidRPr="00815292">
              <w:rPr>
                <w:rFonts w:ascii="Fira Sans" w:hAnsi="Fira Sans"/>
                <w:color w:val="000000" w:themeColor="text1"/>
                <w:sz w:val="18"/>
                <w:szCs w:val="18"/>
              </w:rPr>
              <w:t xml:space="preserve">Total </w:t>
            </w:r>
          </w:p>
        </w:tc>
        <w:tc>
          <w:tcPr>
            <w:tcW w:w="1227" w:type="pct"/>
            <w:gridSpan w:val="2"/>
            <w:vAlign w:val="center"/>
          </w:tcPr>
          <w:p w14:paraId="5C282094" w14:textId="77777777" w:rsidR="00815292" w:rsidRPr="00815292" w:rsidRDefault="00815292" w:rsidP="00815292">
            <w:pPr>
              <w:pStyle w:val="Nagwek3"/>
              <w:spacing w:before="0"/>
              <w:jc w:val="center"/>
              <w:outlineLvl w:val="2"/>
              <w:rPr>
                <w:rFonts w:ascii="Fira Sans" w:hAnsi="Fira Sans"/>
                <w:color w:val="000000" w:themeColor="text1"/>
                <w:sz w:val="18"/>
                <w:szCs w:val="18"/>
              </w:rPr>
            </w:pPr>
            <w:r w:rsidRPr="00815292">
              <w:rPr>
                <w:rFonts w:ascii="Fira Sans" w:hAnsi="Fira Sans"/>
                <w:color w:val="000000" w:themeColor="text1"/>
                <w:sz w:val="18"/>
                <w:szCs w:val="18"/>
              </w:rPr>
              <w:t>Non-banking factoring enterprises</w:t>
            </w:r>
          </w:p>
        </w:tc>
        <w:tc>
          <w:tcPr>
            <w:tcW w:w="1226" w:type="pct"/>
            <w:gridSpan w:val="2"/>
            <w:vAlign w:val="center"/>
          </w:tcPr>
          <w:p w14:paraId="0A76BD56" w14:textId="77777777" w:rsidR="00815292" w:rsidRPr="00815292" w:rsidRDefault="00815292" w:rsidP="00815292">
            <w:pPr>
              <w:pStyle w:val="Nagwek3"/>
              <w:spacing w:before="0"/>
              <w:jc w:val="center"/>
              <w:outlineLvl w:val="2"/>
              <w:rPr>
                <w:rFonts w:ascii="Fira Sans" w:hAnsi="Fira Sans"/>
                <w:color w:val="000000" w:themeColor="text1"/>
                <w:sz w:val="18"/>
                <w:szCs w:val="18"/>
              </w:rPr>
            </w:pPr>
            <w:r w:rsidRPr="00815292">
              <w:rPr>
                <w:rFonts w:ascii="Fira Sans" w:hAnsi="Fira Sans"/>
                <w:color w:val="000000" w:themeColor="text1"/>
                <w:sz w:val="18"/>
                <w:szCs w:val="18"/>
              </w:rPr>
              <w:t xml:space="preserve">Factoring </w:t>
            </w:r>
            <w:proofErr w:type="spellStart"/>
            <w:r w:rsidRPr="00815292">
              <w:rPr>
                <w:rFonts w:ascii="Fira Sans" w:hAnsi="Fira Sans"/>
                <w:color w:val="000000" w:themeColor="text1"/>
                <w:sz w:val="18"/>
                <w:szCs w:val="18"/>
              </w:rPr>
              <w:t>activity</w:t>
            </w:r>
            <w:proofErr w:type="spellEnd"/>
            <w:r w:rsidRPr="00815292">
              <w:rPr>
                <w:rFonts w:ascii="Fira Sans" w:hAnsi="Fira Sans"/>
                <w:color w:val="000000" w:themeColor="text1"/>
                <w:sz w:val="18"/>
                <w:szCs w:val="18"/>
              </w:rPr>
              <w:t xml:space="preserve"> in </w:t>
            </w:r>
            <w:proofErr w:type="spellStart"/>
            <w:r w:rsidRPr="00815292">
              <w:rPr>
                <w:rFonts w:ascii="Fira Sans" w:hAnsi="Fira Sans"/>
                <w:color w:val="000000" w:themeColor="text1"/>
                <w:sz w:val="18"/>
                <w:szCs w:val="18"/>
              </w:rPr>
              <w:t>banks</w:t>
            </w:r>
            <w:proofErr w:type="spellEnd"/>
          </w:p>
        </w:tc>
      </w:tr>
      <w:tr w:rsidR="00815292" w:rsidRPr="00DE1C7A" w14:paraId="35BF3F45" w14:textId="77777777" w:rsidTr="005F3BEA">
        <w:trPr>
          <w:trHeight w:val="381"/>
        </w:trPr>
        <w:tc>
          <w:tcPr>
            <w:tcW w:w="1320" w:type="pct"/>
            <w:vMerge/>
            <w:vAlign w:val="center"/>
          </w:tcPr>
          <w:p w14:paraId="262488DE" w14:textId="77777777" w:rsidR="00815292" w:rsidRPr="00815292" w:rsidRDefault="00815292" w:rsidP="00815292">
            <w:pPr>
              <w:keepNext/>
              <w:keepLines/>
              <w:tabs>
                <w:tab w:val="right" w:leader="dot" w:pos="4156"/>
              </w:tabs>
              <w:spacing w:line="240" w:lineRule="auto"/>
              <w:contextualSpacing/>
              <w:outlineLvl w:val="4"/>
              <w:rPr>
                <w:rFonts w:asciiTheme="majorHAnsi" w:eastAsiaTheme="majorEastAsia" w:hAnsiTheme="majorHAnsi" w:cstheme="majorBidi"/>
                <w:color w:val="2E74B5" w:themeColor="accent1" w:themeShade="BF"/>
                <w:sz w:val="18"/>
                <w:szCs w:val="18"/>
                <w:lang w:val="en-US"/>
              </w:rPr>
            </w:pPr>
          </w:p>
        </w:tc>
        <w:tc>
          <w:tcPr>
            <w:tcW w:w="613" w:type="pct"/>
            <w:vAlign w:val="center"/>
          </w:tcPr>
          <w:p w14:paraId="62A3746E" w14:textId="77777777" w:rsidR="00815292" w:rsidRPr="00A6761B" w:rsidRDefault="00815292" w:rsidP="00815292">
            <w:pPr>
              <w:jc w:val="center"/>
              <w:rPr>
                <w:color w:val="000000" w:themeColor="text1"/>
                <w:sz w:val="18"/>
                <w:szCs w:val="18"/>
              </w:rPr>
            </w:pPr>
            <w:r w:rsidRPr="00A6761B">
              <w:rPr>
                <w:color w:val="000000" w:themeColor="text1"/>
                <w:sz w:val="18"/>
                <w:szCs w:val="18"/>
              </w:rPr>
              <w:t>2020</w:t>
            </w:r>
          </w:p>
        </w:tc>
        <w:tc>
          <w:tcPr>
            <w:tcW w:w="614" w:type="pct"/>
            <w:vAlign w:val="center"/>
          </w:tcPr>
          <w:p w14:paraId="33B67A40" w14:textId="77777777" w:rsidR="00815292" w:rsidRPr="00A6761B" w:rsidRDefault="00815292" w:rsidP="00815292">
            <w:pPr>
              <w:jc w:val="center"/>
              <w:rPr>
                <w:color w:val="000000" w:themeColor="text1"/>
                <w:sz w:val="18"/>
                <w:szCs w:val="18"/>
              </w:rPr>
            </w:pPr>
            <w:r w:rsidRPr="00A6761B">
              <w:rPr>
                <w:color w:val="000000" w:themeColor="text1"/>
                <w:sz w:val="18"/>
                <w:szCs w:val="18"/>
              </w:rPr>
              <w:t>2021</w:t>
            </w:r>
          </w:p>
        </w:tc>
        <w:tc>
          <w:tcPr>
            <w:tcW w:w="614" w:type="pct"/>
            <w:vAlign w:val="center"/>
          </w:tcPr>
          <w:p w14:paraId="7A7CBE5E" w14:textId="77777777" w:rsidR="00815292" w:rsidRPr="00A6761B" w:rsidRDefault="00815292" w:rsidP="00815292">
            <w:pPr>
              <w:jc w:val="center"/>
              <w:rPr>
                <w:color w:val="000000" w:themeColor="text1"/>
                <w:sz w:val="18"/>
                <w:szCs w:val="18"/>
              </w:rPr>
            </w:pPr>
            <w:r w:rsidRPr="00A6761B">
              <w:rPr>
                <w:color w:val="000000" w:themeColor="text1"/>
                <w:sz w:val="18"/>
                <w:szCs w:val="18"/>
              </w:rPr>
              <w:t>2020</w:t>
            </w:r>
          </w:p>
        </w:tc>
        <w:tc>
          <w:tcPr>
            <w:tcW w:w="613" w:type="pct"/>
            <w:vAlign w:val="center"/>
          </w:tcPr>
          <w:p w14:paraId="1EA0032D" w14:textId="77777777" w:rsidR="00815292" w:rsidRPr="00A6761B" w:rsidRDefault="00815292" w:rsidP="00815292">
            <w:pPr>
              <w:jc w:val="center"/>
              <w:rPr>
                <w:color w:val="000000" w:themeColor="text1"/>
                <w:sz w:val="18"/>
                <w:szCs w:val="18"/>
              </w:rPr>
            </w:pPr>
            <w:r w:rsidRPr="00A6761B">
              <w:rPr>
                <w:color w:val="000000" w:themeColor="text1"/>
                <w:sz w:val="18"/>
                <w:szCs w:val="18"/>
              </w:rPr>
              <w:t>2021</w:t>
            </w:r>
          </w:p>
        </w:tc>
        <w:tc>
          <w:tcPr>
            <w:tcW w:w="614" w:type="pct"/>
            <w:vAlign w:val="center"/>
          </w:tcPr>
          <w:p w14:paraId="7BA6A5E4" w14:textId="77777777" w:rsidR="00815292" w:rsidRPr="00A6761B" w:rsidRDefault="00815292" w:rsidP="00815292">
            <w:pPr>
              <w:jc w:val="center"/>
              <w:rPr>
                <w:color w:val="000000" w:themeColor="text1"/>
                <w:sz w:val="18"/>
                <w:szCs w:val="18"/>
              </w:rPr>
            </w:pPr>
            <w:r w:rsidRPr="00A6761B">
              <w:rPr>
                <w:color w:val="000000" w:themeColor="text1"/>
                <w:sz w:val="18"/>
                <w:szCs w:val="18"/>
              </w:rPr>
              <w:t>2020</w:t>
            </w:r>
          </w:p>
        </w:tc>
        <w:tc>
          <w:tcPr>
            <w:tcW w:w="612" w:type="pct"/>
            <w:vAlign w:val="center"/>
          </w:tcPr>
          <w:p w14:paraId="43372625" w14:textId="77777777" w:rsidR="00815292" w:rsidRPr="00A6761B" w:rsidRDefault="00815292" w:rsidP="00815292">
            <w:pPr>
              <w:jc w:val="center"/>
              <w:rPr>
                <w:color w:val="000000" w:themeColor="text1"/>
                <w:sz w:val="18"/>
                <w:szCs w:val="18"/>
              </w:rPr>
            </w:pPr>
            <w:r w:rsidRPr="00A6761B">
              <w:rPr>
                <w:color w:val="000000" w:themeColor="text1"/>
                <w:sz w:val="18"/>
                <w:szCs w:val="18"/>
              </w:rPr>
              <w:t>2021</w:t>
            </w:r>
          </w:p>
        </w:tc>
      </w:tr>
      <w:tr w:rsidR="00815292" w:rsidRPr="00DE1C7A" w14:paraId="57F8744D" w14:textId="77777777" w:rsidTr="005F3BEA">
        <w:trPr>
          <w:trHeight w:val="57"/>
        </w:trPr>
        <w:tc>
          <w:tcPr>
            <w:tcW w:w="1320" w:type="pct"/>
            <w:vAlign w:val="center"/>
          </w:tcPr>
          <w:p w14:paraId="04EB0E24" w14:textId="77777777" w:rsidR="00815292" w:rsidRPr="00815292" w:rsidRDefault="00815292" w:rsidP="00815292">
            <w:pPr>
              <w:keepNext/>
              <w:keepLines/>
              <w:tabs>
                <w:tab w:val="right" w:leader="dot" w:pos="4156"/>
              </w:tabs>
              <w:spacing w:line="240" w:lineRule="auto"/>
              <w:contextualSpacing/>
              <w:outlineLvl w:val="7"/>
              <w:rPr>
                <w:rFonts w:eastAsiaTheme="majorEastAsia" w:cstheme="majorBidi"/>
                <w:color w:val="000000" w:themeColor="text1"/>
                <w:sz w:val="18"/>
                <w:szCs w:val="18"/>
                <w:lang w:val="en-US"/>
              </w:rPr>
            </w:pPr>
            <w:r w:rsidRPr="00815292">
              <w:rPr>
                <w:rFonts w:eastAsiaTheme="majorEastAsia" w:cstheme="majorBidi"/>
                <w:color w:val="000000" w:themeColor="text1"/>
                <w:sz w:val="18"/>
                <w:szCs w:val="18"/>
                <w:lang w:val="en"/>
              </w:rPr>
              <w:t>Number of customers (</w:t>
            </w:r>
            <w:proofErr w:type="spellStart"/>
            <w:r w:rsidRPr="00815292">
              <w:rPr>
                <w:rFonts w:eastAsiaTheme="majorEastAsia" w:cstheme="majorBidi"/>
                <w:color w:val="000000" w:themeColor="text1"/>
                <w:sz w:val="18"/>
                <w:szCs w:val="18"/>
                <w:lang w:val="en"/>
              </w:rPr>
              <w:t>factorers</w:t>
            </w:r>
            <w:proofErr w:type="spellEnd"/>
            <w:r w:rsidRPr="00815292">
              <w:rPr>
                <w:rFonts w:eastAsiaTheme="majorEastAsia" w:cstheme="majorBidi"/>
                <w:color w:val="000000" w:themeColor="text1"/>
                <w:sz w:val="18"/>
                <w:szCs w:val="18"/>
                <w:lang w:val="en"/>
              </w:rPr>
              <w:t>)</w:t>
            </w:r>
          </w:p>
        </w:tc>
        <w:tc>
          <w:tcPr>
            <w:tcW w:w="613" w:type="pct"/>
            <w:vAlign w:val="center"/>
          </w:tcPr>
          <w:p w14:paraId="488A26E9" w14:textId="77777777" w:rsidR="00815292" w:rsidRPr="00A6761B" w:rsidRDefault="00815292" w:rsidP="00815292">
            <w:pPr>
              <w:jc w:val="right"/>
              <w:rPr>
                <w:rFonts w:cs="Arial"/>
                <w:bCs/>
                <w:sz w:val="18"/>
                <w:szCs w:val="18"/>
              </w:rPr>
            </w:pPr>
            <w:r w:rsidRPr="00A6761B">
              <w:rPr>
                <w:rFonts w:cs="Arial"/>
                <w:bCs/>
                <w:sz w:val="18"/>
                <w:szCs w:val="18"/>
              </w:rPr>
              <w:t xml:space="preserve">21 153 </w:t>
            </w:r>
          </w:p>
        </w:tc>
        <w:tc>
          <w:tcPr>
            <w:tcW w:w="614" w:type="pct"/>
            <w:vAlign w:val="center"/>
          </w:tcPr>
          <w:p w14:paraId="77039C72" w14:textId="77777777" w:rsidR="00815292" w:rsidRPr="00A6761B" w:rsidRDefault="00815292" w:rsidP="00815292">
            <w:pPr>
              <w:jc w:val="right"/>
              <w:rPr>
                <w:rFonts w:cs="Arial"/>
                <w:bCs/>
                <w:sz w:val="18"/>
                <w:szCs w:val="18"/>
              </w:rPr>
            </w:pPr>
            <w:r w:rsidRPr="00A6761B">
              <w:rPr>
                <w:rFonts w:cs="Arial"/>
                <w:bCs/>
                <w:sz w:val="18"/>
                <w:szCs w:val="18"/>
              </w:rPr>
              <w:t>26 371</w:t>
            </w:r>
          </w:p>
        </w:tc>
        <w:tc>
          <w:tcPr>
            <w:tcW w:w="614" w:type="pct"/>
            <w:vAlign w:val="center"/>
          </w:tcPr>
          <w:p w14:paraId="6095BF84" w14:textId="77777777" w:rsidR="00815292" w:rsidRPr="00A6761B" w:rsidRDefault="00815292" w:rsidP="00815292">
            <w:pPr>
              <w:jc w:val="right"/>
              <w:rPr>
                <w:rFonts w:cs="Arial"/>
                <w:bCs/>
                <w:sz w:val="18"/>
                <w:szCs w:val="18"/>
              </w:rPr>
            </w:pPr>
            <w:r w:rsidRPr="00A6761B">
              <w:rPr>
                <w:rFonts w:cs="Arial"/>
                <w:bCs/>
                <w:sz w:val="18"/>
                <w:szCs w:val="18"/>
              </w:rPr>
              <w:t>18 242</w:t>
            </w:r>
          </w:p>
        </w:tc>
        <w:tc>
          <w:tcPr>
            <w:tcW w:w="613" w:type="pct"/>
            <w:vAlign w:val="center"/>
          </w:tcPr>
          <w:p w14:paraId="6BE11FC4" w14:textId="77777777" w:rsidR="00815292" w:rsidRPr="00A6761B" w:rsidRDefault="00815292" w:rsidP="00815292">
            <w:pPr>
              <w:jc w:val="right"/>
              <w:rPr>
                <w:rFonts w:cs="Arial"/>
                <w:bCs/>
                <w:sz w:val="18"/>
                <w:szCs w:val="18"/>
              </w:rPr>
            </w:pPr>
            <w:r w:rsidRPr="00A6761B">
              <w:rPr>
                <w:rFonts w:cs="Arial"/>
                <w:bCs/>
                <w:sz w:val="18"/>
                <w:szCs w:val="18"/>
              </w:rPr>
              <w:t>23 852</w:t>
            </w:r>
          </w:p>
        </w:tc>
        <w:tc>
          <w:tcPr>
            <w:tcW w:w="614" w:type="pct"/>
            <w:vAlign w:val="center"/>
          </w:tcPr>
          <w:p w14:paraId="368C82DD" w14:textId="77777777" w:rsidR="00815292" w:rsidRPr="00A6761B" w:rsidRDefault="00815292" w:rsidP="00815292">
            <w:pPr>
              <w:jc w:val="right"/>
              <w:rPr>
                <w:rFonts w:cs="Arial"/>
                <w:bCs/>
                <w:sz w:val="18"/>
                <w:szCs w:val="18"/>
              </w:rPr>
            </w:pPr>
            <w:r w:rsidRPr="00A6761B">
              <w:rPr>
                <w:rFonts w:cs="Arial"/>
                <w:bCs/>
                <w:sz w:val="18"/>
                <w:szCs w:val="18"/>
              </w:rPr>
              <w:t>2 911</w:t>
            </w:r>
          </w:p>
        </w:tc>
        <w:tc>
          <w:tcPr>
            <w:tcW w:w="612" w:type="pct"/>
            <w:vAlign w:val="center"/>
          </w:tcPr>
          <w:p w14:paraId="4785180D" w14:textId="77777777" w:rsidR="00815292" w:rsidRPr="00A6761B" w:rsidRDefault="00815292" w:rsidP="00815292">
            <w:pPr>
              <w:jc w:val="right"/>
              <w:rPr>
                <w:rFonts w:cs="Arial"/>
                <w:bCs/>
                <w:sz w:val="18"/>
                <w:szCs w:val="18"/>
              </w:rPr>
            </w:pPr>
            <w:r w:rsidRPr="00A6761B">
              <w:rPr>
                <w:rFonts w:cs="Arial"/>
                <w:bCs/>
                <w:sz w:val="18"/>
                <w:szCs w:val="18"/>
              </w:rPr>
              <w:t>2 519</w:t>
            </w:r>
          </w:p>
        </w:tc>
      </w:tr>
      <w:tr w:rsidR="00815292" w:rsidRPr="00DE1C7A" w14:paraId="0750CA70" w14:textId="77777777" w:rsidTr="005F3BEA">
        <w:trPr>
          <w:trHeight w:val="57"/>
        </w:trPr>
        <w:tc>
          <w:tcPr>
            <w:tcW w:w="1320" w:type="pct"/>
            <w:vAlign w:val="center"/>
          </w:tcPr>
          <w:p w14:paraId="7192960C" w14:textId="77777777" w:rsidR="00815292" w:rsidRPr="00815292" w:rsidRDefault="00815292" w:rsidP="00815292">
            <w:pPr>
              <w:keepNext/>
              <w:keepLines/>
              <w:tabs>
                <w:tab w:val="right" w:leader="dot" w:pos="4156"/>
              </w:tabs>
              <w:spacing w:line="240" w:lineRule="auto"/>
              <w:contextualSpacing/>
              <w:outlineLvl w:val="7"/>
              <w:rPr>
                <w:rFonts w:eastAsiaTheme="majorEastAsia" w:cstheme="majorBidi"/>
                <w:color w:val="000000" w:themeColor="text1"/>
                <w:sz w:val="18"/>
                <w:szCs w:val="18"/>
                <w:lang w:val="en-US"/>
              </w:rPr>
            </w:pPr>
            <w:r w:rsidRPr="00815292">
              <w:rPr>
                <w:rFonts w:eastAsiaTheme="majorEastAsia" w:cstheme="majorBidi"/>
                <w:color w:val="000000" w:themeColor="text1"/>
                <w:sz w:val="18"/>
                <w:szCs w:val="18"/>
                <w:lang w:val="en-US"/>
              </w:rPr>
              <w:t xml:space="preserve">Number of  purchased invoices </w:t>
            </w:r>
          </w:p>
          <w:p w14:paraId="1F932FAA" w14:textId="77777777" w:rsidR="00815292" w:rsidRPr="00815292" w:rsidRDefault="00815292" w:rsidP="00815292">
            <w:pPr>
              <w:keepNext/>
              <w:keepLines/>
              <w:tabs>
                <w:tab w:val="right" w:leader="dot" w:pos="4156"/>
              </w:tabs>
              <w:spacing w:line="240" w:lineRule="auto"/>
              <w:contextualSpacing/>
              <w:outlineLvl w:val="7"/>
              <w:rPr>
                <w:rFonts w:eastAsiaTheme="majorEastAsia" w:cstheme="majorBidi"/>
                <w:color w:val="000000" w:themeColor="text1"/>
                <w:sz w:val="18"/>
                <w:szCs w:val="18"/>
                <w:lang w:val="en-US"/>
              </w:rPr>
            </w:pPr>
            <w:r w:rsidRPr="00815292">
              <w:rPr>
                <w:rFonts w:eastAsiaTheme="majorEastAsia" w:cstheme="majorBidi"/>
                <w:color w:val="000000" w:themeColor="text1"/>
                <w:sz w:val="18"/>
                <w:szCs w:val="18"/>
                <w:lang w:val="en-US"/>
              </w:rPr>
              <w:t>in thousand</w:t>
            </w:r>
          </w:p>
        </w:tc>
        <w:tc>
          <w:tcPr>
            <w:tcW w:w="613" w:type="pct"/>
            <w:vAlign w:val="center"/>
          </w:tcPr>
          <w:p w14:paraId="6C985669" w14:textId="77777777" w:rsidR="00815292" w:rsidRPr="00A6761B" w:rsidRDefault="00815292" w:rsidP="00815292">
            <w:pPr>
              <w:jc w:val="right"/>
              <w:rPr>
                <w:rFonts w:cs="Arial"/>
                <w:bCs/>
                <w:sz w:val="18"/>
                <w:szCs w:val="18"/>
              </w:rPr>
            </w:pPr>
            <w:r w:rsidRPr="00A6761B">
              <w:rPr>
                <w:rFonts w:cs="Arial"/>
                <w:bCs/>
                <w:sz w:val="18"/>
                <w:szCs w:val="18"/>
              </w:rPr>
              <w:t>18 559</w:t>
            </w:r>
          </w:p>
        </w:tc>
        <w:tc>
          <w:tcPr>
            <w:tcW w:w="614" w:type="pct"/>
            <w:vAlign w:val="center"/>
          </w:tcPr>
          <w:p w14:paraId="2B37E931" w14:textId="77777777" w:rsidR="00815292" w:rsidRPr="00A6761B" w:rsidRDefault="00815292" w:rsidP="00815292">
            <w:pPr>
              <w:jc w:val="right"/>
              <w:rPr>
                <w:rFonts w:cs="Arial"/>
                <w:bCs/>
                <w:sz w:val="18"/>
                <w:szCs w:val="18"/>
              </w:rPr>
            </w:pPr>
            <w:r w:rsidRPr="00A6761B">
              <w:rPr>
                <w:rFonts w:cs="Arial"/>
                <w:bCs/>
                <w:sz w:val="18"/>
                <w:szCs w:val="18"/>
              </w:rPr>
              <w:t>21 710</w:t>
            </w:r>
          </w:p>
        </w:tc>
        <w:tc>
          <w:tcPr>
            <w:tcW w:w="614" w:type="pct"/>
            <w:vAlign w:val="center"/>
          </w:tcPr>
          <w:p w14:paraId="1AF9B7C6" w14:textId="77777777" w:rsidR="00815292" w:rsidRPr="00A6761B" w:rsidRDefault="00815292" w:rsidP="00815292">
            <w:pPr>
              <w:jc w:val="right"/>
              <w:rPr>
                <w:rFonts w:cs="Arial"/>
                <w:bCs/>
                <w:sz w:val="18"/>
                <w:szCs w:val="18"/>
              </w:rPr>
            </w:pPr>
            <w:r w:rsidRPr="00A6761B">
              <w:rPr>
                <w:rFonts w:cs="Arial"/>
                <w:bCs/>
                <w:sz w:val="18"/>
                <w:szCs w:val="18"/>
              </w:rPr>
              <w:t>16 486</w:t>
            </w:r>
          </w:p>
        </w:tc>
        <w:tc>
          <w:tcPr>
            <w:tcW w:w="613" w:type="pct"/>
            <w:vAlign w:val="center"/>
          </w:tcPr>
          <w:p w14:paraId="790BD887" w14:textId="77777777" w:rsidR="00815292" w:rsidRPr="00A6761B" w:rsidRDefault="00815292" w:rsidP="00815292">
            <w:pPr>
              <w:jc w:val="right"/>
              <w:rPr>
                <w:rFonts w:cs="Arial"/>
                <w:bCs/>
                <w:sz w:val="18"/>
                <w:szCs w:val="18"/>
              </w:rPr>
            </w:pPr>
            <w:r w:rsidRPr="00A6761B">
              <w:rPr>
                <w:rFonts w:cs="Arial"/>
                <w:bCs/>
                <w:sz w:val="18"/>
                <w:szCs w:val="18"/>
              </w:rPr>
              <w:t>19 338</w:t>
            </w:r>
          </w:p>
        </w:tc>
        <w:tc>
          <w:tcPr>
            <w:tcW w:w="614" w:type="pct"/>
            <w:vAlign w:val="center"/>
          </w:tcPr>
          <w:p w14:paraId="567EBCAF" w14:textId="77777777" w:rsidR="00815292" w:rsidRPr="00A6761B" w:rsidRDefault="00815292" w:rsidP="00815292">
            <w:pPr>
              <w:jc w:val="right"/>
              <w:rPr>
                <w:rFonts w:cs="Arial"/>
                <w:bCs/>
                <w:sz w:val="18"/>
                <w:szCs w:val="18"/>
              </w:rPr>
            </w:pPr>
            <w:r w:rsidRPr="00A6761B">
              <w:rPr>
                <w:rFonts w:cs="Arial"/>
                <w:bCs/>
                <w:sz w:val="18"/>
                <w:szCs w:val="18"/>
              </w:rPr>
              <w:t>2 073</w:t>
            </w:r>
          </w:p>
        </w:tc>
        <w:tc>
          <w:tcPr>
            <w:tcW w:w="612" w:type="pct"/>
            <w:vAlign w:val="center"/>
          </w:tcPr>
          <w:p w14:paraId="57197956" w14:textId="77777777" w:rsidR="00815292" w:rsidRPr="00A6761B" w:rsidRDefault="00815292" w:rsidP="00815292">
            <w:pPr>
              <w:jc w:val="right"/>
              <w:rPr>
                <w:rFonts w:cs="Arial"/>
                <w:bCs/>
                <w:sz w:val="18"/>
                <w:szCs w:val="18"/>
              </w:rPr>
            </w:pPr>
            <w:r w:rsidRPr="00A6761B">
              <w:rPr>
                <w:rFonts w:cs="Arial"/>
                <w:bCs/>
                <w:sz w:val="18"/>
                <w:szCs w:val="18"/>
              </w:rPr>
              <w:t>2 372</w:t>
            </w:r>
          </w:p>
        </w:tc>
      </w:tr>
      <w:tr w:rsidR="00815292" w:rsidRPr="00DE1C7A" w14:paraId="62FA71DD" w14:textId="77777777" w:rsidTr="005F3BEA">
        <w:trPr>
          <w:trHeight w:val="57"/>
        </w:trPr>
        <w:tc>
          <w:tcPr>
            <w:tcW w:w="1320" w:type="pct"/>
            <w:vAlign w:val="center"/>
          </w:tcPr>
          <w:p w14:paraId="4172D745" w14:textId="77777777" w:rsidR="00815292" w:rsidRPr="00815292" w:rsidRDefault="00815292" w:rsidP="00815292">
            <w:pPr>
              <w:keepNext/>
              <w:keepLines/>
              <w:tabs>
                <w:tab w:val="right" w:leader="dot" w:pos="4156"/>
              </w:tabs>
              <w:spacing w:line="240" w:lineRule="auto"/>
              <w:contextualSpacing/>
              <w:outlineLvl w:val="7"/>
              <w:rPr>
                <w:rFonts w:eastAsiaTheme="majorEastAsia" w:cstheme="majorBidi"/>
                <w:color w:val="000000" w:themeColor="text1"/>
                <w:sz w:val="18"/>
                <w:szCs w:val="18"/>
                <w:lang w:val="en-US"/>
              </w:rPr>
            </w:pPr>
            <w:r w:rsidRPr="00815292">
              <w:rPr>
                <w:rFonts w:eastAsiaTheme="majorEastAsia" w:cstheme="majorBidi"/>
                <w:color w:val="000000" w:themeColor="text1"/>
                <w:sz w:val="18"/>
                <w:szCs w:val="18"/>
                <w:lang w:val="en-US"/>
              </w:rPr>
              <w:t>Value of purchased receivables</w:t>
            </w:r>
          </w:p>
          <w:p w14:paraId="6DB94ED3" w14:textId="77777777" w:rsidR="00815292" w:rsidRPr="00815292" w:rsidRDefault="00815292" w:rsidP="00815292">
            <w:pPr>
              <w:keepNext/>
              <w:keepLines/>
              <w:tabs>
                <w:tab w:val="right" w:leader="dot" w:pos="4156"/>
              </w:tabs>
              <w:spacing w:line="240" w:lineRule="auto"/>
              <w:contextualSpacing/>
              <w:outlineLvl w:val="7"/>
              <w:rPr>
                <w:rFonts w:eastAsiaTheme="majorEastAsia" w:cstheme="majorBidi"/>
                <w:color w:val="000000" w:themeColor="text1"/>
                <w:sz w:val="18"/>
                <w:szCs w:val="18"/>
                <w:lang w:val="en-US"/>
              </w:rPr>
            </w:pPr>
            <w:r w:rsidRPr="00815292">
              <w:rPr>
                <w:rFonts w:eastAsiaTheme="majorEastAsia" w:cstheme="majorBidi"/>
                <w:color w:val="000000" w:themeColor="text1"/>
                <w:sz w:val="18"/>
                <w:szCs w:val="18"/>
                <w:lang w:val="en-US"/>
              </w:rPr>
              <w:t>in PLN million</w:t>
            </w:r>
          </w:p>
        </w:tc>
        <w:tc>
          <w:tcPr>
            <w:tcW w:w="613" w:type="pct"/>
            <w:vAlign w:val="center"/>
          </w:tcPr>
          <w:p w14:paraId="7911EFE8" w14:textId="77777777" w:rsidR="00815292" w:rsidRPr="00A6761B" w:rsidRDefault="00815292" w:rsidP="00815292">
            <w:pPr>
              <w:jc w:val="right"/>
              <w:rPr>
                <w:rFonts w:cs="Arial"/>
                <w:bCs/>
                <w:sz w:val="18"/>
                <w:szCs w:val="18"/>
              </w:rPr>
            </w:pPr>
            <w:r w:rsidRPr="00A6761B">
              <w:rPr>
                <w:rFonts w:cs="Arial"/>
                <w:bCs/>
                <w:sz w:val="18"/>
                <w:szCs w:val="18"/>
              </w:rPr>
              <w:t>308 975</w:t>
            </w:r>
          </w:p>
        </w:tc>
        <w:tc>
          <w:tcPr>
            <w:tcW w:w="614" w:type="pct"/>
            <w:vAlign w:val="center"/>
          </w:tcPr>
          <w:p w14:paraId="402D8FD7" w14:textId="77777777" w:rsidR="00815292" w:rsidRPr="00A6761B" w:rsidRDefault="00815292" w:rsidP="00815292">
            <w:pPr>
              <w:jc w:val="right"/>
              <w:rPr>
                <w:rFonts w:cs="Arial"/>
                <w:bCs/>
                <w:sz w:val="18"/>
                <w:szCs w:val="18"/>
              </w:rPr>
            </w:pPr>
            <w:r w:rsidRPr="00A6761B">
              <w:rPr>
                <w:rFonts w:cs="Arial"/>
                <w:bCs/>
                <w:sz w:val="18"/>
                <w:szCs w:val="18"/>
              </w:rPr>
              <w:t>399 822</w:t>
            </w:r>
          </w:p>
        </w:tc>
        <w:tc>
          <w:tcPr>
            <w:tcW w:w="614" w:type="pct"/>
            <w:vAlign w:val="center"/>
          </w:tcPr>
          <w:p w14:paraId="2EF40EFC" w14:textId="77777777" w:rsidR="00815292" w:rsidRPr="00A6761B" w:rsidRDefault="00815292" w:rsidP="00815292">
            <w:pPr>
              <w:jc w:val="right"/>
              <w:rPr>
                <w:rFonts w:cs="Arial"/>
                <w:bCs/>
                <w:sz w:val="18"/>
                <w:szCs w:val="18"/>
              </w:rPr>
            </w:pPr>
            <w:r w:rsidRPr="00A6761B">
              <w:rPr>
                <w:rFonts w:cs="Arial"/>
                <w:bCs/>
                <w:sz w:val="18"/>
                <w:szCs w:val="18"/>
              </w:rPr>
              <w:t>243 445</w:t>
            </w:r>
          </w:p>
        </w:tc>
        <w:tc>
          <w:tcPr>
            <w:tcW w:w="613" w:type="pct"/>
            <w:vAlign w:val="center"/>
          </w:tcPr>
          <w:p w14:paraId="63EFB841" w14:textId="77777777" w:rsidR="00815292" w:rsidRPr="00A6761B" w:rsidRDefault="00815292" w:rsidP="00815292">
            <w:pPr>
              <w:jc w:val="right"/>
              <w:rPr>
                <w:rFonts w:cs="Arial"/>
                <w:bCs/>
                <w:sz w:val="18"/>
                <w:szCs w:val="18"/>
              </w:rPr>
            </w:pPr>
            <w:r w:rsidRPr="00A6761B">
              <w:rPr>
                <w:rFonts w:cs="Arial"/>
                <w:bCs/>
                <w:sz w:val="18"/>
                <w:szCs w:val="18"/>
              </w:rPr>
              <w:t>325 017</w:t>
            </w:r>
          </w:p>
        </w:tc>
        <w:tc>
          <w:tcPr>
            <w:tcW w:w="614" w:type="pct"/>
            <w:vAlign w:val="center"/>
          </w:tcPr>
          <w:p w14:paraId="7E7C863A" w14:textId="77777777" w:rsidR="00815292" w:rsidRPr="00A6761B" w:rsidRDefault="00815292" w:rsidP="00815292">
            <w:pPr>
              <w:jc w:val="right"/>
              <w:rPr>
                <w:rFonts w:cs="Arial"/>
                <w:bCs/>
                <w:sz w:val="18"/>
                <w:szCs w:val="18"/>
              </w:rPr>
            </w:pPr>
            <w:r w:rsidRPr="00A6761B">
              <w:rPr>
                <w:rFonts w:cs="Arial"/>
                <w:bCs/>
                <w:sz w:val="18"/>
                <w:szCs w:val="18"/>
              </w:rPr>
              <w:t>65 530</w:t>
            </w:r>
          </w:p>
        </w:tc>
        <w:tc>
          <w:tcPr>
            <w:tcW w:w="612" w:type="pct"/>
            <w:vAlign w:val="center"/>
          </w:tcPr>
          <w:p w14:paraId="0A365F80" w14:textId="77777777" w:rsidR="00815292" w:rsidRPr="00A6761B" w:rsidRDefault="00815292" w:rsidP="00815292">
            <w:pPr>
              <w:jc w:val="right"/>
              <w:rPr>
                <w:rFonts w:cs="Arial"/>
                <w:bCs/>
                <w:sz w:val="18"/>
                <w:szCs w:val="18"/>
              </w:rPr>
            </w:pPr>
            <w:r w:rsidRPr="00A6761B">
              <w:rPr>
                <w:rFonts w:cs="Arial"/>
                <w:bCs/>
                <w:sz w:val="18"/>
                <w:szCs w:val="18"/>
              </w:rPr>
              <w:t>74 805</w:t>
            </w:r>
          </w:p>
        </w:tc>
      </w:tr>
    </w:tbl>
    <w:p w14:paraId="3CEF0640" w14:textId="43325B81" w:rsidR="002774EF" w:rsidRPr="00DE1C7A" w:rsidRDefault="00815292" w:rsidP="00FC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815292">
        <w:rPr>
          <w:shd w:val="clear" w:color="auto" w:fill="FFFFFF"/>
          <w:lang w:val="en-US"/>
        </w:rPr>
        <w:t xml:space="preserve">In domestic factoring the value of purchased receivables increased by 28.6%, and in </w:t>
      </w:r>
      <w:r w:rsidRPr="00827903">
        <w:rPr>
          <w:shd w:val="clear" w:color="auto" w:fill="FFFFFF"/>
          <w:lang w:val="en-US"/>
        </w:rPr>
        <w:t>foreign</w:t>
      </w:r>
      <w:r w:rsidRPr="00815292">
        <w:rPr>
          <w:shd w:val="clear" w:color="auto" w:fill="FFFFFF"/>
          <w:lang w:val="en-US"/>
        </w:rPr>
        <w:t xml:space="preserve"> factoring, </w:t>
      </w:r>
      <w:r w:rsidR="00F271BC">
        <w:rPr>
          <w:shd w:val="clear" w:color="auto" w:fill="FFFFFF"/>
          <w:lang w:val="en-US"/>
        </w:rPr>
        <w:t xml:space="preserve">this value </w:t>
      </w:r>
      <w:r w:rsidRPr="00815292">
        <w:rPr>
          <w:shd w:val="clear" w:color="auto" w:fill="FFFFFF"/>
          <w:lang w:val="en-US"/>
        </w:rPr>
        <w:t>increased by 33.5%. Domestic factoring accounted for 83.6% of the total value of purchased receivables, and foreign factoring for</w:t>
      </w:r>
      <w:r w:rsidR="00F271BC">
        <w:rPr>
          <w:shd w:val="clear" w:color="auto" w:fill="FFFFFF"/>
          <w:lang w:val="en-US"/>
        </w:rPr>
        <w:t xml:space="preserve"> remaining</w:t>
      </w:r>
      <w:r w:rsidRPr="00815292">
        <w:rPr>
          <w:shd w:val="clear" w:color="auto" w:fill="FFFFFF"/>
          <w:lang w:val="en-US"/>
        </w:rPr>
        <w:t xml:space="preserve"> 16.4%. In domestic factoring, the most frequently used factoring was non-recourse factoring (51.7%), recourse factoring (24.7%), reverse factoring (20.2%) and mixed factoring (3.4%)</w:t>
      </w:r>
      <w:r w:rsidR="002C58F1" w:rsidRPr="00DE1C7A">
        <w:rPr>
          <w:shd w:val="clear" w:color="auto" w:fill="FFFFFF"/>
          <w:lang w:val="en-US"/>
        </w:rPr>
        <w:t>.</w:t>
      </w:r>
    </w:p>
    <w:p w14:paraId="38CF8C5C" w14:textId="77777777" w:rsidR="00827903" w:rsidRDefault="00827903"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DE1C7A">
        <w:rPr>
          <w:b/>
          <w:lang w:val="en-US"/>
        </w:rPr>
        <w:t>Chart 1.</w:t>
      </w:r>
      <w:r w:rsidRPr="00DE1C7A">
        <w:rPr>
          <w:b/>
          <w:shd w:val="clear" w:color="auto" w:fill="FFFFFF"/>
          <w:lang w:val="en-US"/>
        </w:rPr>
        <w:t xml:space="preserve"> </w:t>
      </w:r>
      <w:r w:rsidRPr="00827903">
        <w:rPr>
          <w:b/>
          <w:shd w:val="clear" w:color="auto" w:fill="FFFFFF"/>
          <w:lang w:val="en"/>
        </w:rPr>
        <w:t>Value of purchased receivables in domestic factoring</w:t>
      </w:r>
    </w:p>
    <w:p w14:paraId="0D48675D" w14:textId="77777777" w:rsidR="00D57447" w:rsidRDefault="00D57447"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Pr>
          <w:noProof/>
          <w:lang w:eastAsia="pl-PL"/>
        </w:rPr>
        <w:drawing>
          <wp:inline distT="0" distB="0" distL="0" distR="0" wp14:anchorId="15630A60" wp14:editId="39DC3611">
            <wp:extent cx="5122545" cy="2987675"/>
            <wp:effectExtent l="0" t="0" r="0" b="0"/>
            <wp:docPr id="1" name="Wykres 1" descr="The chart shows the value of purchased receivables in domestic factoring broken down into recourse, non-recourse, reverse and mixed factor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D7EEA1" w14:textId="07EA604C" w:rsidR="00FD36FE" w:rsidRPr="00827903" w:rsidRDefault="00FD36FE" w:rsidP="00FD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827903">
        <w:rPr>
          <w:shd w:val="clear" w:color="auto" w:fill="FFFFFF"/>
          <w:lang w:val="en-US"/>
        </w:rPr>
        <w:t>In commercial banks that conducted factoring activities, the value of purchased receivables increased by 14.2%</w:t>
      </w:r>
      <w:r>
        <w:rPr>
          <w:shd w:val="clear" w:color="auto" w:fill="FFFFFF"/>
          <w:lang w:val="en-US"/>
        </w:rPr>
        <w:t xml:space="preserve"> to PLN 74,805 million</w:t>
      </w:r>
      <w:r w:rsidRPr="00827903">
        <w:rPr>
          <w:shd w:val="clear" w:color="auto" w:fill="FFFFFF"/>
          <w:lang w:val="en-US"/>
        </w:rPr>
        <w:t xml:space="preserve"> </w:t>
      </w:r>
      <w:r>
        <w:rPr>
          <w:shd w:val="clear" w:color="auto" w:fill="FFFFFF"/>
          <w:lang w:val="en-US"/>
        </w:rPr>
        <w:t>D</w:t>
      </w:r>
      <w:r w:rsidRPr="00827903">
        <w:rPr>
          <w:shd w:val="clear" w:color="auto" w:fill="FFFFFF"/>
          <w:lang w:val="en-US"/>
        </w:rPr>
        <w:t xml:space="preserve">omestic factoring accounted for 85.0% and factoring in foreign trade </w:t>
      </w:r>
      <w:r>
        <w:rPr>
          <w:shd w:val="clear" w:color="auto" w:fill="FFFFFF"/>
          <w:lang w:val="en-US"/>
        </w:rPr>
        <w:t xml:space="preserve">accounted for </w:t>
      </w:r>
      <w:r w:rsidRPr="00827903">
        <w:rPr>
          <w:shd w:val="clear" w:color="auto" w:fill="FFFFFF"/>
          <w:lang w:val="en-US"/>
        </w:rPr>
        <w:t>15.0%</w:t>
      </w:r>
      <w:r>
        <w:rPr>
          <w:shd w:val="clear" w:color="auto" w:fill="FFFFFF"/>
          <w:lang w:val="en-US"/>
        </w:rPr>
        <w:t xml:space="preserve"> of the total value.</w:t>
      </w:r>
    </w:p>
    <w:p w14:paraId="21F3FC5C" w14:textId="501054F9" w:rsidR="00827903" w:rsidRPr="00827903" w:rsidRDefault="00827903"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827903">
        <w:rPr>
          <w:shd w:val="clear" w:color="auto" w:fill="FFFFFF"/>
          <w:lang w:val="en-US"/>
        </w:rPr>
        <w:t>In the group of non-banking factoring companies, the value of purchased receivables increased by 33.5%</w:t>
      </w:r>
      <w:r w:rsidR="009A66CB">
        <w:rPr>
          <w:shd w:val="clear" w:color="auto" w:fill="FFFFFF"/>
          <w:lang w:val="en-US"/>
        </w:rPr>
        <w:t xml:space="preserve"> and amounted to PLN 325,017 million. </w:t>
      </w:r>
      <w:r w:rsidR="00A45EAA">
        <w:rPr>
          <w:shd w:val="clear" w:color="auto" w:fill="FFFFFF"/>
          <w:lang w:val="en-US"/>
        </w:rPr>
        <w:t>D</w:t>
      </w:r>
      <w:r w:rsidRPr="00827903">
        <w:rPr>
          <w:shd w:val="clear" w:color="auto" w:fill="FFFFFF"/>
          <w:lang w:val="en-US"/>
        </w:rPr>
        <w:t xml:space="preserve">omestic factoring accounted for 83.2%, and factoring in foreign trade </w:t>
      </w:r>
      <w:r w:rsidR="00A907C2">
        <w:rPr>
          <w:shd w:val="clear" w:color="auto" w:fill="FFFFFF"/>
          <w:lang w:val="en-US"/>
        </w:rPr>
        <w:t>for</w:t>
      </w:r>
      <w:r w:rsidRPr="00827903">
        <w:rPr>
          <w:shd w:val="clear" w:color="auto" w:fill="FFFFFF"/>
          <w:lang w:val="en-US"/>
        </w:rPr>
        <w:t xml:space="preserve"> 16.8%</w:t>
      </w:r>
      <w:r w:rsidR="00C243A5">
        <w:rPr>
          <w:shd w:val="clear" w:color="auto" w:fill="FFFFFF"/>
          <w:lang w:val="en-US"/>
        </w:rPr>
        <w:t xml:space="preserve"> </w:t>
      </w:r>
      <w:r w:rsidR="00C243A5" w:rsidRPr="00C243A5">
        <w:rPr>
          <w:shd w:val="clear" w:color="auto" w:fill="FFFFFF"/>
          <w:lang w:val="en-US"/>
        </w:rPr>
        <w:t xml:space="preserve"> </w:t>
      </w:r>
      <w:r w:rsidR="009A66CB">
        <w:rPr>
          <w:shd w:val="clear" w:color="auto" w:fill="FFFFFF"/>
          <w:lang w:val="en-US"/>
        </w:rPr>
        <w:t>of the total value of purchased receivables</w:t>
      </w:r>
      <w:r w:rsidR="009A66CB" w:rsidRPr="00827903">
        <w:rPr>
          <w:shd w:val="clear" w:color="auto" w:fill="FFFFFF"/>
          <w:lang w:val="en-US"/>
        </w:rPr>
        <w:t>.</w:t>
      </w:r>
    </w:p>
    <w:p w14:paraId="28251F3A" w14:textId="3CBBE73F" w:rsidR="00827903" w:rsidRPr="00827903" w:rsidRDefault="00827903"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827903">
        <w:rPr>
          <w:shd w:val="clear" w:color="auto" w:fill="FFFFFF"/>
          <w:lang w:val="en-US"/>
        </w:rPr>
        <w:t xml:space="preserve">The </w:t>
      </w:r>
      <w:r w:rsidR="00481968">
        <w:rPr>
          <w:shd w:val="clear" w:color="auto" w:fill="FFFFFF"/>
          <w:lang w:val="en-US"/>
        </w:rPr>
        <w:t xml:space="preserve">total </w:t>
      </w:r>
      <w:r w:rsidRPr="00827903">
        <w:rPr>
          <w:shd w:val="clear" w:color="auto" w:fill="FFFFFF"/>
          <w:lang w:val="en-US"/>
        </w:rPr>
        <w:t xml:space="preserve">value of </w:t>
      </w:r>
      <w:proofErr w:type="spellStart"/>
      <w:r w:rsidR="00096CC6">
        <w:t>funds</w:t>
      </w:r>
      <w:proofErr w:type="spellEnd"/>
      <w:r w:rsidR="00096CC6">
        <w:t xml:space="preserve"> </w:t>
      </w:r>
      <w:proofErr w:type="spellStart"/>
      <w:r w:rsidR="00096CC6">
        <w:t>engaged</w:t>
      </w:r>
      <w:proofErr w:type="spellEnd"/>
      <w:r w:rsidR="00096CC6">
        <w:t xml:space="preserve"> by enterprises in </w:t>
      </w:r>
      <w:proofErr w:type="spellStart"/>
      <w:r w:rsidR="00096CC6">
        <w:t>their</w:t>
      </w:r>
      <w:proofErr w:type="spellEnd"/>
      <w:r w:rsidR="00096CC6">
        <w:t xml:space="preserve"> factoring </w:t>
      </w:r>
      <w:proofErr w:type="spellStart"/>
      <w:r w:rsidR="00096CC6">
        <w:t>activities</w:t>
      </w:r>
      <w:proofErr w:type="spellEnd"/>
      <w:r w:rsidR="00096CC6" w:rsidRPr="00827903">
        <w:rPr>
          <w:shd w:val="clear" w:color="auto" w:fill="FFFFFF"/>
          <w:lang w:val="en-US"/>
        </w:rPr>
        <w:t xml:space="preserve"> </w:t>
      </w:r>
      <w:r w:rsidRPr="00827903">
        <w:rPr>
          <w:shd w:val="clear" w:color="auto" w:fill="FFFFFF"/>
          <w:lang w:val="en-US"/>
        </w:rPr>
        <w:t xml:space="preserve">dealing with factoring activities at the end of 2021 increased by 30.7% to the amount of PLN 55,193 million. </w:t>
      </w:r>
      <w:r w:rsidRPr="00827903">
        <w:rPr>
          <w:shd w:val="clear" w:color="auto" w:fill="FFFFFF"/>
          <w:lang w:val="en-US"/>
        </w:rPr>
        <w:lastRenderedPageBreak/>
        <w:t>The total financial re-sources were involved in 85.8% in domestic factoring and in 14.2% in foreign factoring.</w:t>
      </w:r>
    </w:p>
    <w:p w14:paraId="320B9AE1" w14:textId="1DDD13CD" w:rsidR="00827903" w:rsidRPr="00FD0F8B" w:rsidRDefault="00621135"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FD0F8B">
        <w:rPr>
          <w:shd w:val="clear" w:color="auto" w:fill="FFFFFF"/>
          <w:lang w:val="en-US"/>
        </w:rPr>
        <w:t>Funds</w:t>
      </w:r>
      <w:r w:rsidR="002F5DBD" w:rsidRPr="00FD0F8B">
        <w:rPr>
          <w:shd w:val="clear" w:color="auto" w:fill="FFFFFF"/>
          <w:lang w:val="en-US"/>
        </w:rPr>
        <w:t xml:space="preserve"> committed</w:t>
      </w:r>
      <w:r w:rsidRPr="00FD0F8B">
        <w:rPr>
          <w:shd w:val="clear" w:color="auto" w:fill="FFFFFF"/>
          <w:lang w:val="en-US"/>
        </w:rPr>
        <w:t xml:space="preserve"> by banks </w:t>
      </w:r>
      <w:r w:rsidR="002F5DBD" w:rsidRPr="00FD0F8B">
        <w:rPr>
          <w:shd w:val="clear" w:color="auto" w:fill="FFFFFF"/>
          <w:lang w:val="en-US"/>
        </w:rPr>
        <w:t>to conduct</w:t>
      </w:r>
      <w:r w:rsidR="00C243A5" w:rsidRPr="00FD0F8B">
        <w:rPr>
          <w:shd w:val="clear" w:color="auto" w:fill="FFFFFF"/>
          <w:lang w:val="en-US"/>
        </w:rPr>
        <w:t xml:space="preserve"> </w:t>
      </w:r>
      <w:r w:rsidRPr="00FD0F8B">
        <w:rPr>
          <w:shd w:val="clear" w:color="auto" w:fill="FFFFFF"/>
          <w:lang w:val="en-US"/>
        </w:rPr>
        <w:t>factoring activities</w:t>
      </w:r>
      <w:r w:rsidR="00E6426D" w:rsidRPr="00FD0F8B">
        <w:rPr>
          <w:shd w:val="clear" w:color="auto" w:fill="FFFFFF"/>
          <w:lang w:val="en-US"/>
        </w:rPr>
        <w:t xml:space="preserve"> amounted to PLN 18,824 million, of which 89,4% was </w:t>
      </w:r>
      <w:r w:rsidR="002F5DBD" w:rsidRPr="00FD0F8B">
        <w:rPr>
          <w:shd w:val="clear" w:color="auto" w:fill="FFFFFF"/>
          <w:lang w:val="en-US"/>
        </w:rPr>
        <w:t>allocated</w:t>
      </w:r>
      <w:r w:rsidR="00E6426D" w:rsidRPr="00FD0F8B">
        <w:rPr>
          <w:shd w:val="clear" w:color="auto" w:fill="FFFFFF"/>
          <w:lang w:val="en-US"/>
        </w:rPr>
        <w:t xml:space="preserve"> </w:t>
      </w:r>
      <w:r w:rsidR="002F5DBD" w:rsidRPr="00FD0F8B">
        <w:rPr>
          <w:shd w:val="clear" w:color="auto" w:fill="FFFFFF"/>
          <w:lang w:val="en-US"/>
        </w:rPr>
        <w:t>to</w:t>
      </w:r>
      <w:r w:rsidR="00E6426D" w:rsidRPr="00FD0F8B">
        <w:rPr>
          <w:shd w:val="clear" w:color="auto" w:fill="FFFFFF"/>
          <w:lang w:val="en-US"/>
        </w:rPr>
        <w:t xml:space="preserve"> domestic factoring and 10.6% </w:t>
      </w:r>
      <w:r w:rsidR="002F5DBD" w:rsidRPr="00FD0F8B">
        <w:rPr>
          <w:shd w:val="clear" w:color="auto" w:fill="FFFFFF"/>
          <w:lang w:val="en-US"/>
        </w:rPr>
        <w:t xml:space="preserve">to </w:t>
      </w:r>
      <w:r w:rsidR="00E6426D" w:rsidRPr="00FD0F8B">
        <w:rPr>
          <w:shd w:val="clear" w:color="auto" w:fill="FFFFFF"/>
          <w:lang w:val="en-US"/>
        </w:rPr>
        <w:t>foreign factoring.</w:t>
      </w:r>
      <w:r w:rsidR="00827903" w:rsidRPr="00FD0F8B">
        <w:rPr>
          <w:shd w:val="clear" w:color="auto" w:fill="FFFFFF"/>
          <w:lang w:val="en-US"/>
        </w:rPr>
        <w:t xml:space="preserve"> </w:t>
      </w:r>
    </w:p>
    <w:p w14:paraId="02417485" w14:textId="77777777" w:rsidR="00827903" w:rsidRPr="00D5607D" w:rsidRDefault="00827903"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D5607D">
        <w:rPr>
          <w:shd w:val="clear" w:color="auto" w:fill="FFFFFF"/>
          <w:lang w:val="en-US"/>
        </w:rPr>
        <w:t xml:space="preserve">Non-bank factoring companies committed funds worth PLN 36,369 million, of which 84.0% in domestic factoring and 16.0% in foreign factoring. </w:t>
      </w:r>
    </w:p>
    <w:p w14:paraId="4B46A962" w14:textId="454D6C93" w:rsidR="00C02CF2" w:rsidRPr="00C02CF2" w:rsidRDefault="00C02CF2" w:rsidP="00C02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C02CF2">
        <w:rPr>
          <w:shd w:val="clear" w:color="auto" w:fill="FFFFFF"/>
          <w:lang w:val="en-US"/>
        </w:rPr>
        <w:t>The factoring activity of surveyed entities was financed in 18.3% from loans, in 46.0% form bank loans, in 25.5% from own funds and in 10.2% from corporate bonds and other sources.</w:t>
      </w:r>
    </w:p>
    <w:p w14:paraId="3F6AA5CE" w14:textId="687FF1DD" w:rsidR="002774EF" w:rsidRPr="00DE1C7A" w:rsidRDefault="00827903" w:rsidP="0082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shd w:val="clear" w:color="auto" w:fill="FFFFFF"/>
          <w:lang w:val="en-US"/>
        </w:rPr>
      </w:pPr>
      <w:r w:rsidRPr="00827903">
        <w:rPr>
          <w:shd w:val="clear" w:color="auto" w:fill="FFFFFF"/>
          <w:lang w:val="en-US"/>
        </w:rPr>
        <w:t>Banks financed factoring activities in 87.9% from their own resources, and in 12.1% from other sources.</w:t>
      </w:r>
      <w:r w:rsidR="00BF3055">
        <w:rPr>
          <w:shd w:val="clear" w:color="auto" w:fill="FFFFFF"/>
          <w:lang w:val="en-US"/>
        </w:rPr>
        <w:t xml:space="preserve"> </w:t>
      </w:r>
      <w:r w:rsidRPr="00827903">
        <w:rPr>
          <w:shd w:val="clear" w:color="auto" w:fill="FFFFFF"/>
          <w:lang w:val="en-US"/>
        </w:rPr>
        <w:t xml:space="preserve">In non-banking enterprises, factoring activities were financed in 24.8% from loans, </w:t>
      </w:r>
      <w:r w:rsidR="00D5607D">
        <w:rPr>
          <w:shd w:val="clear" w:color="auto" w:fill="FFFFFF"/>
          <w:lang w:val="en-US"/>
        </w:rPr>
        <w:t xml:space="preserve">in </w:t>
      </w:r>
      <w:r w:rsidRPr="00827903">
        <w:rPr>
          <w:shd w:val="clear" w:color="auto" w:fill="FFFFFF"/>
          <w:lang w:val="en-US"/>
        </w:rPr>
        <w:t xml:space="preserve">62.2% from bank loans, </w:t>
      </w:r>
      <w:r w:rsidR="00D5607D">
        <w:rPr>
          <w:shd w:val="clear" w:color="auto" w:fill="FFFFFF"/>
          <w:lang w:val="en-US"/>
        </w:rPr>
        <w:t xml:space="preserve">in </w:t>
      </w:r>
      <w:r w:rsidRPr="00827903">
        <w:rPr>
          <w:shd w:val="clear" w:color="auto" w:fill="FFFFFF"/>
          <w:lang w:val="en-US"/>
        </w:rPr>
        <w:t>8.9% from corporate bonds, and in 4.0% from own funds and other sources</w:t>
      </w:r>
      <w:r w:rsidR="002774EF" w:rsidRPr="00DE1C7A">
        <w:rPr>
          <w:shd w:val="clear" w:color="auto" w:fill="FFFFFF"/>
          <w:lang w:val="en-US"/>
        </w:rPr>
        <w:t>.</w:t>
      </w:r>
    </w:p>
    <w:p w14:paraId="7967A8FF" w14:textId="457CF3DD" w:rsidR="00E73765" w:rsidRPr="00DE1C7A" w:rsidRDefault="00FE7252" w:rsidP="00107AFD">
      <w:pPr>
        <w:spacing w:before="360" w:line="240" w:lineRule="auto"/>
        <w:rPr>
          <w:rFonts w:ascii="Fira Sans SemiBold" w:eastAsia="Times New Roman" w:hAnsi="Fira Sans SemiBold" w:cs="Times New Roman"/>
          <w:bCs/>
          <w:color w:val="001D77"/>
          <w:szCs w:val="24"/>
          <w:lang w:val="en" w:eastAsia="pl-PL"/>
        </w:rPr>
      </w:pPr>
      <w:r w:rsidRPr="00DE1C7A">
        <w:rPr>
          <w:rFonts w:ascii="Fira Sans SemiBold" w:eastAsia="Times New Roman" w:hAnsi="Fira Sans SemiBold" w:cs="Times New Roman"/>
          <w:bCs/>
          <w:color w:val="001D77"/>
          <w:szCs w:val="24"/>
          <w:lang w:val="en" w:eastAsia="pl-PL"/>
        </w:rPr>
        <w:t xml:space="preserve">Financial </w:t>
      </w:r>
      <w:r w:rsidR="00827903" w:rsidRPr="00827903">
        <w:rPr>
          <w:rFonts w:ascii="Fira Sans SemiBold" w:eastAsia="Times New Roman" w:hAnsi="Fira Sans SemiBold" w:cs="Times New Roman"/>
          <w:bCs/>
          <w:color w:val="001D77"/>
          <w:szCs w:val="24"/>
          <w:lang w:val="en" w:eastAsia="pl-PL"/>
        </w:rPr>
        <w:t>situation of surveyed factoring companies</w:t>
      </w:r>
      <w:r w:rsidR="00FD36FE">
        <w:rPr>
          <w:rFonts w:ascii="Fira Sans SemiBold" w:eastAsia="Times New Roman" w:hAnsi="Fira Sans SemiBold" w:cs="Times New Roman"/>
          <w:bCs/>
          <w:color w:val="001D77"/>
          <w:szCs w:val="24"/>
          <w:lang w:val="en" w:eastAsia="pl-PL"/>
        </w:rPr>
        <w:t xml:space="preserve"> </w:t>
      </w:r>
      <w:r w:rsidR="00FD0F8B">
        <w:rPr>
          <w:rStyle w:val="Odwoanieprzypisudolnego"/>
          <w:iCs/>
          <w:lang w:val="en-US"/>
        </w:rPr>
        <w:footnoteReference w:id="1"/>
      </w:r>
    </w:p>
    <w:p w14:paraId="18CB44B0" w14:textId="77777777" w:rsidR="00827903" w:rsidRPr="00827903" w:rsidRDefault="00827903" w:rsidP="00827903">
      <w:pPr>
        <w:spacing w:line="288" w:lineRule="auto"/>
        <w:rPr>
          <w:iCs/>
          <w:lang w:val="en-US"/>
        </w:rPr>
      </w:pPr>
      <w:r w:rsidRPr="00827903">
        <w:rPr>
          <w:iCs/>
          <w:lang w:val="en-US"/>
        </w:rPr>
        <w:t xml:space="preserve">From among the surveyed group of non-banking enterprises, whose factoring activity was the only or dominant type of activity, 30 </w:t>
      </w:r>
      <w:r w:rsidRPr="00A907C2">
        <w:rPr>
          <w:iCs/>
          <w:lang w:val="en-US"/>
        </w:rPr>
        <w:t xml:space="preserve">companies kept full accounting, and one led the books of revenues and expenses. </w:t>
      </w:r>
    </w:p>
    <w:p w14:paraId="4916C5C4" w14:textId="37BAC2C1" w:rsidR="00827903" w:rsidRPr="00827903" w:rsidRDefault="006A1D0B" w:rsidP="00827903">
      <w:pPr>
        <w:spacing w:line="288" w:lineRule="auto"/>
        <w:rPr>
          <w:iCs/>
          <w:lang w:val="en-US"/>
        </w:rPr>
      </w:pPr>
      <w:r w:rsidRPr="00DE1C7A">
        <w:rPr>
          <w:b/>
          <w:noProof/>
          <w:color w:val="212492"/>
          <w:spacing w:val="-2"/>
          <w:lang w:eastAsia="pl-PL"/>
        </w:rPr>
        <mc:AlternateContent>
          <mc:Choice Requires="wps">
            <w:drawing>
              <wp:anchor distT="45720" distB="45720" distL="114300" distR="114300" simplePos="0" relativeHeight="251753472" behindDoc="1" locked="0" layoutInCell="1" allowOverlap="1" wp14:anchorId="590F3E38" wp14:editId="42B246B7">
                <wp:simplePos x="0" y="0"/>
                <wp:positionH relativeFrom="column">
                  <wp:posOffset>5295900</wp:posOffset>
                </wp:positionH>
                <wp:positionV relativeFrom="paragraph">
                  <wp:posOffset>59055</wp:posOffset>
                </wp:positionV>
                <wp:extent cx="1725295" cy="853440"/>
                <wp:effectExtent l="0" t="0" r="0" b="3810"/>
                <wp:wrapTight wrapText="bothSides">
                  <wp:wrapPolygon edited="0">
                    <wp:start x="715" y="0"/>
                    <wp:lineTo x="715" y="21214"/>
                    <wp:lineTo x="20749" y="21214"/>
                    <wp:lineTo x="20749" y="0"/>
                    <wp:lineTo x="715" y="0"/>
                  </wp:wrapPolygon>
                </wp:wrapTight>
                <wp:docPr id="17" name="Pole tekstowe 17" descr="The value of assets of enter-prises, in which factoring was the only or dominant type of activity, increased by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53440"/>
                        </a:xfrm>
                        <a:prstGeom prst="rect">
                          <a:avLst/>
                        </a:prstGeom>
                        <a:noFill/>
                        <a:ln w="9525">
                          <a:noFill/>
                          <a:miter lim="800000"/>
                          <a:headEnd/>
                          <a:tailEnd/>
                        </a:ln>
                      </wps:spPr>
                      <wps:txbx>
                        <w:txbxContent>
                          <w:p w14:paraId="38717BD1" w14:textId="77777777" w:rsidR="006A1D0B" w:rsidRDefault="006A1D0B" w:rsidP="006A1D0B">
                            <w:pPr>
                              <w:pStyle w:val="tekstzboku"/>
                              <w:spacing w:before="0"/>
                              <w:rPr>
                                <w:lang w:val="en"/>
                              </w:rPr>
                            </w:pPr>
                            <w:r w:rsidRPr="006A1D0B">
                              <w:rPr>
                                <w:lang w:val="en"/>
                              </w:rPr>
                              <w:t>The value of assets of enterprises, in which factoring was the only or dominant type of activity, increased by 25.6%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F3E38" id="Pole tekstowe 17" o:spid="_x0000_s1030" type="#_x0000_t202" alt="The value of assets of enter-prises, in which factoring was the only or dominant type of activity, increased by 25.6%" style="position:absolute;margin-left:417pt;margin-top:4.65pt;width:135.85pt;height:67.2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" filled="f" stroked="f">
                <v:textbox>
                  <w:txbxContent>
                    <w:p w14:paraId="38717BD1" w14:textId="77777777" w:rsidR="006A1D0B" w:rsidRDefault="006A1D0B" w:rsidP="006A1D0B">
                      <w:pPr>
                        <w:pStyle w:val="tekstzboku"/>
                        <w:spacing w:before="0"/>
                        <w:rPr>
                          <w:lang w:val="en"/>
                        </w:rPr>
                      </w:pPr>
                      <w:r w:rsidRPr="006A1D0B">
                        <w:rPr>
                          <w:lang w:val="en"/>
                        </w:rPr>
                        <w:t>The value of assets of enterprises, in which factoring was the only or dominant type of activity, increased by 25.6%</w:t>
                      </w:r>
                    </w:p>
                  </w:txbxContent>
                </v:textbox>
                <w10:wrap type="tight"/>
              </v:shape>
            </w:pict>
          </mc:Fallback>
        </mc:AlternateContent>
      </w:r>
      <w:r w:rsidR="00827903" w:rsidRPr="00827903">
        <w:rPr>
          <w:iCs/>
          <w:lang w:val="en-US"/>
        </w:rPr>
        <w:t xml:space="preserve">The value of assets of 30 </w:t>
      </w:r>
      <w:r w:rsidR="00FD36FE">
        <w:rPr>
          <w:iCs/>
          <w:lang w:val="en-US"/>
        </w:rPr>
        <w:t xml:space="preserve">these </w:t>
      </w:r>
      <w:r w:rsidR="00827903" w:rsidRPr="00827903">
        <w:rPr>
          <w:iCs/>
          <w:lang w:val="en-US"/>
        </w:rPr>
        <w:t xml:space="preserve">companies with full accounting in 2021 increased by 25.6% to PLN 35,590 million. The dominant item of </w:t>
      </w:r>
      <w:r w:rsidR="00BF3055">
        <w:rPr>
          <w:iCs/>
          <w:lang w:val="en-US"/>
        </w:rPr>
        <w:t>assets</w:t>
      </w:r>
      <w:r w:rsidR="00BF3055" w:rsidRPr="00827903">
        <w:rPr>
          <w:iCs/>
          <w:lang w:val="en-US"/>
        </w:rPr>
        <w:t xml:space="preserve"> </w:t>
      </w:r>
      <w:r w:rsidR="00BF3055">
        <w:rPr>
          <w:iCs/>
          <w:lang w:val="en-US"/>
        </w:rPr>
        <w:t xml:space="preserve">were </w:t>
      </w:r>
      <w:r w:rsidR="00827903" w:rsidRPr="00827903">
        <w:rPr>
          <w:iCs/>
          <w:lang w:val="en-US"/>
        </w:rPr>
        <w:t xml:space="preserve"> current assets - PLN 34,591 million. The share of short-term receivables in current assets amounted to 73.3% and amounted to PLN 25,368 million. This value increased by 33.2% compared to 2020. The second largest item of current assets was short-term investments - PLN 9,199 million (26.6%), which mainly consisted of short-term financial assets (63.4%).</w:t>
      </w:r>
    </w:p>
    <w:p w14:paraId="09ADC207" w14:textId="77777777" w:rsidR="00827903" w:rsidRPr="00827903" w:rsidRDefault="00827903" w:rsidP="00827903">
      <w:pPr>
        <w:spacing w:line="288" w:lineRule="auto"/>
        <w:rPr>
          <w:iCs/>
          <w:lang w:val="en-US"/>
        </w:rPr>
      </w:pPr>
      <w:r w:rsidRPr="00827903">
        <w:rPr>
          <w:iCs/>
          <w:lang w:val="en-US"/>
        </w:rPr>
        <w:t>In the total liabilities of 30 non-banking enterprises conducting factoring activity, 97.5% of the value were liabilities and provisions for liabilities, and 2.5% - equity.</w:t>
      </w:r>
    </w:p>
    <w:p w14:paraId="69F94781" w14:textId="77777777" w:rsidR="00827903" w:rsidRPr="00827903" w:rsidRDefault="00827903" w:rsidP="00827903">
      <w:pPr>
        <w:spacing w:line="288" w:lineRule="auto"/>
        <w:rPr>
          <w:iCs/>
          <w:lang w:val="en-US"/>
        </w:rPr>
      </w:pPr>
      <w:r w:rsidRPr="00827903">
        <w:rPr>
          <w:iCs/>
          <w:lang w:val="en-US"/>
        </w:rPr>
        <w:t xml:space="preserve">Revenues from the total activity of these 30 companies amounted to PLN 1,111 million and increased by 10.2% compared to December 2020, of which sales revenues accounted for 91.8%. Total operating costs decreased by 5.7% and amounted to PLN 798 million. </w:t>
      </w:r>
    </w:p>
    <w:p w14:paraId="1B390C36" w14:textId="77777777" w:rsidR="00D4156C" w:rsidRDefault="00827903" w:rsidP="00827903">
      <w:pPr>
        <w:spacing w:line="288" w:lineRule="auto"/>
        <w:rPr>
          <w:shd w:val="clear" w:color="auto" w:fill="FFFFFF"/>
          <w:lang w:val="en"/>
        </w:rPr>
      </w:pPr>
      <w:r w:rsidRPr="00827903">
        <w:rPr>
          <w:iCs/>
          <w:lang w:val="en-US"/>
        </w:rPr>
        <w:t>The net financial result of 30 non-banking enterprises with full accounting, for which factoring was the only or dominant type of activity, amounted to PLN 246 million. From among this group of enterprises, 12 suffered losses, while the remaining 18 companies generated a positive net financial result.</w:t>
      </w:r>
    </w:p>
    <w:p w14:paraId="7696401E" w14:textId="77777777" w:rsidR="001B50C1" w:rsidRDefault="001B50C1" w:rsidP="00E23177">
      <w:pPr>
        <w:rPr>
          <w:lang w:val="en-US"/>
        </w:rPr>
      </w:pPr>
    </w:p>
    <w:p w14:paraId="7D26AA31" w14:textId="77777777" w:rsidR="00E77C21" w:rsidRDefault="00E77C21" w:rsidP="00E23177">
      <w:pPr>
        <w:rPr>
          <w:lang w:val="en-US"/>
        </w:rPr>
      </w:pPr>
    </w:p>
    <w:p w14:paraId="4F5C1E33" w14:textId="77777777" w:rsidR="00E77C21" w:rsidRDefault="00E77C21" w:rsidP="00E23177">
      <w:pPr>
        <w:rPr>
          <w:lang w:val="en-US"/>
        </w:rPr>
      </w:pPr>
    </w:p>
    <w:p w14:paraId="1BFF62DF" w14:textId="77777777" w:rsidR="00E23177" w:rsidRDefault="00E23177" w:rsidP="00E23177">
      <w:pPr>
        <w:rPr>
          <w:rFonts w:cs="Arial"/>
          <w:lang w:val="en-US"/>
        </w:rPr>
      </w:pPr>
      <w:r w:rsidRPr="00DE1C7A">
        <w:rPr>
          <w:lang w:val="en-US"/>
        </w:rPr>
        <w:t>In case of quoting Statistics Poland data, please provide information: “Source of data: Statistics Poland”, and in case of publishing calculations made on data published by Statistics Poland, please include the following disclaimer: “Own study based on figures from Statistics Poland”</w:t>
      </w:r>
    </w:p>
    <w:p w14:paraId="24B37733" w14:textId="75DBAE31" w:rsidR="00D5607D" w:rsidRPr="00FD0F8B" w:rsidRDefault="00D5607D" w:rsidP="00E76D26">
      <w:pPr>
        <w:rPr>
          <w:sz w:val="18"/>
        </w:rPr>
        <w:sectPr w:rsidR="00D5607D" w:rsidRPr="00FD0F8B" w:rsidSect="00B72F9E">
          <w:headerReference w:type="default" r:id="rId11"/>
          <w:footerReference w:type="default" r:id="rId12"/>
          <w:headerReference w:type="first" r:id="rId13"/>
          <w:footerReference w:type="first" r:id="rId14"/>
          <w:type w:val="continuous"/>
          <w:pgSz w:w="11906" w:h="16838"/>
          <w:pgMar w:top="720" w:right="3119" w:bottom="720" w:left="720" w:header="284" w:footer="283" w:gutter="0"/>
          <w:cols w:space="708"/>
          <w:titlePg/>
          <w:docGrid w:linePitch="360"/>
        </w:sectPr>
      </w:pPr>
    </w:p>
    <w:tbl>
      <w:tblPr>
        <w:tblStyle w:val="Tabela-Siatka"/>
        <w:tblW w:w="98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71936" w14:paraId="7E75BB44" w14:textId="77777777" w:rsidTr="00E10F04">
        <w:trPr>
          <w:trHeight w:val="1626"/>
        </w:trPr>
        <w:tc>
          <w:tcPr>
            <w:tcW w:w="4926" w:type="dxa"/>
          </w:tcPr>
          <w:p w14:paraId="79157ADD" w14:textId="77777777" w:rsidR="00171936" w:rsidRPr="005100C9" w:rsidRDefault="00171936" w:rsidP="00E10F04">
            <w:pPr>
              <w:spacing w:line="276" w:lineRule="auto"/>
              <w:rPr>
                <w:rFonts w:cs="Arial"/>
                <w:sz w:val="20"/>
                <w:lang w:val="en-US"/>
              </w:rPr>
            </w:pPr>
            <w:r w:rsidRPr="00763032">
              <w:rPr>
                <w:rFonts w:cs="Arial"/>
                <w:sz w:val="20"/>
                <w:lang w:val="en-US"/>
              </w:rPr>
              <w:lastRenderedPageBreak/>
              <w:t>Prepared by:</w:t>
            </w:r>
          </w:p>
          <w:p w14:paraId="48175D61" w14:textId="77777777" w:rsidR="00171936" w:rsidRPr="00763032" w:rsidRDefault="00171936" w:rsidP="00E10F04">
            <w:pPr>
              <w:spacing w:line="276" w:lineRule="auto"/>
              <w:rPr>
                <w:rFonts w:cs="Arial"/>
                <w:b/>
                <w:color w:val="000000" w:themeColor="text1"/>
                <w:sz w:val="20"/>
                <w:lang w:val="en-US"/>
              </w:rPr>
            </w:pPr>
            <w:r w:rsidRPr="00763032">
              <w:rPr>
                <w:rFonts w:cs="Arial"/>
                <w:b/>
                <w:color w:val="000000" w:themeColor="text1"/>
                <w:sz w:val="20"/>
                <w:lang w:val="en-US"/>
              </w:rPr>
              <w:t>Macroeconomic Studies and Finance Statistics Department</w:t>
            </w:r>
          </w:p>
          <w:p w14:paraId="43663E0F" w14:textId="77777777" w:rsidR="00171936" w:rsidRPr="00763032" w:rsidRDefault="00171936" w:rsidP="00E10F04">
            <w:pPr>
              <w:spacing w:line="276" w:lineRule="auto"/>
              <w:rPr>
                <w:b/>
                <w:lang w:val="fi-FI"/>
              </w:rPr>
            </w:pPr>
            <w:r w:rsidRPr="00763032">
              <w:rPr>
                <w:b/>
                <w:lang w:val="fi-FI"/>
              </w:rPr>
              <w:t>Director Mirosław Błażej</w:t>
            </w:r>
          </w:p>
          <w:p w14:paraId="4467ADE6" w14:textId="77777777" w:rsidR="00171936" w:rsidRPr="00AB24E4" w:rsidRDefault="00171936" w:rsidP="00E10F04">
            <w:pPr>
              <w:pStyle w:val="Nagwek3"/>
              <w:spacing w:before="0" w:after="120" w:line="240" w:lineRule="auto"/>
              <w:outlineLvl w:val="2"/>
              <w:rPr>
                <w:rFonts w:ascii="Fira Sans" w:hAnsi="Fira Sans" w:cs="Arial"/>
                <w:color w:val="000000" w:themeColor="text1"/>
                <w:sz w:val="20"/>
                <w:lang w:val="fi-FI"/>
              </w:rPr>
            </w:pPr>
            <w:r>
              <w:rPr>
                <w:rFonts w:ascii="Fira Sans" w:hAnsi="Fira Sans" w:cs="Arial"/>
                <w:color w:val="000000" w:themeColor="text1"/>
                <w:sz w:val="20"/>
                <w:lang w:val="fi-FI"/>
              </w:rPr>
              <w:t>Phone</w:t>
            </w:r>
            <w:r w:rsidRPr="008F3638">
              <w:rPr>
                <w:rFonts w:ascii="Fira Sans" w:hAnsi="Fira Sans" w:cs="Arial"/>
                <w:color w:val="000000" w:themeColor="text1"/>
                <w:sz w:val="20"/>
                <w:lang w:val="fi-FI"/>
              </w:rPr>
              <w:t xml:space="preserve">: </w:t>
            </w:r>
            <w:r>
              <w:rPr>
                <w:rFonts w:ascii="Fira Sans" w:hAnsi="Fira Sans" w:cs="Arial"/>
                <w:color w:val="000000" w:themeColor="text1"/>
                <w:sz w:val="20"/>
                <w:lang w:val="fi-FI"/>
              </w:rPr>
              <w:t xml:space="preserve">(+48 </w:t>
            </w:r>
            <w:r w:rsidRPr="008F3638">
              <w:rPr>
                <w:rFonts w:ascii="Fira Sans" w:hAnsi="Fira Sans" w:cs="Arial"/>
                <w:color w:val="000000" w:themeColor="text1"/>
                <w:sz w:val="20"/>
                <w:lang w:val="fi-FI"/>
              </w:rPr>
              <w:t>22</w:t>
            </w:r>
            <w:r>
              <w:rPr>
                <w:rFonts w:ascii="Fira Sans" w:hAnsi="Fira Sans" w:cs="Arial"/>
                <w:color w:val="000000" w:themeColor="text1"/>
                <w:sz w:val="20"/>
                <w:lang w:val="fi-FI"/>
              </w:rPr>
              <w:t>)</w:t>
            </w:r>
            <w:r w:rsidRPr="008F3638">
              <w:rPr>
                <w:rFonts w:ascii="Fira Sans" w:hAnsi="Fira Sans" w:cs="Arial"/>
                <w:color w:val="000000" w:themeColor="text1"/>
                <w:sz w:val="20"/>
                <w:lang w:val="fi-FI"/>
              </w:rPr>
              <w:t> </w:t>
            </w:r>
            <w:r w:rsidRPr="005100C9">
              <w:rPr>
                <w:rFonts w:ascii="Fira Sans" w:hAnsi="Fira Sans" w:cs="Arial"/>
                <w:color w:val="000000" w:themeColor="text1"/>
                <w:sz w:val="20"/>
                <w:lang w:val="fi-FI"/>
              </w:rPr>
              <w:t>608 37 73</w:t>
            </w:r>
          </w:p>
        </w:tc>
        <w:tc>
          <w:tcPr>
            <w:tcW w:w="4927" w:type="dxa"/>
          </w:tcPr>
          <w:p w14:paraId="58873256" w14:textId="77777777" w:rsidR="00171936" w:rsidRPr="005100C9" w:rsidRDefault="00171936" w:rsidP="00E10F04">
            <w:pPr>
              <w:spacing w:line="276" w:lineRule="auto"/>
              <w:rPr>
                <w:rFonts w:cs="Arial"/>
                <w:b/>
                <w:sz w:val="20"/>
                <w:lang w:val="en-US"/>
              </w:rPr>
            </w:pPr>
            <w:r w:rsidRPr="00763032">
              <w:rPr>
                <w:rFonts w:cs="Arial"/>
                <w:sz w:val="20"/>
                <w:lang w:val="en-US"/>
              </w:rPr>
              <w:t>Issued by:</w:t>
            </w:r>
            <w:r w:rsidRPr="005100C9">
              <w:rPr>
                <w:rFonts w:cs="Arial"/>
                <w:sz w:val="20"/>
                <w:lang w:val="en-US"/>
              </w:rPr>
              <w:br/>
            </w:r>
            <w:r w:rsidRPr="00763032">
              <w:rPr>
                <w:rFonts w:cs="Arial"/>
                <w:b/>
                <w:sz w:val="20"/>
                <w:lang w:val="en-US"/>
              </w:rPr>
              <w:t>The Spokesperson for the President</w:t>
            </w:r>
            <w:r w:rsidRPr="00763032">
              <w:rPr>
                <w:rFonts w:cs="Arial"/>
                <w:b/>
                <w:sz w:val="20"/>
                <w:lang w:val="en-US"/>
              </w:rPr>
              <w:br/>
              <w:t>of Statistics Poland</w:t>
            </w:r>
          </w:p>
          <w:p w14:paraId="55A2E8A7" w14:textId="77777777" w:rsidR="00171936" w:rsidRPr="0021045E" w:rsidRDefault="00171936" w:rsidP="00E10F04">
            <w:pPr>
              <w:pStyle w:val="Nagwek3"/>
              <w:spacing w:before="0" w:line="240" w:lineRule="auto"/>
              <w:outlineLvl w:val="2"/>
              <w:rPr>
                <w:rFonts w:ascii="Fira Sans" w:hAnsi="Fira Sans" w:cs="Arial"/>
                <w:b/>
                <w:color w:val="auto"/>
                <w:sz w:val="20"/>
                <w:szCs w:val="28"/>
              </w:rPr>
            </w:pPr>
            <w:r w:rsidRPr="0021045E">
              <w:rPr>
                <w:rFonts w:ascii="Fira Sans" w:hAnsi="Fira Sans" w:cs="Arial"/>
                <w:b/>
                <w:color w:val="auto"/>
                <w:sz w:val="20"/>
                <w:szCs w:val="28"/>
              </w:rPr>
              <w:t>Karolina Banaszek</w:t>
            </w:r>
          </w:p>
          <w:p w14:paraId="65C43F95" w14:textId="77777777" w:rsidR="00171936" w:rsidRPr="00763032" w:rsidRDefault="00171936" w:rsidP="00E10F04">
            <w:pPr>
              <w:pStyle w:val="Nagwek3"/>
              <w:spacing w:before="0" w:line="240" w:lineRule="auto"/>
              <w:outlineLvl w:val="2"/>
              <w:rPr>
                <w:rFonts w:ascii="Fira Sans" w:hAnsi="Fira Sans" w:cs="Arial"/>
                <w:color w:val="000000" w:themeColor="text1"/>
                <w:sz w:val="20"/>
                <w:lang w:val="fi-FI"/>
              </w:rPr>
            </w:pPr>
            <w:r w:rsidRPr="00763032">
              <w:rPr>
                <w:rFonts w:ascii="Fira Sans" w:hAnsi="Fira Sans" w:cs="Arial"/>
                <w:color w:val="000000" w:themeColor="text1"/>
                <w:sz w:val="20"/>
                <w:lang w:val="fi-FI"/>
              </w:rPr>
              <w:t>Phone: (+48) 695 255 011</w:t>
            </w:r>
          </w:p>
          <w:p w14:paraId="34C82D11" w14:textId="77777777" w:rsidR="00171936" w:rsidRDefault="00171936" w:rsidP="00E10F04">
            <w:pPr>
              <w:rPr>
                <w:sz w:val="18"/>
              </w:rPr>
            </w:pPr>
          </w:p>
        </w:tc>
      </w:tr>
      <w:tr w:rsidR="00171936" w:rsidRPr="00A36907" w14:paraId="1D63AA63" w14:textId="77777777" w:rsidTr="00E10F04">
        <w:trPr>
          <w:trHeight w:val="418"/>
        </w:trPr>
        <w:tc>
          <w:tcPr>
            <w:tcW w:w="4926" w:type="dxa"/>
            <w:vMerge w:val="restart"/>
          </w:tcPr>
          <w:p w14:paraId="059E1498" w14:textId="77777777" w:rsidR="00171936" w:rsidRPr="00763032" w:rsidRDefault="00171936" w:rsidP="00E10F04">
            <w:pPr>
              <w:rPr>
                <w:b/>
                <w:sz w:val="20"/>
                <w:lang w:val="en-US"/>
              </w:rPr>
            </w:pPr>
            <w:r w:rsidRPr="00763032">
              <w:rPr>
                <w:b/>
                <w:sz w:val="20"/>
                <w:lang w:val="en-US"/>
              </w:rPr>
              <w:t xml:space="preserve">Press Office </w:t>
            </w:r>
          </w:p>
          <w:p w14:paraId="1C88CC7C" w14:textId="77777777" w:rsidR="00171936" w:rsidRPr="005100C9" w:rsidRDefault="00171936" w:rsidP="00E10F04">
            <w:pPr>
              <w:rPr>
                <w:sz w:val="20"/>
                <w:lang w:val="en-US"/>
              </w:rPr>
            </w:pPr>
            <w:r w:rsidRPr="00763032">
              <w:rPr>
                <w:sz w:val="20"/>
                <w:lang w:val="en-US"/>
              </w:rPr>
              <w:t>Phone: (+48 22) 608 38 04</w:t>
            </w:r>
            <w:r w:rsidRPr="005100C9">
              <w:rPr>
                <w:sz w:val="20"/>
                <w:lang w:val="en-US"/>
              </w:rPr>
              <w:t xml:space="preserve"> </w:t>
            </w:r>
          </w:p>
          <w:p w14:paraId="47196C8A" w14:textId="77777777" w:rsidR="00171936" w:rsidRPr="00F05FC7" w:rsidRDefault="00171936" w:rsidP="00E10F04">
            <w:pPr>
              <w:rPr>
                <w:sz w:val="18"/>
                <w:lang w:val="en-US"/>
              </w:rPr>
            </w:pPr>
            <w:r w:rsidRPr="0021045E">
              <w:rPr>
                <w:b/>
                <w:sz w:val="20"/>
                <w:lang w:val="en-GB"/>
              </w:rPr>
              <w:t xml:space="preserve">e-mail: </w:t>
            </w:r>
            <w:hyperlink r:id="rId15" w:history="1">
              <w:r w:rsidRPr="0021045E">
                <w:rPr>
                  <w:rStyle w:val="Hipercze"/>
                  <w:rFonts w:eastAsiaTheme="majorEastAsia" w:cs="Arial"/>
                  <w:b/>
                  <w:color w:val="auto"/>
                  <w:sz w:val="20"/>
                  <w:szCs w:val="20"/>
                  <w:lang w:val="en-US"/>
                </w:rPr>
                <w:t>obslugaprasowa@stat.gov.pl</w:t>
              </w:r>
            </w:hyperlink>
          </w:p>
        </w:tc>
        <w:tc>
          <w:tcPr>
            <w:tcW w:w="4927" w:type="dxa"/>
            <w:vAlign w:val="center"/>
          </w:tcPr>
          <w:p w14:paraId="3565CC84" w14:textId="77777777" w:rsidR="00171936" w:rsidRPr="005100C9" w:rsidRDefault="00171936" w:rsidP="00E10F04">
            <w:pPr>
              <w:ind w:firstLine="680"/>
              <w:rPr>
                <w:sz w:val="18"/>
                <w:lang w:val="en-US"/>
              </w:rPr>
            </w:pPr>
            <w:r w:rsidRPr="0021045E">
              <w:rPr>
                <w:noProof/>
                <w:sz w:val="20"/>
                <w:lang w:eastAsia="pl-PL"/>
              </w:rPr>
              <w:drawing>
                <wp:anchor distT="0" distB="0" distL="114300" distR="114300" simplePos="0" relativeHeight="251739136" behindDoc="0" locked="0" layoutInCell="1" allowOverlap="1" wp14:anchorId="0A01E223" wp14:editId="054D066D">
                  <wp:simplePos x="0" y="0"/>
                  <wp:positionH relativeFrom="column">
                    <wp:posOffset>78740</wp:posOffset>
                  </wp:positionH>
                  <wp:positionV relativeFrom="paragraph">
                    <wp:posOffset>21590</wp:posOffset>
                  </wp:positionV>
                  <wp:extent cx="251460" cy="251460"/>
                  <wp:effectExtent l="0" t="0" r="0" b="0"/>
                  <wp:wrapNone/>
                  <wp:docPr id="21" name="Obraz 21"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sz w:val="20"/>
                <w:lang w:val="en-US"/>
              </w:rPr>
              <w:t xml:space="preserve">www.stat.gov.pl/en/    </w:t>
            </w:r>
            <w:r w:rsidRPr="005100C9">
              <w:rPr>
                <w:sz w:val="18"/>
                <w:lang w:val="en-US"/>
              </w:rPr>
              <w:t xml:space="preserve"> </w:t>
            </w:r>
          </w:p>
        </w:tc>
      </w:tr>
      <w:tr w:rsidR="00171936" w14:paraId="7182640C" w14:textId="77777777" w:rsidTr="00E10F04">
        <w:trPr>
          <w:trHeight w:val="418"/>
        </w:trPr>
        <w:tc>
          <w:tcPr>
            <w:tcW w:w="4926" w:type="dxa"/>
            <w:vMerge/>
          </w:tcPr>
          <w:p w14:paraId="138C67EB" w14:textId="77777777" w:rsidR="00171936" w:rsidRPr="005100C9" w:rsidRDefault="00171936" w:rsidP="00E10F04">
            <w:pPr>
              <w:rPr>
                <w:b/>
                <w:sz w:val="20"/>
                <w:lang w:val="en-US"/>
              </w:rPr>
            </w:pPr>
          </w:p>
        </w:tc>
        <w:tc>
          <w:tcPr>
            <w:tcW w:w="4927" w:type="dxa"/>
            <w:vAlign w:val="center"/>
          </w:tcPr>
          <w:p w14:paraId="0C7B4E95" w14:textId="77777777" w:rsidR="00171936" w:rsidRDefault="00171936" w:rsidP="00E10F04">
            <w:pPr>
              <w:ind w:firstLine="680"/>
              <w:rPr>
                <w:sz w:val="18"/>
              </w:rPr>
            </w:pPr>
            <w:r w:rsidRPr="0021045E">
              <w:rPr>
                <w:noProof/>
                <w:sz w:val="20"/>
                <w:lang w:eastAsia="pl-PL"/>
              </w:rPr>
              <w:drawing>
                <wp:anchor distT="0" distB="0" distL="114300" distR="114300" simplePos="0" relativeHeight="251740160" behindDoc="0" locked="0" layoutInCell="1" allowOverlap="1" wp14:anchorId="76FC2F6D" wp14:editId="43B472C4">
                  <wp:simplePos x="0" y="0"/>
                  <wp:positionH relativeFrom="column">
                    <wp:posOffset>78740</wp:posOffset>
                  </wp:positionH>
                  <wp:positionV relativeFrom="paragraph">
                    <wp:posOffset>21590</wp:posOffset>
                  </wp:positionV>
                  <wp:extent cx="251460" cy="251460"/>
                  <wp:effectExtent l="0" t="0" r="0" b="0"/>
                  <wp:wrapNone/>
                  <wp:docPr id="22" name="Obraz 2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sz w:val="20"/>
                <w:lang w:val="en-US"/>
              </w:rPr>
              <w:t>@</w:t>
            </w:r>
            <w:proofErr w:type="spellStart"/>
            <w:r w:rsidRPr="0021045E">
              <w:rPr>
                <w:sz w:val="20"/>
                <w:lang w:val="en-US"/>
              </w:rPr>
              <w:t>StatPoland</w:t>
            </w:r>
            <w:proofErr w:type="spellEnd"/>
          </w:p>
        </w:tc>
      </w:tr>
      <w:tr w:rsidR="00171936" w14:paraId="6D3E1910" w14:textId="77777777" w:rsidTr="00E10F04">
        <w:trPr>
          <w:trHeight w:val="480"/>
        </w:trPr>
        <w:tc>
          <w:tcPr>
            <w:tcW w:w="4926" w:type="dxa"/>
            <w:vMerge/>
          </w:tcPr>
          <w:p w14:paraId="324509DC" w14:textId="77777777" w:rsidR="00171936" w:rsidRPr="00C91687" w:rsidRDefault="00171936" w:rsidP="00E10F04">
            <w:pPr>
              <w:rPr>
                <w:b/>
                <w:sz w:val="20"/>
              </w:rPr>
            </w:pPr>
          </w:p>
        </w:tc>
        <w:tc>
          <w:tcPr>
            <w:tcW w:w="4927" w:type="dxa"/>
          </w:tcPr>
          <w:p w14:paraId="1D980D2C" w14:textId="77777777" w:rsidR="00171936" w:rsidRDefault="00171936" w:rsidP="00E10F04">
            <w:pPr>
              <w:ind w:firstLine="680"/>
              <w:rPr>
                <w:sz w:val="18"/>
              </w:rPr>
            </w:pPr>
            <w:r w:rsidRPr="0021045E">
              <w:rPr>
                <w:noProof/>
                <w:sz w:val="20"/>
                <w:lang w:eastAsia="pl-PL"/>
              </w:rPr>
              <w:drawing>
                <wp:anchor distT="0" distB="0" distL="114300" distR="114300" simplePos="0" relativeHeight="251741184" behindDoc="0" locked="0" layoutInCell="1" allowOverlap="1" wp14:anchorId="7CA3A0F1" wp14:editId="2C62324A">
                  <wp:simplePos x="0" y="0"/>
                  <wp:positionH relativeFrom="column">
                    <wp:posOffset>80645</wp:posOffset>
                  </wp:positionH>
                  <wp:positionV relativeFrom="paragraph">
                    <wp:posOffset>13970</wp:posOffset>
                  </wp:positionV>
                  <wp:extent cx="251460" cy="251460"/>
                  <wp:effectExtent l="0" t="0" r="0" b="0"/>
                  <wp:wrapNone/>
                  <wp:docPr id="23" name="Obraz 23"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21045E">
              <w:rPr>
                <w:sz w:val="20"/>
                <w:lang w:val="en-US"/>
              </w:rPr>
              <w:t>@</w:t>
            </w:r>
            <w:proofErr w:type="spellStart"/>
            <w:r w:rsidRPr="0021045E">
              <w:rPr>
                <w:sz w:val="20"/>
                <w:lang w:val="en-US"/>
              </w:rPr>
              <w:t>GlownyUrzadStatystyczny</w:t>
            </w:r>
            <w:proofErr w:type="spellEnd"/>
            <w:r>
              <w:rPr>
                <w:noProof/>
                <w:sz w:val="20"/>
                <w:lang w:eastAsia="pl-PL"/>
              </w:rPr>
              <w:t xml:space="preserve"> </w:t>
            </w:r>
          </w:p>
        </w:tc>
      </w:tr>
      <w:tr w:rsidR="00171936" w:rsidRPr="003D5F42" w14:paraId="2C1E898A" w14:textId="77777777" w:rsidTr="00E10F04">
        <w:trPr>
          <w:trHeight w:val="480"/>
        </w:trPr>
        <w:tc>
          <w:tcPr>
            <w:tcW w:w="4926" w:type="dxa"/>
          </w:tcPr>
          <w:p w14:paraId="025470FA" w14:textId="77777777" w:rsidR="00171936" w:rsidRPr="00C91687" w:rsidRDefault="00171936" w:rsidP="00E10F04">
            <w:pPr>
              <w:rPr>
                <w:b/>
                <w:sz w:val="20"/>
              </w:rPr>
            </w:pPr>
          </w:p>
        </w:tc>
        <w:tc>
          <w:tcPr>
            <w:tcW w:w="4927" w:type="dxa"/>
          </w:tcPr>
          <w:p w14:paraId="7C7EEB87" w14:textId="77777777" w:rsidR="00171936" w:rsidRPr="003D5F42" w:rsidRDefault="00171936" w:rsidP="00E10F04">
            <w:pPr>
              <w:ind w:firstLine="680"/>
              <w:rPr>
                <w:sz w:val="20"/>
              </w:rPr>
            </w:pPr>
            <w:r w:rsidRPr="0021045E">
              <w:rPr>
                <w:noProof/>
                <w:sz w:val="20"/>
                <w:lang w:eastAsia="pl-PL"/>
              </w:rPr>
              <w:drawing>
                <wp:anchor distT="0" distB="0" distL="114300" distR="114300" simplePos="0" relativeHeight="251742208" behindDoc="0" locked="0" layoutInCell="1" allowOverlap="1" wp14:anchorId="4E301AB9" wp14:editId="267DFCE1">
                  <wp:simplePos x="0" y="0"/>
                  <wp:positionH relativeFrom="column">
                    <wp:posOffset>82550</wp:posOffset>
                  </wp:positionH>
                  <wp:positionV relativeFrom="paragraph">
                    <wp:posOffset>12700</wp:posOffset>
                  </wp:positionV>
                  <wp:extent cx="251460" cy="251460"/>
                  <wp:effectExtent l="0" t="0" r="0" b="0"/>
                  <wp:wrapNone/>
                  <wp:docPr id="37" name="Obraz 3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1045E">
              <w:rPr>
                <w:sz w:val="20"/>
                <w:lang w:val="en-US"/>
              </w:rPr>
              <w:t>gus_stat</w:t>
            </w:r>
            <w:proofErr w:type="spellEnd"/>
          </w:p>
        </w:tc>
      </w:tr>
      <w:tr w:rsidR="00171936" w:rsidRPr="003D5F42" w14:paraId="7E71FFEF" w14:textId="77777777" w:rsidTr="00E10F04">
        <w:trPr>
          <w:trHeight w:val="480"/>
        </w:trPr>
        <w:tc>
          <w:tcPr>
            <w:tcW w:w="4926" w:type="dxa"/>
          </w:tcPr>
          <w:p w14:paraId="2A8F487A" w14:textId="77777777" w:rsidR="00171936" w:rsidRPr="00C91687" w:rsidRDefault="00171936" w:rsidP="00E10F04">
            <w:pPr>
              <w:rPr>
                <w:b/>
                <w:sz w:val="20"/>
              </w:rPr>
            </w:pPr>
          </w:p>
        </w:tc>
        <w:tc>
          <w:tcPr>
            <w:tcW w:w="4927" w:type="dxa"/>
          </w:tcPr>
          <w:p w14:paraId="55DC45E3" w14:textId="77777777" w:rsidR="00171936" w:rsidRPr="003D5F42" w:rsidRDefault="00171936" w:rsidP="00E10F04">
            <w:pPr>
              <w:ind w:firstLine="680"/>
              <w:rPr>
                <w:sz w:val="20"/>
              </w:rPr>
            </w:pPr>
            <w:r w:rsidRPr="0021045E">
              <w:rPr>
                <w:noProof/>
                <w:sz w:val="20"/>
                <w:lang w:eastAsia="pl-PL"/>
              </w:rPr>
              <w:drawing>
                <wp:anchor distT="0" distB="0" distL="114300" distR="114300" simplePos="0" relativeHeight="251743232" behindDoc="0" locked="0" layoutInCell="1" allowOverlap="1" wp14:anchorId="4A5B1D21" wp14:editId="24794937">
                  <wp:simplePos x="0" y="0"/>
                  <wp:positionH relativeFrom="column">
                    <wp:posOffset>82550</wp:posOffset>
                  </wp:positionH>
                  <wp:positionV relativeFrom="paragraph">
                    <wp:posOffset>13970</wp:posOffset>
                  </wp:positionV>
                  <wp:extent cx="251460" cy="251460"/>
                  <wp:effectExtent l="0" t="0" r="0" b="0"/>
                  <wp:wrapNone/>
                  <wp:docPr id="38" name="Obraz 38"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1045E">
              <w:rPr>
                <w:sz w:val="20"/>
                <w:lang w:val="en-US"/>
              </w:rPr>
              <w:t>glownyurzadstatystycznygus</w:t>
            </w:r>
            <w:proofErr w:type="spellEnd"/>
          </w:p>
        </w:tc>
      </w:tr>
      <w:tr w:rsidR="00171936" w:rsidRPr="003D5F42" w14:paraId="12D36537" w14:textId="77777777" w:rsidTr="00E10F04">
        <w:trPr>
          <w:trHeight w:val="953"/>
        </w:trPr>
        <w:tc>
          <w:tcPr>
            <w:tcW w:w="4926" w:type="dxa"/>
          </w:tcPr>
          <w:p w14:paraId="7674784B" w14:textId="77777777" w:rsidR="00171936" w:rsidRPr="00C91687" w:rsidRDefault="00171936" w:rsidP="00E10F04">
            <w:pPr>
              <w:rPr>
                <w:b/>
                <w:sz w:val="20"/>
              </w:rPr>
            </w:pPr>
          </w:p>
        </w:tc>
        <w:tc>
          <w:tcPr>
            <w:tcW w:w="4927" w:type="dxa"/>
          </w:tcPr>
          <w:p w14:paraId="6D37DAD7" w14:textId="77777777" w:rsidR="00171936" w:rsidRPr="003D5F42" w:rsidRDefault="00171936" w:rsidP="00E10F04">
            <w:pPr>
              <w:ind w:firstLine="680"/>
              <w:rPr>
                <w:sz w:val="20"/>
              </w:rPr>
            </w:pPr>
            <w:proofErr w:type="spellStart"/>
            <w:r w:rsidRPr="0021045E">
              <w:rPr>
                <w:sz w:val="20"/>
                <w:lang w:val="en-US"/>
              </w:rPr>
              <w:t>glownyurzadstatystyczny</w:t>
            </w:r>
            <w:proofErr w:type="spellEnd"/>
            <w:r>
              <w:rPr>
                <w:noProof/>
                <w:sz w:val="20"/>
                <w:lang w:eastAsia="pl-PL"/>
              </w:rPr>
              <w:drawing>
                <wp:anchor distT="0" distB="0" distL="114300" distR="114300" simplePos="0" relativeHeight="251744256" behindDoc="0" locked="0" layoutInCell="1" allowOverlap="1" wp14:anchorId="5BFA8EBB" wp14:editId="36428E46">
                  <wp:simplePos x="0" y="0"/>
                  <wp:positionH relativeFrom="column">
                    <wp:posOffset>82550</wp:posOffset>
                  </wp:positionH>
                  <wp:positionV relativeFrom="paragraph">
                    <wp:posOffset>15240</wp:posOffset>
                  </wp:positionV>
                  <wp:extent cx="251460" cy="251460"/>
                  <wp:effectExtent l="0" t="0" r="0" b="0"/>
                  <wp:wrapNone/>
                  <wp:docPr id="39" name="Obraz 3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tc>
      </w:tr>
    </w:tbl>
    <w:p w14:paraId="52DEB33D" w14:textId="77777777" w:rsidR="00D261A2" w:rsidRPr="00001C5B" w:rsidRDefault="001448A7" w:rsidP="00E76D26">
      <w:pPr>
        <w:rPr>
          <w:sz w:val="18"/>
        </w:rPr>
      </w:pPr>
      <w:r w:rsidRPr="00001C5B">
        <w:rPr>
          <w:noProof/>
          <w:sz w:val="18"/>
          <w:lang w:eastAsia="pl-PL"/>
        </w:rPr>
        <mc:AlternateContent>
          <mc:Choice Requires="wps">
            <w:drawing>
              <wp:anchor distT="45720" distB="45720" distL="114300" distR="114300" simplePos="0" relativeHeight="251691008" behindDoc="0" locked="0" layoutInCell="1" allowOverlap="1" wp14:anchorId="3258F450" wp14:editId="19A17596">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14:paraId="62D74D09" w14:textId="77777777" w:rsidR="00AB6D25" w:rsidRDefault="00AB6D25" w:rsidP="00AB6D25">
                            <w:pPr>
                              <w:rPr>
                                <w:b/>
                              </w:rPr>
                            </w:pPr>
                          </w:p>
                          <w:p w14:paraId="78B32C68" w14:textId="77777777" w:rsidR="00AB6D25" w:rsidRPr="00785F40" w:rsidRDefault="000C0DD6" w:rsidP="00AB6D25">
                            <w:pPr>
                              <w:rPr>
                                <w:b/>
                                <w:lang w:val="en-US"/>
                              </w:rPr>
                            </w:pPr>
                            <w:r w:rsidRPr="00785F40">
                              <w:rPr>
                                <w:b/>
                                <w:lang w:val="en-US"/>
                              </w:rPr>
                              <w:t>Related information</w:t>
                            </w:r>
                          </w:p>
                          <w:p w14:paraId="0CBB7F54" w14:textId="3BED5B0E" w:rsidR="00AB6D25" w:rsidRPr="00461BAF" w:rsidRDefault="00461BAF" w:rsidP="00AB6D25">
                            <w:pPr>
                              <w:rPr>
                                <w:rStyle w:val="Hipercze"/>
                                <w:rFonts w:cs="Arial"/>
                                <w:sz w:val="18"/>
                                <w:szCs w:val="30"/>
                                <w:shd w:val="clear" w:color="auto" w:fill="F0F0F0"/>
                                <w:lang w:val="en-US"/>
                              </w:rPr>
                            </w:pPr>
                            <w:r>
                              <w:rPr>
                                <w:rFonts w:cs="Arial"/>
                                <w:sz w:val="18"/>
                                <w:szCs w:val="30"/>
                                <w:shd w:val="clear" w:color="auto" w:fill="F0F0F0"/>
                                <w:lang w:val="en-US"/>
                              </w:rPr>
                              <w:fldChar w:fldCharType="begin"/>
                            </w:r>
                            <w:r w:rsidR="00FF5F9A">
                              <w:rPr>
                                <w:rFonts w:cs="Arial"/>
                                <w:sz w:val="18"/>
                                <w:szCs w:val="30"/>
                                <w:shd w:val="clear" w:color="auto" w:fill="F0F0F0"/>
                                <w:lang w:val="en-US"/>
                              </w:rPr>
                              <w:instrText>HYPERLINK "https://stat.gov.pl/en/topics/economic-activities-finances/financial-results/specialized-financial-market-segments-in-2020,5,5.html" \o "Specialized segments of financial market 2020"</w:instrText>
                            </w:r>
                            <w:r>
                              <w:rPr>
                                <w:rFonts w:cs="Arial"/>
                                <w:sz w:val="18"/>
                                <w:szCs w:val="30"/>
                                <w:shd w:val="clear" w:color="auto" w:fill="F0F0F0"/>
                                <w:lang w:val="en-US"/>
                              </w:rPr>
                              <w:fldChar w:fldCharType="separate"/>
                            </w:r>
                            <w:r w:rsidR="005C533C" w:rsidRPr="00461BAF">
                              <w:rPr>
                                <w:rStyle w:val="Hipercze"/>
                                <w:rFonts w:cs="Arial"/>
                                <w:sz w:val="18"/>
                                <w:szCs w:val="30"/>
                                <w:shd w:val="clear" w:color="auto" w:fill="F0F0F0"/>
                                <w:lang w:val="en-US"/>
                              </w:rPr>
                              <w:t>Specialized segments of financial market 2020</w:t>
                            </w:r>
                          </w:p>
                          <w:p w14:paraId="10108293" w14:textId="77777777" w:rsidR="00673C26" w:rsidRPr="00785F40" w:rsidRDefault="00461BAF" w:rsidP="00AB6D25">
                            <w:pPr>
                              <w:rPr>
                                <w:b/>
                                <w:color w:val="000000" w:themeColor="text1"/>
                                <w:szCs w:val="24"/>
                                <w:lang w:val="en-US"/>
                              </w:rPr>
                            </w:pPr>
                            <w:r>
                              <w:rPr>
                                <w:rFonts w:cs="Arial"/>
                                <w:sz w:val="18"/>
                                <w:szCs w:val="30"/>
                                <w:shd w:val="clear" w:color="auto" w:fill="F0F0F0"/>
                                <w:lang w:val="en-US"/>
                              </w:rPr>
                              <w:fldChar w:fldCharType="end"/>
                            </w:r>
                          </w:p>
                          <w:p w14:paraId="646DF8B3" w14:textId="77777777" w:rsidR="00AB6D25" w:rsidRPr="00785F40" w:rsidRDefault="000C0DD6" w:rsidP="00AB6D25">
                            <w:pPr>
                              <w:rPr>
                                <w:b/>
                                <w:color w:val="000000" w:themeColor="text1"/>
                                <w:szCs w:val="24"/>
                                <w:lang w:val="en-US"/>
                              </w:rPr>
                            </w:pPr>
                            <w:r w:rsidRPr="00785F40">
                              <w:rPr>
                                <w:b/>
                                <w:color w:val="000000" w:themeColor="text1"/>
                                <w:szCs w:val="24"/>
                                <w:lang w:val="en-US"/>
                              </w:rPr>
                              <w:t>Terms used in official</w:t>
                            </w:r>
                            <w:r w:rsidR="00B1321E" w:rsidRPr="00785F40">
                              <w:rPr>
                                <w:b/>
                                <w:color w:val="000000" w:themeColor="text1"/>
                                <w:szCs w:val="24"/>
                                <w:lang w:val="en-US"/>
                              </w:rPr>
                              <w:t xml:space="preserve"> statis</w:t>
                            </w:r>
                            <w:r w:rsidR="00915AA6" w:rsidRPr="00785F40">
                              <w:rPr>
                                <w:b/>
                                <w:color w:val="000000" w:themeColor="text1"/>
                                <w:szCs w:val="24"/>
                                <w:lang w:val="en-US"/>
                              </w:rPr>
                              <w:t>tics</w:t>
                            </w:r>
                          </w:p>
                          <w:p w14:paraId="69EAC6D0" w14:textId="2AB43F4B" w:rsidR="00F85591" w:rsidRPr="000838AB" w:rsidRDefault="000838AB" w:rsidP="00F85591">
                            <w:pPr>
                              <w:rPr>
                                <w:rStyle w:val="Hipercze"/>
                                <w:rFonts w:cs="Arial"/>
                                <w:sz w:val="18"/>
                                <w:szCs w:val="30"/>
                                <w:shd w:val="clear" w:color="auto" w:fill="F0F0F0"/>
                                <w:lang w:val="en-US"/>
                              </w:rPr>
                            </w:pPr>
                            <w:r>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"https://stat.gov.pl/en/metainformation/glossary/terms-used-in-official-statistics/1597,term.html" \o "link to the slogan \"factoring\"</w:instrText>
                            </w:r>
                            <w:r w:rsidR="00BD4C68">
                              <w:rPr>
                                <w:rFonts w:cs="Arial"/>
                                <w:sz w:val="18"/>
                                <w:szCs w:val="30"/>
                                <w:shd w:val="clear" w:color="auto" w:fill="F0F0F0"/>
                                <w:lang w:val="en-US"/>
                              </w:rPr>
                            </w:r>
                            <w:r>
                              <w:rPr>
                                <w:rFonts w:cs="Arial"/>
                                <w:sz w:val="18"/>
                                <w:szCs w:val="30"/>
                                <w:shd w:val="clear" w:color="auto" w:fill="F0F0F0"/>
                                <w:lang w:val="en-US"/>
                              </w:rPr>
                              <w:fldChar w:fldCharType="separate"/>
                            </w:r>
                            <w:r>
                              <w:rPr>
                                <w:rStyle w:val="Hipercze"/>
                                <w:rFonts w:cs="Arial"/>
                                <w:sz w:val="18"/>
                                <w:szCs w:val="30"/>
                                <w:shd w:val="clear" w:color="auto" w:fill="F0F0F0"/>
                                <w:lang w:val="en-US"/>
                              </w:rPr>
                              <w:t>Factoring</w:t>
                            </w:r>
                          </w:p>
                          <w:p w14:paraId="6EDA06F5" w14:textId="02B11B5D" w:rsidR="00DB4CC6" w:rsidRPr="00FF5F9A" w:rsidRDefault="000838AB" w:rsidP="000838AB">
                            <w:pPr>
                              <w:rPr>
                                <w:rStyle w:val="Hipercze"/>
                                <w:rFonts w:cs="Arial"/>
                                <w:sz w:val="18"/>
                                <w:szCs w:val="30"/>
                                <w:shd w:val="clear" w:color="auto" w:fill="F0F0F0"/>
                                <w:lang w:val="en-US"/>
                              </w:rPr>
                            </w:pPr>
                            <w:r>
                              <w:rPr>
                                <w:rFonts w:cs="Arial"/>
                                <w:sz w:val="18"/>
                                <w:szCs w:val="30"/>
                                <w:shd w:val="clear" w:color="auto" w:fill="F0F0F0"/>
                                <w:lang w:val="en-US"/>
                              </w:rPr>
                              <w:fldChar w:fldCharType="end"/>
                            </w:r>
                            <w:r w:rsidR="00FF5F9A">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"https://stat.gov.pl/en/metainformation/glossary/terms-used-in-official-statistics/1605,term.html" \o "link to the slogan \"recourse factoring\"</w:instrText>
                            </w:r>
                            <w:r w:rsidR="00BD4C68">
                              <w:rPr>
                                <w:rFonts w:cs="Arial"/>
                                <w:sz w:val="18"/>
                                <w:szCs w:val="30"/>
                                <w:shd w:val="clear" w:color="auto" w:fill="F0F0F0"/>
                                <w:lang w:val="en-US"/>
                              </w:rPr>
                            </w:r>
                            <w:r w:rsidR="00FF5F9A">
                              <w:rPr>
                                <w:rFonts w:cs="Arial"/>
                                <w:sz w:val="18"/>
                                <w:szCs w:val="30"/>
                                <w:shd w:val="clear" w:color="auto" w:fill="F0F0F0"/>
                                <w:lang w:val="en-US"/>
                              </w:rPr>
                              <w:fldChar w:fldCharType="separate"/>
                            </w:r>
                            <w:r w:rsidRPr="00FF5F9A">
                              <w:rPr>
                                <w:rStyle w:val="Hipercze"/>
                                <w:rFonts w:cs="Arial"/>
                                <w:sz w:val="18"/>
                                <w:szCs w:val="30"/>
                                <w:shd w:val="clear" w:color="auto" w:fill="F0F0F0"/>
                                <w:lang w:val="en-US"/>
                              </w:rPr>
                              <w:t>Recourse factoring</w:t>
                            </w:r>
                          </w:p>
                          <w:p w14:paraId="3D49C656" w14:textId="5BFBC734" w:rsidR="00DB4CC6" w:rsidRPr="00FF5F9A" w:rsidRDefault="00FF5F9A" w:rsidP="00DB4CC6">
                            <w:pPr>
                              <w:rPr>
                                <w:rStyle w:val="Hipercze"/>
                                <w:rFonts w:cs="Arial"/>
                                <w:sz w:val="18"/>
                                <w:szCs w:val="30"/>
                                <w:shd w:val="clear" w:color="auto" w:fill="F0F0F0"/>
                                <w:lang w:val="en-US"/>
                              </w:rPr>
                            </w:pPr>
                            <w:r>
                              <w:rPr>
                                <w:rFonts w:cs="Arial"/>
                                <w:sz w:val="18"/>
                                <w:szCs w:val="30"/>
                                <w:shd w:val="clear" w:color="auto" w:fill="F0F0F0"/>
                                <w:lang w:val="en-US"/>
                              </w:rPr>
                              <w:fldChar w:fldCharType="end"/>
                            </w:r>
                            <w:r>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"https://stat.gov.pl/en/metainformation/glossary/terms-used-in-official-statistics/1604,term.html" \o "link to the slogan \"Non recourse (traditional) factoring\"</w:instrText>
                            </w:r>
                            <w:r w:rsidR="00BD4C68">
                              <w:rPr>
                                <w:rFonts w:cs="Arial"/>
                                <w:sz w:val="18"/>
                                <w:szCs w:val="30"/>
                                <w:shd w:val="clear" w:color="auto" w:fill="F0F0F0"/>
                                <w:lang w:val="en-US"/>
                              </w:rPr>
                            </w:r>
                            <w:r>
                              <w:rPr>
                                <w:rFonts w:cs="Arial"/>
                                <w:sz w:val="18"/>
                                <w:szCs w:val="30"/>
                                <w:shd w:val="clear" w:color="auto" w:fill="F0F0F0"/>
                                <w:lang w:val="en-US"/>
                              </w:rPr>
                              <w:fldChar w:fldCharType="separate"/>
                            </w:r>
                            <w:proofErr w:type="spellStart"/>
                            <w:r w:rsidR="000838AB" w:rsidRPr="00FF5F9A">
                              <w:rPr>
                                <w:rStyle w:val="Hipercze"/>
                                <w:rFonts w:cs="Arial"/>
                                <w:sz w:val="18"/>
                                <w:szCs w:val="30"/>
                                <w:shd w:val="clear" w:color="auto" w:fill="F0F0F0"/>
                                <w:lang w:val="en-US"/>
                              </w:rPr>
                              <w:t>Non recourse</w:t>
                            </w:r>
                            <w:proofErr w:type="spellEnd"/>
                            <w:r w:rsidR="000838AB" w:rsidRPr="00FF5F9A">
                              <w:rPr>
                                <w:rStyle w:val="Hipercze"/>
                                <w:rFonts w:cs="Arial"/>
                                <w:sz w:val="18"/>
                                <w:szCs w:val="30"/>
                                <w:shd w:val="clear" w:color="auto" w:fill="F0F0F0"/>
                                <w:lang w:val="en-US"/>
                              </w:rPr>
                              <w:t xml:space="preserve"> (traditional) factoring</w:t>
                            </w:r>
                          </w:p>
                          <w:p w14:paraId="524AA948" w14:textId="0BD34F36" w:rsidR="00AB6D25" w:rsidRPr="00DE1C7A" w:rsidRDefault="00FF5F9A" w:rsidP="00AB6D25">
                            <w:pPr>
                              <w:rPr>
                                <w:b/>
                                <w:color w:val="000000" w:themeColor="text1"/>
                                <w:szCs w:val="24"/>
                                <w:lang w:val="en-US"/>
                              </w:rPr>
                            </w:pPr>
                            <w:r>
                              <w:rPr>
                                <w:rFonts w:cs="Arial"/>
                                <w:sz w:val="18"/>
                                <w:szCs w:val="30"/>
                                <w:shd w:val="clear" w:color="auto" w:fill="F0F0F0"/>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8F450" id="_x0000_t202" coordsize="21600,21600" o:spt="202" path="m,l,21600r21600,l21600,xe">
                <v:stroke joinstyle="miter"/>
                <v:path gradientshapeok="t" o:connecttype="rect"/>
              </v:shapetype>
              <v:shape id="_x0000_s1031" type="#_x0000_t202" style="position:absolute;margin-left:1.5pt;margin-top:33.5pt;width:516.5pt;height:349.8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vg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tTYpFFswwbr&#10;R9Le4bgFtLV0aNH94qynDai4/7kDJznTny31bzGdz+PKJGNevJ+R4U49m1MPWEFQFQ+cjcd1SGsW&#10;qVq8oj43KnXghcmBMk12kvCwhXF1Tu0U9fKvWD0B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EEPi+A+AgAAcwQAAA4A&#10;AAAAAAAAAAAAAAAALgIAAGRycy9lMm9Eb2MueG1sUEsBAi0AFAAGAAgAAAAhAG7AMXzfAAAACQEA&#10;AA8AAAAAAAAAAAAAAAAAmAQAAGRycy9kb3ducmV2LnhtbFBLBQYAAAAABAAEAPMAAACkBQAAAAA=&#10;" fillcolor="#f2f2f2 [3052]" strokecolor="white [3212]">
                <v:textbox>
                  <w:txbxContent>
                    <w:p w14:paraId="62D74D09" w14:textId="77777777" w:rsidR="00AB6D25" w:rsidRDefault="00AB6D25" w:rsidP="00AB6D25">
                      <w:pPr>
                        <w:rPr>
                          <w:b/>
                        </w:rPr>
                      </w:pPr>
                    </w:p>
                    <w:p w14:paraId="78B32C68" w14:textId="77777777" w:rsidR="00AB6D25" w:rsidRPr="00785F40" w:rsidRDefault="000C0DD6" w:rsidP="00AB6D25">
                      <w:pPr>
                        <w:rPr>
                          <w:b/>
                          <w:lang w:val="en-US"/>
                        </w:rPr>
                      </w:pPr>
                      <w:r w:rsidRPr="00785F40">
                        <w:rPr>
                          <w:b/>
                          <w:lang w:val="en-US"/>
                        </w:rPr>
                        <w:t>Related information</w:t>
                      </w:r>
                    </w:p>
                    <w:p w14:paraId="0CBB7F54" w14:textId="3BED5B0E" w:rsidR="00AB6D25" w:rsidRPr="00461BAF" w:rsidRDefault="00461BAF" w:rsidP="00AB6D25">
                      <w:pPr>
                        <w:rPr>
                          <w:rStyle w:val="Hipercze"/>
                          <w:rFonts w:cs="Arial"/>
                          <w:sz w:val="18"/>
                          <w:szCs w:val="30"/>
                          <w:shd w:val="clear" w:color="auto" w:fill="F0F0F0"/>
                          <w:lang w:val="en-US"/>
                        </w:rPr>
                      </w:pPr>
                      <w:r>
                        <w:rPr>
                          <w:rFonts w:cs="Arial"/>
                          <w:sz w:val="18"/>
                          <w:szCs w:val="30"/>
                          <w:shd w:val="clear" w:color="auto" w:fill="F0F0F0"/>
                          <w:lang w:val="en-US"/>
                        </w:rPr>
                        <w:fldChar w:fldCharType="begin"/>
                      </w:r>
                      <w:r w:rsidR="00FF5F9A">
                        <w:rPr>
                          <w:rFonts w:cs="Arial"/>
                          <w:sz w:val="18"/>
                          <w:szCs w:val="30"/>
                          <w:shd w:val="clear" w:color="auto" w:fill="F0F0F0"/>
                          <w:lang w:val="en-US"/>
                        </w:rPr>
                        <w:instrText>HYPERLINK "https://stat.gov.pl/en/topics/economic-activities-finances/financial-results/specialized-financial-market-segments-in-2020,5,5.html" \o "Specialized segments of financial market 2020"</w:instrText>
                      </w:r>
                      <w:r>
                        <w:rPr>
                          <w:rFonts w:cs="Arial"/>
                          <w:sz w:val="18"/>
                          <w:szCs w:val="30"/>
                          <w:shd w:val="clear" w:color="auto" w:fill="F0F0F0"/>
                          <w:lang w:val="en-US"/>
                        </w:rPr>
                        <w:fldChar w:fldCharType="separate"/>
                      </w:r>
                      <w:r w:rsidR="005C533C" w:rsidRPr="00461BAF">
                        <w:rPr>
                          <w:rStyle w:val="Hipercze"/>
                          <w:rFonts w:cs="Arial"/>
                          <w:sz w:val="18"/>
                          <w:szCs w:val="30"/>
                          <w:shd w:val="clear" w:color="auto" w:fill="F0F0F0"/>
                          <w:lang w:val="en-US"/>
                        </w:rPr>
                        <w:t>Specialized segments of financial market 2020</w:t>
                      </w:r>
                    </w:p>
                    <w:p w14:paraId="10108293" w14:textId="77777777" w:rsidR="00673C26" w:rsidRPr="00785F40" w:rsidRDefault="00461BAF" w:rsidP="00AB6D25">
                      <w:pPr>
                        <w:rPr>
                          <w:b/>
                          <w:color w:val="000000" w:themeColor="text1"/>
                          <w:szCs w:val="24"/>
                          <w:lang w:val="en-US"/>
                        </w:rPr>
                      </w:pPr>
                      <w:r>
                        <w:rPr>
                          <w:rFonts w:cs="Arial"/>
                          <w:sz w:val="18"/>
                          <w:szCs w:val="30"/>
                          <w:shd w:val="clear" w:color="auto" w:fill="F0F0F0"/>
                          <w:lang w:val="en-US"/>
                        </w:rPr>
                        <w:fldChar w:fldCharType="end"/>
                      </w:r>
                    </w:p>
                    <w:p w14:paraId="646DF8B3" w14:textId="77777777" w:rsidR="00AB6D25" w:rsidRPr="00785F40" w:rsidRDefault="000C0DD6" w:rsidP="00AB6D25">
                      <w:pPr>
                        <w:rPr>
                          <w:b/>
                          <w:color w:val="000000" w:themeColor="text1"/>
                          <w:szCs w:val="24"/>
                          <w:lang w:val="en-US"/>
                        </w:rPr>
                      </w:pPr>
                      <w:r w:rsidRPr="00785F40">
                        <w:rPr>
                          <w:b/>
                          <w:color w:val="000000" w:themeColor="text1"/>
                          <w:szCs w:val="24"/>
                          <w:lang w:val="en-US"/>
                        </w:rPr>
                        <w:t>Terms used in official</w:t>
                      </w:r>
                      <w:r w:rsidR="00B1321E" w:rsidRPr="00785F40">
                        <w:rPr>
                          <w:b/>
                          <w:color w:val="000000" w:themeColor="text1"/>
                          <w:szCs w:val="24"/>
                          <w:lang w:val="en-US"/>
                        </w:rPr>
                        <w:t xml:space="preserve"> statis</w:t>
                      </w:r>
                      <w:r w:rsidR="00915AA6" w:rsidRPr="00785F40">
                        <w:rPr>
                          <w:b/>
                          <w:color w:val="000000" w:themeColor="text1"/>
                          <w:szCs w:val="24"/>
                          <w:lang w:val="en-US"/>
                        </w:rPr>
                        <w:t>tics</w:t>
                      </w:r>
                    </w:p>
                    <w:p w14:paraId="69EAC6D0" w14:textId="2AB43F4B" w:rsidR="00F85591" w:rsidRPr="000838AB" w:rsidRDefault="000838AB" w:rsidP="00F85591">
                      <w:pPr>
                        <w:rPr>
                          <w:rStyle w:val="Hipercze"/>
                          <w:rFonts w:cs="Arial"/>
                          <w:sz w:val="18"/>
                          <w:szCs w:val="30"/>
                          <w:shd w:val="clear" w:color="auto" w:fill="F0F0F0"/>
                          <w:lang w:val="en-US"/>
                        </w:rPr>
                      </w:pPr>
                      <w:r>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"https://stat.gov.pl/en/metainformation/glossary/terms-used-in-official-statistics/1597,term.html" \o "link to the slogan \"factoring\"</w:instrText>
                      </w:r>
                      <w:r w:rsidR="00BD4C68">
                        <w:rPr>
                          <w:rFonts w:cs="Arial"/>
                          <w:sz w:val="18"/>
                          <w:szCs w:val="30"/>
                          <w:shd w:val="clear" w:color="auto" w:fill="F0F0F0"/>
                          <w:lang w:val="en-US"/>
                        </w:rPr>
                      </w:r>
                      <w:r>
                        <w:rPr>
                          <w:rFonts w:cs="Arial"/>
                          <w:sz w:val="18"/>
                          <w:szCs w:val="30"/>
                          <w:shd w:val="clear" w:color="auto" w:fill="F0F0F0"/>
                          <w:lang w:val="en-US"/>
                        </w:rPr>
                        <w:fldChar w:fldCharType="separate"/>
                      </w:r>
                      <w:r>
                        <w:rPr>
                          <w:rStyle w:val="Hipercze"/>
                          <w:rFonts w:cs="Arial"/>
                          <w:sz w:val="18"/>
                          <w:szCs w:val="30"/>
                          <w:shd w:val="clear" w:color="auto" w:fill="F0F0F0"/>
                          <w:lang w:val="en-US"/>
                        </w:rPr>
                        <w:t>Factoring</w:t>
                      </w:r>
                    </w:p>
                    <w:p w14:paraId="6EDA06F5" w14:textId="02B11B5D" w:rsidR="00DB4CC6" w:rsidRPr="00FF5F9A" w:rsidRDefault="000838AB" w:rsidP="000838AB">
                      <w:pPr>
                        <w:rPr>
                          <w:rStyle w:val="Hipercze"/>
                          <w:rFonts w:cs="Arial"/>
                          <w:sz w:val="18"/>
                          <w:szCs w:val="30"/>
                          <w:shd w:val="clear" w:color="auto" w:fill="F0F0F0"/>
                          <w:lang w:val="en-US"/>
                        </w:rPr>
                      </w:pPr>
                      <w:r>
                        <w:rPr>
                          <w:rFonts w:cs="Arial"/>
                          <w:sz w:val="18"/>
                          <w:szCs w:val="30"/>
                          <w:shd w:val="clear" w:color="auto" w:fill="F0F0F0"/>
                          <w:lang w:val="en-US"/>
                        </w:rPr>
                        <w:fldChar w:fldCharType="end"/>
                      </w:r>
                      <w:r w:rsidR="00FF5F9A">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"https://stat.gov.pl/en/metainformation/glossary/terms-used-in-official-statistics/1605,term.html" \o "link to the slogan \"recourse factoring\"</w:instrText>
                      </w:r>
                      <w:r w:rsidR="00BD4C68">
                        <w:rPr>
                          <w:rFonts w:cs="Arial"/>
                          <w:sz w:val="18"/>
                          <w:szCs w:val="30"/>
                          <w:shd w:val="clear" w:color="auto" w:fill="F0F0F0"/>
                          <w:lang w:val="en-US"/>
                        </w:rPr>
                      </w:r>
                      <w:r w:rsidR="00FF5F9A">
                        <w:rPr>
                          <w:rFonts w:cs="Arial"/>
                          <w:sz w:val="18"/>
                          <w:szCs w:val="30"/>
                          <w:shd w:val="clear" w:color="auto" w:fill="F0F0F0"/>
                          <w:lang w:val="en-US"/>
                        </w:rPr>
                        <w:fldChar w:fldCharType="separate"/>
                      </w:r>
                      <w:r w:rsidRPr="00FF5F9A">
                        <w:rPr>
                          <w:rStyle w:val="Hipercze"/>
                          <w:rFonts w:cs="Arial"/>
                          <w:sz w:val="18"/>
                          <w:szCs w:val="30"/>
                          <w:shd w:val="clear" w:color="auto" w:fill="F0F0F0"/>
                          <w:lang w:val="en-US"/>
                        </w:rPr>
                        <w:t>Recourse factoring</w:t>
                      </w:r>
                    </w:p>
                    <w:p w14:paraId="3D49C656" w14:textId="5BFBC734" w:rsidR="00DB4CC6" w:rsidRPr="00FF5F9A" w:rsidRDefault="00FF5F9A" w:rsidP="00DB4CC6">
                      <w:pPr>
                        <w:rPr>
                          <w:rStyle w:val="Hipercze"/>
                          <w:rFonts w:cs="Arial"/>
                          <w:sz w:val="18"/>
                          <w:szCs w:val="30"/>
                          <w:shd w:val="clear" w:color="auto" w:fill="F0F0F0"/>
                          <w:lang w:val="en-US"/>
                        </w:rPr>
                      </w:pPr>
                      <w:r>
                        <w:rPr>
                          <w:rFonts w:cs="Arial"/>
                          <w:sz w:val="18"/>
                          <w:szCs w:val="30"/>
                          <w:shd w:val="clear" w:color="auto" w:fill="F0F0F0"/>
                          <w:lang w:val="en-US"/>
                        </w:rPr>
                        <w:fldChar w:fldCharType="end"/>
                      </w:r>
                      <w:r>
                        <w:rPr>
                          <w:rFonts w:cs="Arial"/>
                          <w:sz w:val="18"/>
                          <w:szCs w:val="30"/>
                          <w:shd w:val="clear" w:color="auto" w:fill="F0F0F0"/>
                          <w:lang w:val="en-US"/>
                        </w:rPr>
                        <w:fldChar w:fldCharType="begin"/>
                      </w:r>
                      <w:r w:rsidR="00BD4C68">
                        <w:rPr>
                          <w:rFonts w:cs="Arial"/>
                          <w:sz w:val="18"/>
                          <w:szCs w:val="30"/>
                          <w:shd w:val="clear" w:color="auto" w:fill="F0F0F0"/>
                          <w:lang w:val="en-US"/>
                        </w:rPr>
                        <w:instrText>HYPERLINK "https://stat.gov.pl/en/metainformation/glossary/terms-used-in-official-statistics/1604,term.html" \o "link to the slogan \"Non recourse (traditional) factoring\"</w:instrText>
                      </w:r>
                      <w:r w:rsidR="00BD4C68">
                        <w:rPr>
                          <w:rFonts w:cs="Arial"/>
                          <w:sz w:val="18"/>
                          <w:szCs w:val="30"/>
                          <w:shd w:val="clear" w:color="auto" w:fill="F0F0F0"/>
                          <w:lang w:val="en-US"/>
                        </w:rPr>
                      </w:r>
                      <w:r>
                        <w:rPr>
                          <w:rFonts w:cs="Arial"/>
                          <w:sz w:val="18"/>
                          <w:szCs w:val="30"/>
                          <w:shd w:val="clear" w:color="auto" w:fill="F0F0F0"/>
                          <w:lang w:val="en-US"/>
                        </w:rPr>
                        <w:fldChar w:fldCharType="separate"/>
                      </w:r>
                      <w:proofErr w:type="spellStart"/>
                      <w:r w:rsidR="000838AB" w:rsidRPr="00FF5F9A">
                        <w:rPr>
                          <w:rStyle w:val="Hipercze"/>
                          <w:rFonts w:cs="Arial"/>
                          <w:sz w:val="18"/>
                          <w:szCs w:val="30"/>
                          <w:shd w:val="clear" w:color="auto" w:fill="F0F0F0"/>
                          <w:lang w:val="en-US"/>
                        </w:rPr>
                        <w:t>Non recourse</w:t>
                      </w:r>
                      <w:proofErr w:type="spellEnd"/>
                      <w:r w:rsidR="000838AB" w:rsidRPr="00FF5F9A">
                        <w:rPr>
                          <w:rStyle w:val="Hipercze"/>
                          <w:rFonts w:cs="Arial"/>
                          <w:sz w:val="18"/>
                          <w:szCs w:val="30"/>
                          <w:shd w:val="clear" w:color="auto" w:fill="F0F0F0"/>
                          <w:lang w:val="en-US"/>
                        </w:rPr>
                        <w:t xml:space="preserve"> (traditional) factoring</w:t>
                      </w:r>
                    </w:p>
                    <w:p w14:paraId="524AA948" w14:textId="0BD34F36" w:rsidR="00AB6D25" w:rsidRPr="00DE1C7A" w:rsidRDefault="00FF5F9A" w:rsidP="00AB6D25">
                      <w:pPr>
                        <w:rPr>
                          <w:b/>
                          <w:color w:val="000000" w:themeColor="text1"/>
                          <w:szCs w:val="24"/>
                          <w:lang w:val="en-US"/>
                        </w:rPr>
                      </w:pPr>
                      <w:r>
                        <w:rPr>
                          <w:rFonts w:cs="Arial"/>
                          <w:sz w:val="18"/>
                          <w:szCs w:val="30"/>
                          <w:shd w:val="clear" w:color="auto" w:fill="F0F0F0"/>
                          <w:lang w:val="en-US"/>
                        </w:rPr>
                        <w:fldChar w:fldCharType="end"/>
                      </w:r>
                    </w:p>
                  </w:txbxContent>
                </v:textbox>
                <w10:wrap type="square" anchorx="margin"/>
              </v:shape>
            </w:pict>
          </mc:Fallback>
        </mc:AlternateContent>
      </w:r>
    </w:p>
    <w:sectPr w:rsidR="00D261A2" w:rsidRPr="00001C5B" w:rsidSect="003B18B6">
      <w:headerReference w:type="default" r:id="rId22"/>
      <w:footerReference w:type="default" r:id="rId23"/>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25BF" w14:textId="77777777" w:rsidR="00FC6EAF" w:rsidRDefault="00FC6EAF" w:rsidP="000662E2">
      <w:pPr>
        <w:spacing w:after="0" w:line="240" w:lineRule="auto"/>
      </w:pPr>
      <w:r>
        <w:separator/>
      </w:r>
    </w:p>
  </w:endnote>
  <w:endnote w:type="continuationSeparator" w:id="0">
    <w:p w14:paraId="2BA24059" w14:textId="77777777" w:rsidR="00FC6EAF" w:rsidRDefault="00FC6EAF"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76485"/>
      <w:docPartObj>
        <w:docPartGallery w:val="Page Numbers (Bottom of Page)"/>
        <w:docPartUnique/>
      </w:docPartObj>
    </w:sdtPr>
    <w:sdtEndPr/>
    <w:sdtContent>
      <w:p w14:paraId="5AD15BB5" w14:textId="77777777" w:rsidR="00EB556D" w:rsidRDefault="00541E6E" w:rsidP="003B18B6">
        <w:pPr>
          <w:pStyle w:val="Stopka"/>
          <w:jc w:val="center"/>
        </w:pPr>
        <w:r>
          <w:fldChar w:fldCharType="begin"/>
        </w:r>
        <w:r>
          <w:instrText>PAGE   \* MERGEFORMAT</w:instrText>
        </w:r>
        <w:r>
          <w:fldChar w:fldCharType="separate"/>
        </w:r>
        <w:r w:rsidR="009A66CB">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7245" w14:textId="77777777" w:rsidR="00EB556D" w:rsidRDefault="00EB556D" w:rsidP="003B18B6">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36839"/>
      <w:docPartObj>
        <w:docPartGallery w:val="Page Numbers (Bottom of Page)"/>
        <w:docPartUnique/>
      </w:docPartObj>
    </w:sdtPr>
    <w:sdtEndPr/>
    <w:sdtContent>
      <w:p w14:paraId="0ECDE6C1" w14:textId="77777777" w:rsidR="003B18B6" w:rsidRDefault="003B18B6" w:rsidP="003B18B6">
        <w:pPr>
          <w:pStyle w:val="Stopka"/>
          <w:jc w:val="center"/>
        </w:pPr>
        <w:r>
          <w:fldChar w:fldCharType="begin"/>
        </w:r>
        <w:r>
          <w:instrText>PAGE   \* MERGEFORMAT</w:instrText>
        </w:r>
        <w:r>
          <w:fldChar w:fldCharType="separate"/>
        </w:r>
        <w:r w:rsidR="00621EE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6DEE" w14:textId="77777777" w:rsidR="00FC6EAF" w:rsidRDefault="00FC6EAF" w:rsidP="000662E2">
      <w:pPr>
        <w:spacing w:after="0" w:line="240" w:lineRule="auto"/>
      </w:pPr>
      <w:r>
        <w:separator/>
      </w:r>
    </w:p>
  </w:footnote>
  <w:footnote w:type="continuationSeparator" w:id="0">
    <w:p w14:paraId="0420B83C" w14:textId="77777777" w:rsidR="00FC6EAF" w:rsidRDefault="00FC6EAF" w:rsidP="000662E2">
      <w:pPr>
        <w:spacing w:after="0" w:line="240" w:lineRule="auto"/>
      </w:pPr>
      <w:r>
        <w:continuationSeparator/>
      </w:r>
    </w:p>
  </w:footnote>
  <w:footnote w:id="1">
    <w:p w14:paraId="747227D9" w14:textId="4C60A795" w:rsidR="00FD0F8B" w:rsidRPr="00A36907" w:rsidRDefault="00FD0F8B" w:rsidP="00FD0F8B">
      <w:pPr>
        <w:pStyle w:val="Tekstprzypisudolnego"/>
        <w:rPr>
          <w:lang w:val="en-US"/>
        </w:rPr>
      </w:pPr>
      <w:r>
        <w:rPr>
          <w:rStyle w:val="Odwoanieprzypisudolnego"/>
        </w:rPr>
        <w:footnoteRef/>
      </w:r>
      <w:r w:rsidRPr="00A36907">
        <w:rPr>
          <w:lang w:val="en-US"/>
        </w:rPr>
        <w:t xml:space="preserve"> </w:t>
      </w:r>
      <w:r w:rsidR="00A63492" w:rsidRPr="00A63492">
        <w:rPr>
          <w:sz w:val="19"/>
          <w:szCs w:val="19"/>
          <w:lang w:val="en-US"/>
        </w:rPr>
        <w:t>It is possible to link the financial situation with the company's operations only for entities for which factoring activities are sole or dominant, and for entities that at the same time, keep full accounting. The requirement for the surveyed enterprises to maintain full accounting results from the necessity to use uniform and comparable accounting categories for the purposes of the conducted analyzes.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D05F" w14:textId="77777777"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5FA1444B" wp14:editId="48C5D114">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4E8B4"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14:paraId="6FA18980" w14:textId="77777777" w:rsidR="000662E2" w:rsidRDefault="000662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D901" w14:textId="77777777"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67F2D251" wp14:editId="697B5666">
          <wp:simplePos x="0" y="0"/>
          <wp:positionH relativeFrom="column">
            <wp:posOffset>0</wp:posOffset>
          </wp:positionH>
          <wp:positionV relativeFrom="paragraph">
            <wp:posOffset>-635</wp:posOffset>
          </wp:positionV>
          <wp:extent cx="1955800" cy="744855"/>
          <wp:effectExtent l="0" t="0" r="0" b="0"/>
          <wp:wrapSquare wrapText="bothSides"/>
          <wp:docPr id="19" name="Obraz 19" descr="Statistics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3BAE7340" wp14:editId="2E8843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descr="News releases"/>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27624"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7340" id="Schemat blokowy: opóźnienie 6" o:spid="_x0000_s1032" alt="News releases"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14:paraId="76727624" w14:textId="77777777"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3C8608E3" wp14:editId="7D0FC9BF">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2F88"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14:paraId="78DABF8B" w14:textId="77777777" w:rsidR="001C7430" w:rsidRDefault="001C7430">
    <w:pPr>
      <w:pStyle w:val="Nagwek"/>
      <w:rPr>
        <w:noProof/>
        <w:lang w:eastAsia="pl-PL"/>
      </w:rPr>
    </w:pPr>
  </w:p>
  <w:p w14:paraId="7AF342EF" w14:textId="77777777" w:rsidR="001C7430" w:rsidRDefault="001C7430">
    <w:pPr>
      <w:pStyle w:val="Nagwek"/>
      <w:rPr>
        <w:noProof/>
        <w:lang w:eastAsia="pl-PL"/>
      </w:rPr>
    </w:pPr>
  </w:p>
  <w:p w14:paraId="615BCC60" w14:textId="77777777"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61BBAA0F" wp14:editId="08AEB91A">
              <wp:simplePos x="0" y="0"/>
              <wp:positionH relativeFrom="column">
                <wp:posOffset>5219700</wp:posOffset>
              </wp:positionH>
              <wp:positionV relativeFrom="paragraph">
                <wp:posOffset>266065</wp:posOffset>
              </wp:positionV>
              <wp:extent cx="1432293" cy="336589"/>
              <wp:effectExtent l="0" t="0" r="0" b="6350"/>
              <wp:wrapNone/>
              <wp:docPr id="8" name="Pole tekstowe 2" descr="5.07.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14:paraId="35CF7DC4" w14:textId="77777777" w:rsidR="00F37172" w:rsidRPr="00C97596" w:rsidRDefault="00D57447" w:rsidP="00F37172">
                          <w:pPr>
                            <w:jc w:val="both"/>
                            <w:rPr>
                              <w:rFonts w:ascii="Fira Sans SemiBold" w:hAnsi="Fira Sans SemiBold"/>
                              <w:color w:val="001D77"/>
                            </w:rPr>
                          </w:pPr>
                          <w:r>
                            <w:rPr>
                              <w:rFonts w:ascii="Fira Sans SemiBold" w:hAnsi="Fira Sans SemiBold"/>
                              <w:color w:val="001D77"/>
                            </w:rPr>
                            <w:t>5</w:t>
                          </w:r>
                          <w:r w:rsidR="00A810F9">
                            <w:rPr>
                              <w:rFonts w:ascii="Fira Sans SemiBold" w:hAnsi="Fira Sans SemiBold"/>
                              <w:color w:val="001D77"/>
                            </w:rPr>
                            <w:t>.</w:t>
                          </w:r>
                          <w:r w:rsidR="006F6D6B">
                            <w:rPr>
                              <w:rFonts w:ascii="Fira Sans SemiBold" w:hAnsi="Fira Sans SemiBold"/>
                              <w:color w:val="001D77"/>
                            </w:rPr>
                            <w:t>0</w:t>
                          </w:r>
                          <w:r>
                            <w:rPr>
                              <w:rFonts w:ascii="Fira Sans SemiBold" w:hAnsi="Fira Sans SemiBold"/>
                              <w:color w:val="001D77"/>
                            </w:rPr>
                            <w:t>7</w:t>
                          </w:r>
                          <w:r w:rsidR="00A810F9">
                            <w:rPr>
                              <w:rFonts w:ascii="Fira Sans SemiBold" w:hAnsi="Fira Sans SemiBold"/>
                              <w:color w:val="001D77"/>
                            </w:rPr>
                            <w:t>.</w:t>
                          </w:r>
                          <w:r w:rsidR="00724B9C">
                            <w:rPr>
                              <w:rFonts w:ascii="Fira Sans SemiBold" w:hAnsi="Fira Sans SemiBold"/>
                              <w:color w:val="001D77"/>
                            </w:rPr>
                            <w:t>202</w:t>
                          </w:r>
                          <w:r w:rsidR="00FC040D">
                            <w:rPr>
                              <w:rFonts w:ascii="Fira Sans SemiBold" w:hAnsi="Fira Sans SemiBold"/>
                              <w:color w:val="001D77"/>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BAA0F" id="_x0000_t202" coordsize="21600,21600" o:spt="202" path="m,l,21600r21600,l21600,xe">
              <v:stroke joinstyle="miter"/>
              <v:path gradientshapeok="t" o:connecttype="rect"/>
            </v:shapetype>
            <v:shape id="_x0000_s1033" type="#_x0000_t202" alt="5.07.202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" filled="f" stroked="f">
              <v:textbox>
                <w:txbxContent>
                  <w:p w14:paraId="35CF7DC4" w14:textId="77777777" w:rsidR="00F37172" w:rsidRPr="00C97596" w:rsidRDefault="00D57447" w:rsidP="00F37172">
                    <w:pPr>
                      <w:jc w:val="both"/>
                      <w:rPr>
                        <w:rFonts w:ascii="Fira Sans SemiBold" w:hAnsi="Fira Sans SemiBold"/>
                        <w:color w:val="001D77"/>
                      </w:rPr>
                    </w:pPr>
                    <w:r>
                      <w:rPr>
                        <w:rFonts w:ascii="Fira Sans SemiBold" w:hAnsi="Fira Sans SemiBold"/>
                        <w:color w:val="001D77"/>
                      </w:rPr>
                      <w:t>5</w:t>
                    </w:r>
                    <w:r w:rsidR="00A810F9">
                      <w:rPr>
                        <w:rFonts w:ascii="Fira Sans SemiBold" w:hAnsi="Fira Sans SemiBold"/>
                        <w:color w:val="001D77"/>
                      </w:rPr>
                      <w:t>.</w:t>
                    </w:r>
                    <w:r w:rsidR="006F6D6B">
                      <w:rPr>
                        <w:rFonts w:ascii="Fira Sans SemiBold" w:hAnsi="Fira Sans SemiBold"/>
                        <w:color w:val="001D77"/>
                      </w:rPr>
                      <w:t>0</w:t>
                    </w:r>
                    <w:r>
                      <w:rPr>
                        <w:rFonts w:ascii="Fira Sans SemiBold" w:hAnsi="Fira Sans SemiBold"/>
                        <w:color w:val="001D77"/>
                      </w:rPr>
                      <w:t>7</w:t>
                    </w:r>
                    <w:r w:rsidR="00A810F9">
                      <w:rPr>
                        <w:rFonts w:ascii="Fira Sans SemiBold" w:hAnsi="Fira Sans SemiBold"/>
                        <w:color w:val="001D77"/>
                      </w:rPr>
                      <w:t>.</w:t>
                    </w:r>
                    <w:r w:rsidR="00724B9C">
                      <w:rPr>
                        <w:rFonts w:ascii="Fira Sans SemiBold" w:hAnsi="Fira Sans SemiBold"/>
                        <w:color w:val="001D77"/>
                      </w:rPr>
                      <w:t>202</w:t>
                    </w:r>
                    <w:r w:rsidR="00FC040D">
                      <w:rPr>
                        <w:rFonts w:ascii="Fira Sans SemiBold" w:hAnsi="Fira Sans SemiBold"/>
                        <w:color w:val="001D77"/>
                      </w:rPr>
                      <w:t>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5543" w14:textId="77777777" w:rsidR="00607CC5" w:rsidRDefault="00607CC5">
    <w:pPr>
      <w:pStyle w:val="Nagwek"/>
    </w:pPr>
  </w:p>
  <w:p w14:paraId="4C039A2B" w14:textId="77777777" w:rsidR="00607CC5" w:rsidRDefault="00607C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3.6pt;height:125.4pt;visibility:visible;mso-wrap-style:square" o:bullet="t">
        <v:imagedata r:id="rId1" o:title=""/>
      </v:shape>
    </w:pict>
  </w:numPicBullet>
  <w:numPicBullet w:numPicBulletId="1">
    <w:pict>
      <v:shape id="_x0000_i1031" type="#_x0000_t75" style="width:123.6pt;height:125.4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7"/>
    <w:rsid w:val="00001853"/>
    <w:rsid w:val="00001C5B"/>
    <w:rsid w:val="00003437"/>
    <w:rsid w:val="00004288"/>
    <w:rsid w:val="0000709F"/>
    <w:rsid w:val="000108B8"/>
    <w:rsid w:val="000152F5"/>
    <w:rsid w:val="000207A4"/>
    <w:rsid w:val="0004582E"/>
    <w:rsid w:val="000470AA"/>
    <w:rsid w:val="00057CA1"/>
    <w:rsid w:val="000636F4"/>
    <w:rsid w:val="00064439"/>
    <w:rsid w:val="000657E3"/>
    <w:rsid w:val="000662E2"/>
    <w:rsid w:val="00066883"/>
    <w:rsid w:val="000670DE"/>
    <w:rsid w:val="00074DD8"/>
    <w:rsid w:val="000806F7"/>
    <w:rsid w:val="00080863"/>
    <w:rsid w:val="000838AB"/>
    <w:rsid w:val="0008514C"/>
    <w:rsid w:val="0009036F"/>
    <w:rsid w:val="00093C74"/>
    <w:rsid w:val="00096CC6"/>
    <w:rsid w:val="000A490C"/>
    <w:rsid w:val="000B0727"/>
    <w:rsid w:val="000C0DD6"/>
    <w:rsid w:val="000C135D"/>
    <w:rsid w:val="000C4EE5"/>
    <w:rsid w:val="000D1D43"/>
    <w:rsid w:val="000D1EAB"/>
    <w:rsid w:val="000D225C"/>
    <w:rsid w:val="000D2A5C"/>
    <w:rsid w:val="000D4173"/>
    <w:rsid w:val="000D7C49"/>
    <w:rsid w:val="000E0918"/>
    <w:rsid w:val="000E0D90"/>
    <w:rsid w:val="000E59C6"/>
    <w:rsid w:val="000E7435"/>
    <w:rsid w:val="001011C3"/>
    <w:rsid w:val="00101666"/>
    <w:rsid w:val="00107AFD"/>
    <w:rsid w:val="00110D87"/>
    <w:rsid w:val="00114DB9"/>
    <w:rsid w:val="00116087"/>
    <w:rsid w:val="00121955"/>
    <w:rsid w:val="00130296"/>
    <w:rsid w:val="00135B14"/>
    <w:rsid w:val="00140CEE"/>
    <w:rsid w:val="001423B6"/>
    <w:rsid w:val="0014351A"/>
    <w:rsid w:val="001448A7"/>
    <w:rsid w:val="00146621"/>
    <w:rsid w:val="0016166A"/>
    <w:rsid w:val="00162325"/>
    <w:rsid w:val="00162E0C"/>
    <w:rsid w:val="00164C18"/>
    <w:rsid w:val="00171936"/>
    <w:rsid w:val="001951DA"/>
    <w:rsid w:val="001A2887"/>
    <w:rsid w:val="001B28F3"/>
    <w:rsid w:val="001B50C1"/>
    <w:rsid w:val="001C3269"/>
    <w:rsid w:val="001C7430"/>
    <w:rsid w:val="001D1DB4"/>
    <w:rsid w:val="001D2736"/>
    <w:rsid w:val="001D30D5"/>
    <w:rsid w:val="001F33C7"/>
    <w:rsid w:val="00202253"/>
    <w:rsid w:val="00206F64"/>
    <w:rsid w:val="00217888"/>
    <w:rsid w:val="0022163F"/>
    <w:rsid w:val="00223CE0"/>
    <w:rsid w:val="00232648"/>
    <w:rsid w:val="0025563A"/>
    <w:rsid w:val="002574F9"/>
    <w:rsid w:val="00260B69"/>
    <w:rsid w:val="00262B61"/>
    <w:rsid w:val="00267794"/>
    <w:rsid w:val="00267C04"/>
    <w:rsid w:val="00267C47"/>
    <w:rsid w:val="00276811"/>
    <w:rsid w:val="002774EF"/>
    <w:rsid w:val="002800E4"/>
    <w:rsid w:val="00282699"/>
    <w:rsid w:val="002926DF"/>
    <w:rsid w:val="00296697"/>
    <w:rsid w:val="002A6113"/>
    <w:rsid w:val="002B0472"/>
    <w:rsid w:val="002B6B12"/>
    <w:rsid w:val="002C58F1"/>
    <w:rsid w:val="002D55D1"/>
    <w:rsid w:val="002D5D08"/>
    <w:rsid w:val="002E3BE8"/>
    <w:rsid w:val="002E6140"/>
    <w:rsid w:val="002E6985"/>
    <w:rsid w:val="002E71B6"/>
    <w:rsid w:val="002F5DBD"/>
    <w:rsid w:val="002F77C8"/>
    <w:rsid w:val="002F7E69"/>
    <w:rsid w:val="00304F22"/>
    <w:rsid w:val="00306C7C"/>
    <w:rsid w:val="00322EDD"/>
    <w:rsid w:val="00325FAD"/>
    <w:rsid w:val="003311FE"/>
    <w:rsid w:val="00331527"/>
    <w:rsid w:val="00332320"/>
    <w:rsid w:val="00335BE1"/>
    <w:rsid w:val="00335C89"/>
    <w:rsid w:val="00340352"/>
    <w:rsid w:val="00345A97"/>
    <w:rsid w:val="00347D72"/>
    <w:rsid w:val="00354FCD"/>
    <w:rsid w:val="00357611"/>
    <w:rsid w:val="00362B2B"/>
    <w:rsid w:val="00367237"/>
    <w:rsid w:val="0037077F"/>
    <w:rsid w:val="00372411"/>
    <w:rsid w:val="00373882"/>
    <w:rsid w:val="00382849"/>
    <w:rsid w:val="003843DB"/>
    <w:rsid w:val="00391300"/>
    <w:rsid w:val="00393761"/>
    <w:rsid w:val="00397D18"/>
    <w:rsid w:val="003A1B36"/>
    <w:rsid w:val="003A2056"/>
    <w:rsid w:val="003A4EB4"/>
    <w:rsid w:val="003B1454"/>
    <w:rsid w:val="003B18B6"/>
    <w:rsid w:val="003C4415"/>
    <w:rsid w:val="003C59E0"/>
    <w:rsid w:val="003C6C8D"/>
    <w:rsid w:val="003D0D16"/>
    <w:rsid w:val="003D4A87"/>
    <w:rsid w:val="003D4F95"/>
    <w:rsid w:val="003D5C6E"/>
    <w:rsid w:val="003D5F42"/>
    <w:rsid w:val="003D60A9"/>
    <w:rsid w:val="003D726C"/>
    <w:rsid w:val="003E16C3"/>
    <w:rsid w:val="003E5FA8"/>
    <w:rsid w:val="003F4C97"/>
    <w:rsid w:val="003F5BD9"/>
    <w:rsid w:val="003F7A34"/>
    <w:rsid w:val="003F7FE6"/>
    <w:rsid w:val="00400193"/>
    <w:rsid w:val="0040662D"/>
    <w:rsid w:val="00413C70"/>
    <w:rsid w:val="00413C93"/>
    <w:rsid w:val="00416172"/>
    <w:rsid w:val="004212E7"/>
    <w:rsid w:val="0042446D"/>
    <w:rsid w:val="00427BF8"/>
    <w:rsid w:val="0043055A"/>
    <w:rsid w:val="00431C02"/>
    <w:rsid w:val="00437395"/>
    <w:rsid w:val="00445047"/>
    <w:rsid w:val="00451A79"/>
    <w:rsid w:val="00461BAF"/>
    <w:rsid w:val="00463E39"/>
    <w:rsid w:val="004654AC"/>
    <w:rsid w:val="004657FC"/>
    <w:rsid w:val="00466D03"/>
    <w:rsid w:val="004733F6"/>
    <w:rsid w:val="00474E69"/>
    <w:rsid w:val="00481968"/>
    <w:rsid w:val="0048389F"/>
    <w:rsid w:val="0049123A"/>
    <w:rsid w:val="0049621B"/>
    <w:rsid w:val="004A4833"/>
    <w:rsid w:val="004B0321"/>
    <w:rsid w:val="004B381A"/>
    <w:rsid w:val="004C1895"/>
    <w:rsid w:val="004C6D40"/>
    <w:rsid w:val="004D0C49"/>
    <w:rsid w:val="004F0C3C"/>
    <w:rsid w:val="004F63FC"/>
    <w:rsid w:val="00505A92"/>
    <w:rsid w:val="005134BB"/>
    <w:rsid w:val="005203F1"/>
    <w:rsid w:val="00521BC3"/>
    <w:rsid w:val="00524721"/>
    <w:rsid w:val="00530BAD"/>
    <w:rsid w:val="00531743"/>
    <w:rsid w:val="00533632"/>
    <w:rsid w:val="00535969"/>
    <w:rsid w:val="00541E6E"/>
    <w:rsid w:val="0054251F"/>
    <w:rsid w:val="005508B0"/>
    <w:rsid w:val="005520D8"/>
    <w:rsid w:val="00553E19"/>
    <w:rsid w:val="00556CF1"/>
    <w:rsid w:val="0055716A"/>
    <w:rsid w:val="00566E1F"/>
    <w:rsid w:val="005762A7"/>
    <w:rsid w:val="005823E7"/>
    <w:rsid w:val="005916D7"/>
    <w:rsid w:val="005922C7"/>
    <w:rsid w:val="005A698C"/>
    <w:rsid w:val="005A74EC"/>
    <w:rsid w:val="005B0D19"/>
    <w:rsid w:val="005C1E18"/>
    <w:rsid w:val="005C533C"/>
    <w:rsid w:val="005C6631"/>
    <w:rsid w:val="005C7280"/>
    <w:rsid w:val="005E0799"/>
    <w:rsid w:val="005E14C2"/>
    <w:rsid w:val="005F024F"/>
    <w:rsid w:val="005F0BEC"/>
    <w:rsid w:val="005F144E"/>
    <w:rsid w:val="005F5A80"/>
    <w:rsid w:val="006044FF"/>
    <w:rsid w:val="00607CC5"/>
    <w:rsid w:val="00617934"/>
    <w:rsid w:val="00621135"/>
    <w:rsid w:val="00621EE8"/>
    <w:rsid w:val="00633014"/>
    <w:rsid w:val="0063437B"/>
    <w:rsid w:val="00641C79"/>
    <w:rsid w:val="0065657F"/>
    <w:rsid w:val="006573B8"/>
    <w:rsid w:val="00660E51"/>
    <w:rsid w:val="0066331A"/>
    <w:rsid w:val="00663999"/>
    <w:rsid w:val="006673CA"/>
    <w:rsid w:val="00673C26"/>
    <w:rsid w:val="00676F97"/>
    <w:rsid w:val="006812AF"/>
    <w:rsid w:val="0068327D"/>
    <w:rsid w:val="00694AF0"/>
    <w:rsid w:val="006A0213"/>
    <w:rsid w:val="006A1D0B"/>
    <w:rsid w:val="006A4686"/>
    <w:rsid w:val="006B0E9E"/>
    <w:rsid w:val="006B0F42"/>
    <w:rsid w:val="006B1AD5"/>
    <w:rsid w:val="006B3BED"/>
    <w:rsid w:val="006B5AE4"/>
    <w:rsid w:val="006C08B1"/>
    <w:rsid w:val="006C1E94"/>
    <w:rsid w:val="006D1507"/>
    <w:rsid w:val="006D3ED3"/>
    <w:rsid w:val="006D4054"/>
    <w:rsid w:val="006E02EC"/>
    <w:rsid w:val="006F3422"/>
    <w:rsid w:val="006F6D6B"/>
    <w:rsid w:val="006F735E"/>
    <w:rsid w:val="00711EEC"/>
    <w:rsid w:val="007143D4"/>
    <w:rsid w:val="007211B1"/>
    <w:rsid w:val="00724B9C"/>
    <w:rsid w:val="0073223E"/>
    <w:rsid w:val="00733213"/>
    <w:rsid w:val="00741AA4"/>
    <w:rsid w:val="00741F80"/>
    <w:rsid w:val="00746187"/>
    <w:rsid w:val="00754F45"/>
    <w:rsid w:val="0076254F"/>
    <w:rsid w:val="00765B99"/>
    <w:rsid w:val="00770EF8"/>
    <w:rsid w:val="007801F5"/>
    <w:rsid w:val="00783CA4"/>
    <w:rsid w:val="007842FB"/>
    <w:rsid w:val="00785F40"/>
    <w:rsid w:val="00786124"/>
    <w:rsid w:val="0079514B"/>
    <w:rsid w:val="00795323"/>
    <w:rsid w:val="007A2DC1"/>
    <w:rsid w:val="007C330C"/>
    <w:rsid w:val="007D3319"/>
    <w:rsid w:val="007D335D"/>
    <w:rsid w:val="007E3314"/>
    <w:rsid w:val="007E4B03"/>
    <w:rsid w:val="007E7B8D"/>
    <w:rsid w:val="007F25BE"/>
    <w:rsid w:val="007F324B"/>
    <w:rsid w:val="0080553C"/>
    <w:rsid w:val="00805B46"/>
    <w:rsid w:val="00805F1C"/>
    <w:rsid w:val="00815292"/>
    <w:rsid w:val="00825DC2"/>
    <w:rsid w:val="00827903"/>
    <w:rsid w:val="0083461C"/>
    <w:rsid w:val="00834AD3"/>
    <w:rsid w:val="00834DF5"/>
    <w:rsid w:val="00843795"/>
    <w:rsid w:val="00847F0F"/>
    <w:rsid w:val="00852448"/>
    <w:rsid w:val="008563A7"/>
    <w:rsid w:val="008565F7"/>
    <w:rsid w:val="0086760D"/>
    <w:rsid w:val="00872184"/>
    <w:rsid w:val="00877DF9"/>
    <w:rsid w:val="0088258A"/>
    <w:rsid w:val="00886332"/>
    <w:rsid w:val="00886A7D"/>
    <w:rsid w:val="00894DFD"/>
    <w:rsid w:val="00895FF8"/>
    <w:rsid w:val="008A26D9"/>
    <w:rsid w:val="008A7B88"/>
    <w:rsid w:val="008A7E8E"/>
    <w:rsid w:val="008B001E"/>
    <w:rsid w:val="008B309C"/>
    <w:rsid w:val="008B3B02"/>
    <w:rsid w:val="008C0C29"/>
    <w:rsid w:val="008F3638"/>
    <w:rsid w:val="008F4441"/>
    <w:rsid w:val="008F6F31"/>
    <w:rsid w:val="008F74DF"/>
    <w:rsid w:val="009127BA"/>
    <w:rsid w:val="00915AA6"/>
    <w:rsid w:val="00921967"/>
    <w:rsid w:val="009227A6"/>
    <w:rsid w:val="00923638"/>
    <w:rsid w:val="009242B8"/>
    <w:rsid w:val="00924E2E"/>
    <w:rsid w:val="00933EC1"/>
    <w:rsid w:val="009369C0"/>
    <w:rsid w:val="00942BA2"/>
    <w:rsid w:val="00945B66"/>
    <w:rsid w:val="00950D8E"/>
    <w:rsid w:val="009530DB"/>
    <w:rsid w:val="00953676"/>
    <w:rsid w:val="0095414A"/>
    <w:rsid w:val="0095512A"/>
    <w:rsid w:val="0096031F"/>
    <w:rsid w:val="00960FAB"/>
    <w:rsid w:val="009705EE"/>
    <w:rsid w:val="00974637"/>
    <w:rsid w:val="00977927"/>
    <w:rsid w:val="0098135C"/>
    <w:rsid w:val="0098156A"/>
    <w:rsid w:val="00984B07"/>
    <w:rsid w:val="00985CF5"/>
    <w:rsid w:val="00991BAC"/>
    <w:rsid w:val="009A5961"/>
    <w:rsid w:val="009A66CB"/>
    <w:rsid w:val="009A6EA0"/>
    <w:rsid w:val="009C1335"/>
    <w:rsid w:val="009C1AB2"/>
    <w:rsid w:val="009C4F7C"/>
    <w:rsid w:val="009C7251"/>
    <w:rsid w:val="009D7B4D"/>
    <w:rsid w:val="009E0985"/>
    <w:rsid w:val="009E2E91"/>
    <w:rsid w:val="009E410C"/>
    <w:rsid w:val="009E5A64"/>
    <w:rsid w:val="009F1CFC"/>
    <w:rsid w:val="009F1FCE"/>
    <w:rsid w:val="00A139F5"/>
    <w:rsid w:val="00A15F16"/>
    <w:rsid w:val="00A23CC9"/>
    <w:rsid w:val="00A24587"/>
    <w:rsid w:val="00A30006"/>
    <w:rsid w:val="00A365F4"/>
    <w:rsid w:val="00A36907"/>
    <w:rsid w:val="00A37DBC"/>
    <w:rsid w:val="00A45EAA"/>
    <w:rsid w:val="00A47D80"/>
    <w:rsid w:val="00A53132"/>
    <w:rsid w:val="00A563F2"/>
    <w:rsid w:val="00A566E8"/>
    <w:rsid w:val="00A61128"/>
    <w:rsid w:val="00A63492"/>
    <w:rsid w:val="00A67511"/>
    <w:rsid w:val="00A810F9"/>
    <w:rsid w:val="00A86ECC"/>
    <w:rsid w:val="00A86FCC"/>
    <w:rsid w:val="00A907C2"/>
    <w:rsid w:val="00A94074"/>
    <w:rsid w:val="00AA710D"/>
    <w:rsid w:val="00AB14A0"/>
    <w:rsid w:val="00AB5DFF"/>
    <w:rsid w:val="00AB6D25"/>
    <w:rsid w:val="00AC3FCE"/>
    <w:rsid w:val="00AD3CEA"/>
    <w:rsid w:val="00AD40D1"/>
    <w:rsid w:val="00AE2D4B"/>
    <w:rsid w:val="00AE4F99"/>
    <w:rsid w:val="00AE59BC"/>
    <w:rsid w:val="00B032F3"/>
    <w:rsid w:val="00B04B80"/>
    <w:rsid w:val="00B12859"/>
    <w:rsid w:val="00B1321E"/>
    <w:rsid w:val="00B147CB"/>
    <w:rsid w:val="00B14952"/>
    <w:rsid w:val="00B2280D"/>
    <w:rsid w:val="00B2764F"/>
    <w:rsid w:val="00B30ABB"/>
    <w:rsid w:val="00B31E5A"/>
    <w:rsid w:val="00B42C72"/>
    <w:rsid w:val="00B521D5"/>
    <w:rsid w:val="00B653AB"/>
    <w:rsid w:val="00B65F9E"/>
    <w:rsid w:val="00B66B19"/>
    <w:rsid w:val="00B72F9E"/>
    <w:rsid w:val="00B73F22"/>
    <w:rsid w:val="00B86C97"/>
    <w:rsid w:val="00B914E9"/>
    <w:rsid w:val="00B91519"/>
    <w:rsid w:val="00B91532"/>
    <w:rsid w:val="00B956EE"/>
    <w:rsid w:val="00BA2BA1"/>
    <w:rsid w:val="00BB1508"/>
    <w:rsid w:val="00BB4174"/>
    <w:rsid w:val="00BB4F09"/>
    <w:rsid w:val="00BB6A91"/>
    <w:rsid w:val="00BB72CB"/>
    <w:rsid w:val="00BC2765"/>
    <w:rsid w:val="00BC39B4"/>
    <w:rsid w:val="00BD2D71"/>
    <w:rsid w:val="00BD4303"/>
    <w:rsid w:val="00BD4C68"/>
    <w:rsid w:val="00BD4E33"/>
    <w:rsid w:val="00BD6BA6"/>
    <w:rsid w:val="00BE13B8"/>
    <w:rsid w:val="00BF3055"/>
    <w:rsid w:val="00BF53A8"/>
    <w:rsid w:val="00C02CF2"/>
    <w:rsid w:val="00C030DE"/>
    <w:rsid w:val="00C034BC"/>
    <w:rsid w:val="00C05E39"/>
    <w:rsid w:val="00C06732"/>
    <w:rsid w:val="00C15E19"/>
    <w:rsid w:val="00C22105"/>
    <w:rsid w:val="00C243A5"/>
    <w:rsid w:val="00C244B6"/>
    <w:rsid w:val="00C3702F"/>
    <w:rsid w:val="00C42943"/>
    <w:rsid w:val="00C47003"/>
    <w:rsid w:val="00C502EA"/>
    <w:rsid w:val="00C64A37"/>
    <w:rsid w:val="00C65B8F"/>
    <w:rsid w:val="00C71415"/>
    <w:rsid w:val="00C7158E"/>
    <w:rsid w:val="00C71E0A"/>
    <w:rsid w:val="00C7250B"/>
    <w:rsid w:val="00C7346B"/>
    <w:rsid w:val="00C76A59"/>
    <w:rsid w:val="00C77C0E"/>
    <w:rsid w:val="00C91687"/>
    <w:rsid w:val="00C9209D"/>
    <w:rsid w:val="00C924A8"/>
    <w:rsid w:val="00C945FE"/>
    <w:rsid w:val="00C96FAA"/>
    <w:rsid w:val="00C97A04"/>
    <w:rsid w:val="00CA107B"/>
    <w:rsid w:val="00CA2132"/>
    <w:rsid w:val="00CA484D"/>
    <w:rsid w:val="00CA4FB6"/>
    <w:rsid w:val="00CB41A7"/>
    <w:rsid w:val="00CB5B23"/>
    <w:rsid w:val="00CC739E"/>
    <w:rsid w:val="00CD58B7"/>
    <w:rsid w:val="00CF4099"/>
    <w:rsid w:val="00CF4A4D"/>
    <w:rsid w:val="00D00796"/>
    <w:rsid w:val="00D0264D"/>
    <w:rsid w:val="00D0492E"/>
    <w:rsid w:val="00D07EEA"/>
    <w:rsid w:val="00D261A2"/>
    <w:rsid w:val="00D30555"/>
    <w:rsid w:val="00D33CF4"/>
    <w:rsid w:val="00D4156C"/>
    <w:rsid w:val="00D5107C"/>
    <w:rsid w:val="00D55758"/>
    <w:rsid w:val="00D5607D"/>
    <w:rsid w:val="00D57447"/>
    <w:rsid w:val="00D616D2"/>
    <w:rsid w:val="00D63B5F"/>
    <w:rsid w:val="00D64203"/>
    <w:rsid w:val="00D70EF7"/>
    <w:rsid w:val="00D8363D"/>
    <w:rsid w:val="00D8397C"/>
    <w:rsid w:val="00D85984"/>
    <w:rsid w:val="00D931B8"/>
    <w:rsid w:val="00D94EED"/>
    <w:rsid w:val="00D96026"/>
    <w:rsid w:val="00DA4463"/>
    <w:rsid w:val="00DA7C1C"/>
    <w:rsid w:val="00DB147A"/>
    <w:rsid w:val="00DB1B7A"/>
    <w:rsid w:val="00DB2D41"/>
    <w:rsid w:val="00DB4CC6"/>
    <w:rsid w:val="00DC02DB"/>
    <w:rsid w:val="00DC6708"/>
    <w:rsid w:val="00DD326E"/>
    <w:rsid w:val="00DE1C7A"/>
    <w:rsid w:val="00E0090C"/>
    <w:rsid w:val="00E01436"/>
    <w:rsid w:val="00E045BD"/>
    <w:rsid w:val="00E107FB"/>
    <w:rsid w:val="00E17B77"/>
    <w:rsid w:val="00E23177"/>
    <w:rsid w:val="00E23337"/>
    <w:rsid w:val="00E259EA"/>
    <w:rsid w:val="00E31ACC"/>
    <w:rsid w:val="00E32061"/>
    <w:rsid w:val="00E341FB"/>
    <w:rsid w:val="00E3783E"/>
    <w:rsid w:val="00E42FF9"/>
    <w:rsid w:val="00E4714C"/>
    <w:rsid w:val="00E51AEB"/>
    <w:rsid w:val="00E522A7"/>
    <w:rsid w:val="00E54452"/>
    <w:rsid w:val="00E57D05"/>
    <w:rsid w:val="00E6426D"/>
    <w:rsid w:val="00E65B6E"/>
    <w:rsid w:val="00E664C5"/>
    <w:rsid w:val="00E671A2"/>
    <w:rsid w:val="00E73765"/>
    <w:rsid w:val="00E76D26"/>
    <w:rsid w:val="00E77C21"/>
    <w:rsid w:val="00E84408"/>
    <w:rsid w:val="00E973A9"/>
    <w:rsid w:val="00E97A00"/>
    <w:rsid w:val="00EB1390"/>
    <w:rsid w:val="00EB2C71"/>
    <w:rsid w:val="00EB4340"/>
    <w:rsid w:val="00EB4C27"/>
    <w:rsid w:val="00EB556D"/>
    <w:rsid w:val="00EB5A7D"/>
    <w:rsid w:val="00EB6F31"/>
    <w:rsid w:val="00ED55C0"/>
    <w:rsid w:val="00ED682B"/>
    <w:rsid w:val="00ED6C96"/>
    <w:rsid w:val="00EE127E"/>
    <w:rsid w:val="00EE144A"/>
    <w:rsid w:val="00EE41D5"/>
    <w:rsid w:val="00EE76E6"/>
    <w:rsid w:val="00F037A4"/>
    <w:rsid w:val="00F05B0E"/>
    <w:rsid w:val="00F06B26"/>
    <w:rsid w:val="00F07C01"/>
    <w:rsid w:val="00F20AFF"/>
    <w:rsid w:val="00F240E5"/>
    <w:rsid w:val="00F245A4"/>
    <w:rsid w:val="00F271BC"/>
    <w:rsid w:val="00F27C8F"/>
    <w:rsid w:val="00F32749"/>
    <w:rsid w:val="00F37172"/>
    <w:rsid w:val="00F416C8"/>
    <w:rsid w:val="00F418D1"/>
    <w:rsid w:val="00F4477E"/>
    <w:rsid w:val="00F47038"/>
    <w:rsid w:val="00F47563"/>
    <w:rsid w:val="00F670E8"/>
    <w:rsid w:val="00F67D8F"/>
    <w:rsid w:val="00F7688B"/>
    <w:rsid w:val="00F802BE"/>
    <w:rsid w:val="00F810E3"/>
    <w:rsid w:val="00F84C10"/>
    <w:rsid w:val="00F85591"/>
    <w:rsid w:val="00F86024"/>
    <w:rsid w:val="00F8611A"/>
    <w:rsid w:val="00F862C2"/>
    <w:rsid w:val="00F93A58"/>
    <w:rsid w:val="00FA4729"/>
    <w:rsid w:val="00FA5128"/>
    <w:rsid w:val="00FA5405"/>
    <w:rsid w:val="00FB42D4"/>
    <w:rsid w:val="00FB5906"/>
    <w:rsid w:val="00FB762F"/>
    <w:rsid w:val="00FC040D"/>
    <w:rsid w:val="00FC2AED"/>
    <w:rsid w:val="00FC3927"/>
    <w:rsid w:val="00FC553B"/>
    <w:rsid w:val="00FC6EAF"/>
    <w:rsid w:val="00FD0F8B"/>
    <w:rsid w:val="00FD36FE"/>
    <w:rsid w:val="00FD4C0A"/>
    <w:rsid w:val="00FD5EA7"/>
    <w:rsid w:val="00FD670D"/>
    <w:rsid w:val="00FE7252"/>
    <w:rsid w:val="00FF39A0"/>
    <w:rsid w:val="00FF4670"/>
    <w:rsid w:val="00FF59E7"/>
    <w:rsid w:val="00FF5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AF713"/>
  <w15:docId w15:val="{A612F8E5-928E-4044-A28A-06EA27B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customStyle="1" w:styleId="tlid-translation">
    <w:name w:val="tlid-translation"/>
    <w:basedOn w:val="Domylnaczcionkaakapitu"/>
    <w:rsid w:val="00A67511"/>
  </w:style>
  <w:style w:type="paragraph" w:styleId="HTML-wstpniesformatowany">
    <w:name w:val="HTML Preformatted"/>
    <w:basedOn w:val="Normalny"/>
    <w:link w:val="HTML-wstpniesformatowanyZnak"/>
    <w:uiPriority w:val="99"/>
    <w:semiHidden/>
    <w:unhideWhenUsed/>
    <w:rsid w:val="008A7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A7B88"/>
    <w:rPr>
      <w:rFonts w:ascii="Courier New" w:eastAsia="Times New Roman" w:hAnsi="Courier New" w:cs="Courier New"/>
      <w:sz w:val="20"/>
      <w:szCs w:val="20"/>
      <w:lang w:eastAsia="pl-PL"/>
    </w:rPr>
  </w:style>
  <w:style w:type="table" w:customStyle="1" w:styleId="Siatkatabelijasna10">
    <w:name w:val="Siatka tabeli — jasna1"/>
    <w:basedOn w:val="Standardowy"/>
    <w:uiPriority w:val="40"/>
    <w:rsid w:val="00765B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F0BEC"/>
    <w:rPr>
      <w:sz w:val="16"/>
      <w:szCs w:val="16"/>
    </w:rPr>
  </w:style>
  <w:style w:type="paragraph" w:styleId="Tekstkomentarza">
    <w:name w:val="annotation text"/>
    <w:basedOn w:val="Normalny"/>
    <w:link w:val="TekstkomentarzaZnak"/>
    <w:uiPriority w:val="99"/>
    <w:semiHidden/>
    <w:unhideWhenUsed/>
    <w:rsid w:val="005F0B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BEC"/>
    <w:rPr>
      <w:rFonts w:ascii="Fira Sans" w:hAnsi="Fira Sans"/>
      <w:sz w:val="20"/>
      <w:szCs w:val="20"/>
    </w:rPr>
  </w:style>
  <w:style w:type="paragraph" w:styleId="NormalnyWeb">
    <w:name w:val="Normal (Web)"/>
    <w:basedOn w:val="Normalny"/>
    <w:uiPriority w:val="99"/>
    <w:semiHidden/>
    <w:unhideWhenUsed/>
    <w:rsid w:val="00B72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w">
    <w:name w:val="hw"/>
    <w:basedOn w:val="Domylnaczcionkaakapitu"/>
    <w:rsid w:val="005823E7"/>
  </w:style>
  <w:style w:type="character" w:styleId="UyteHipercze">
    <w:name w:val="FollowedHyperlink"/>
    <w:basedOn w:val="Domylnaczcionkaakapitu"/>
    <w:uiPriority w:val="99"/>
    <w:semiHidden/>
    <w:unhideWhenUsed/>
    <w:rsid w:val="00DE1C7A"/>
    <w:rPr>
      <w:color w:val="954F72" w:themeColor="followedHyperlink"/>
      <w:u w:val="single"/>
    </w:rPr>
  </w:style>
  <w:style w:type="paragraph" w:customStyle="1" w:styleId="Ikonawskanika">
    <w:name w:val="Ikona wskaźnika"/>
    <w:basedOn w:val="Normalny"/>
    <w:link w:val="IkonawskanikaZnak"/>
    <w:qFormat/>
    <w:rsid w:val="00171936"/>
    <w:pPr>
      <w:autoSpaceDE w:val="0"/>
      <w:autoSpaceDN w:val="0"/>
      <w:adjustRightInd w:val="0"/>
      <w:spacing w:before="0"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171936"/>
    <w:pPr>
      <w:autoSpaceDE w:val="0"/>
      <w:autoSpaceDN w:val="0"/>
      <w:adjustRightInd w:val="0"/>
      <w:spacing w:before="0"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171936"/>
    <w:rPr>
      <w:rFonts w:ascii="Fira Sans SemiBold" w:hAnsi="Fira Sans SemiBold"/>
      <w:color w:val="66AFDE"/>
      <w:sz w:val="60"/>
      <w:szCs w:val="60"/>
    </w:rPr>
  </w:style>
  <w:style w:type="paragraph" w:customStyle="1" w:styleId="Opiswskanika">
    <w:name w:val="Opis wskaźnika"/>
    <w:basedOn w:val="tekstnaniebieskimtle"/>
    <w:link w:val="OpiswskanikaZnak"/>
    <w:qFormat/>
    <w:rsid w:val="00171936"/>
    <w:rPr>
      <w:color w:val="FFFFFF" w:themeColor="background1"/>
    </w:rPr>
  </w:style>
  <w:style w:type="character" w:customStyle="1" w:styleId="WartowskanikaZnak">
    <w:name w:val="Wartość wskaźnika Znak"/>
    <w:basedOn w:val="Domylnaczcionkaakapitu"/>
    <w:link w:val="Wartowskanika"/>
    <w:rsid w:val="00171936"/>
    <w:rPr>
      <w:rFonts w:ascii="Fira Sans SemiBold" w:hAnsi="Fira Sans SemiBold"/>
      <w:color w:val="FFFFFF" w:themeColor="background1"/>
      <w:sz w:val="40"/>
      <w:szCs w:val="56"/>
    </w:rPr>
  </w:style>
  <w:style w:type="character" w:customStyle="1" w:styleId="OpiswskanikaZnak">
    <w:name w:val="Opis wskaźnika Znak"/>
    <w:basedOn w:val="Domylnaczcionkaakapitu"/>
    <w:link w:val="Opiswskanika"/>
    <w:rsid w:val="00171936"/>
    <w:rPr>
      <w:rFonts w:ascii="Fira Sans" w:hAnsi="Fira Sans"/>
      <w:color w:val="FFFFFF" w:themeColor="background1"/>
      <w:sz w:val="20"/>
    </w:rPr>
  </w:style>
  <w:style w:type="character" w:customStyle="1" w:styleId="Nierozpoznanawzmianka1">
    <w:name w:val="Nierozpoznana wzmianka1"/>
    <w:basedOn w:val="Domylnaczcionkaakapitu"/>
    <w:uiPriority w:val="99"/>
    <w:semiHidden/>
    <w:unhideWhenUsed/>
    <w:rsid w:val="00461BA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E6426D"/>
    <w:rPr>
      <w:b/>
      <w:bCs/>
    </w:rPr>
  </w:style>
  <w:style w:type="character" w:customStyle="1" w:styleId="TematkomentarzaZnak">
    <w:name w:val="Temat komentarza Znak"/>
    <w:basedOn w:val="TekstkomentarzaZnak"/>
    <w:link w:val="Tematkomentarza"/>
    <w:uiPriority w:val="99"/>
    <w:semiHidden/>
    <w:rsid w:val="00E6426D"/>
    <w:rPr>
      <w:rFonts w:ascii="Fira Sans" w:hAnsi="Fira Sans"/>
      <w:b/>
      <w:bCs/>
      <w:sz w:val="20"/>
      <w:szCs w:val="20"/>
    </w:rPr>
  </w:style>
  <w:style w:type="character" w:styleId="Nierozpoznanawzmianka">
    <w:name w:val="Unresolved Mention"/>
    <w:basedOn w:val="Domylnaczcionkaakapitu"/>
    <w:uiPriority w:val="99"/>
    <w:semiHidden/>
    <w:unhideWhenUsed/>
    <w:rsid w:val="00FF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23">
      <w:bodyDiv w:val="1"/>
      <w:marLeft w:val="0"/>
      <w:marRight w:val="0"/>
      <w:marTop w:val="0"/>
      <w:marBottom w:val="0"/>
      <w:divBdr>
        <w:top w:val="none" w:sz="0" w:space="0" w:color="auto"/>
        <w:left w:val="none" w:sz="0" w:space="0" w:color="auto"/>
        <w:bottom w:val="none" w:sz="0" w:space="0" w:color="auto"/>
        <w:right w:val="none" w:sz="0" w:space="0" w:color="auto"/>
      </w:divBdr>
    </w:div>
    <w:div w:id="39323251">
      <w:bodyDiv w:val="1"/>
      <w:marLeft w:val="0"/>
      <w:marRight w:val="0"/>
      <w:marTop w:val="0"/>
      <w:marBottom w:val="0"/>
      <w:divBdr>
        <w:top w:val="none" w:sz="0" w:space="0" w:color="auto"/>
        <w:left w:val="none" w:sz="0" w:space="0" w:color="auto"/>
        <w:bottom w:val="none" w:sz="0" w:space="0" w:color="auto"/>
        <w:right w:val="none" w:sz="0" w:space="0" w:color="auto"/>
      </w:divBdr>
      <w:divsChild>
        <w:div w:id="129522127">
          <w:marLeft w:val="0"/>
          <w:marRight w:val="0"/>
          <w:marTop w:val="0"/>
          <w:marBottom w:val="0"/>
          <w:divBdr>
            <w:top w:val="none" w:sz="0" w:space="0" w:color="auto"/>
            <w:left w:val="none" w:sz="0" w:space="0" w:color="auto"/>
            <w:bottom w:val="none" w:sz="0" w:space="0" w:color="auto"/>
            <w:right w:val="none" w:sz="0" w:space="0" w:color="auto"/>
          </w:divBdr>
        </w:div>
      </w:divsChild>
    </w:div>
    <w:div w:id="75175245">
      <w:bodyDiv w:val="1"/>
      <w:marLeft w:val="0"/>
      <w:marRight w:val="0"/>
      <w:marTop w:val="0"/>
      <w:marBottom w:val="0"/>
      <w:divBdr>
        <w:top w:val="none" w:sz="0" w:space="0" w:color="auto"/>
        <w:left w:val="none" w:sz="0" w:space="0" w:color="auto"/>
        <w:bottom w:val="none" w:sz="0" w:space="0" w:color="auto"/>
        <w:right w:val="none" w:sz="0" w:space="0" w:color="auto"/>
      </w:divBdr>
      <w:divsChild>
        <w:div w:id="462816316">
          <w:marLeft w:val="0"/>
          <w:marRight w:val="0"/>
          <w:marTop w:val="0"/>
          <w:marBottom w:val="0"/>
          <w:divBdr>
            <w:top w:val="none" w:sz="0" w:space="0" w:color="auto"/>
            <w:left w:val="none" w:sz="0" w:space="0" w:color="auto"/>
            <w:bottom w:val="none" w:sz="0" w:space="0" w:color="auto"/>
            <w:right w:val="none" w:sz="0" w:space="0" w:color="auto"/>
          </w:divBdr>
          <w:divsChild>
            <w:div w:id="2059669899">
              <w:marLeft w:val="0"/>
              <w:marRight w:val="0"/>
              <w:marTop w:val="0"/>
              <w:marBottom w:val="0"/>
              <w:divBdr>
                <w:top w:val="none" w:sz="0" w:space="0" w:color="auto"/>
                <w:left w:val="none" w:sz="0" w:space="0" w:color="auto"/>
                <w:bottom w:val="none" w:sz="0" w:space="0" w:color="auto"/>
                <w:right w:val="none" w:sz="0" w:space="0" w:color="auto"/>
              </w:divBdr>
              <w:divsChild>
                <w:div w:id="1600721791">
                  <w:marLeft w:val="0"/>
                  <w:marRight w:val="0"/>
                  <w:marTop w:val="0"/>
                  <w:marBottom w:val="0"/>
                  <w:divBdr>
                    <w:top w:val="none" w:sz="0" w:space="0" w:color="auto"/>
                    <w:left w:val="none" w:sz="0" w:space="0" w:color="auto"/>
                    <w:bottom w:val="none" w:sz="0" w:space="0" w:color="auto"/>
                    <w:right w:val="none" w:sz="0" w:space="0" w:color="auto"/>
                  </w:divBdr>
                  <w:divsChild>
                    <w:div w:id="13731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43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829">
          <w:marLeft w:val="0"/>
          <w:marRight w:val="0"/>
          <w:marTop w:val="0"/>
          <w:marBottom w:val="0"/>
          <w:divBdr>
            <w:top w:val="none" w:sz="0" w:space="0" w:color="auto"/>
            <w:left w:val="none" w:sz="0" w:space="0" w:color="auto"/>
            <w:bottom w:val="none" w:sz="0" w:space="0" w:color="auto"/>
            <w:right w:val="none" w:sz="0" w:space="0" w:color="auto"/>
          </w:divBdr>
        </w:div>
      </w:divsChild>
    </w:div>
    <w:div w:id="151993075">
      <w:bodyDiv w:val="1"/>
      <w:marLeft w:val="0"/>
      <w:marRight w:val="0"/>
      <w:marTop w:val="0"/>
      <w:marBottom w:val="0"/>
      <w:divBdr>
        <w:top w:val="none" w:sz="0" w:space="0" w:color="auto"/>
        <w:left w:val="none" w:sz="0" w:space="0" w:color="auto"/>
        <w:bottom w:val="none" w:sz="0" w:space="0" w:color="auto"/>
        <w:right w:val="none" w:sz="0" w:space="0" w:color="auto"/>
      </w:divBdr>
    </w:div>
    <w:div w:id="224535989">
      <w:bodyDiv w:val="1"/>
      <w:marLeft w:val="0"/>
      <w:marRight w:val="0"/>
      <w:marTop w:val="0"/>
      <w:marBottom w:val="0"/>
      <w:divBdr>
        <w:top w:val="none" w:sz="0" w:space="0" w:color="auto"/>
        <w:left w:val="none" w:sz="0" w:space="0" w:color="auto"/>
        <w:bottom w:val="none" w:sz="0" w:space="0" w:color="auto"/>
        <w:right w:val="none" w:sz="0" w:space="0" w:color="auto"/>
      </w:divBdr>
      <w:divsChild>
        <w:div w:id="1331786710">
          <w:marLeft w:val="0"/>
          <w:marRight w:val="0"/>
          <w:marTop w:val="0"/>
          <w:marBottom w:val="0"/>
          <w:divBdr>
            <w:top w:val="none" w:sz="0" w:space="0" w:color="auto"/>
            <w:left w:val="none" w:sz="0" w:space="0" w:color="auto"/>
            <w:bottom w:val="none" w:sz="0" w:space="0" w:color="auto"/>
            <w:right w:val="none" w:sz="0" w:space="0" w:color="auto"/>
          </w:divBdr>
          <w:divsChild>
            <w:div w:id="939223326">
              <w:marLeft w:val="0"/>
              <w:marRight w:val="0"/>
              <w:marTop w:val="0"/>
              <w:marBottom w:val="0"/>
              <w:divBdr>
                <w:top w:val="none" w:sz="0" w:space="0" w:color="auto"/>
                <w:left w:val="none" w:sz="0" w:space="0" w:color="auto"/>
                <w:bottom w:val="none" w:sz="0" w:space="0" w:color="auto"/>
                <w:right w:val="none" w:sz="0" w:space="0" w:color="auto"/>
              </w:divBdr>
              <w:divsChild>
                <w:div w:id="1062682823">
                  <w:marLeft w:val="0"/>
                  <w:marRight w:val="0"/>
                  <w:marTop w:val="0"/>
                  <w:marBottom w:val="0"/>
                  <w:divBdr>
                    <w:top w:val="none" w:sz="0" w:space="0" w:color="auto"/>
                    <w:left w:val="none" w:sz="0" w:space="0" w:color="auto"/>
                    <w:bottom w:val="none" w:sz="0" w:space="0" w:color="auto"/>
                    <w:right w:val="none" w:sz="0" w:space="0" w:color="auto"/>
                  </w:divBdr>
                  <w:divsChild>
                    <w:div w:id="13827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7089">
      <w:bodyDiv w:val="1"/>
      <w:marLeft w:val="0"/>
      <w:marRight w:val="0"/>
      <w:marTop w:val="0"/>
      <w:marBottom w:val="0"/>
      <w:divBdr>
        <w:top w:val="none" w:sz="0" w:space="0" w:color="auto"/>
        <w:left w:val="none" w:sz="0" w:space="0" w:color="auto"/>
        <w:bottom w:val="none" w:sz="0" w:space="0" w:color="auto"/>
        <w:right w:val="none" w:sz="0" w:space="0" w:color="auto"/>
      </w:divBdr>
    </w:div>
    <w:div w:id="304119125">
      <w:bodyDiv w:val="1"/>
      <w:marLeft w:val="0"/>
      <w:marRight w:val="0"/>
      <w:marTop w:val="0"/>
      <w:marBottom w:val="0"/>
      <w:divBdr>
        <w:top w:val="none" w:sz="0" w:space="0" w:color="auto"/>
        <w:left w:val="none" w:sz="0" w:space="0" w:color="auto"/>
        <w:bottom w:val="none" w:sz="0" w:space="0" w:color="auto"/>
        <w:right w:val="none" w:sz="0" w:space="0" w:color="auto"/>
      </w:divBdr>
      <w:divsChild>
        <w:div w:id="531769961">
          <w:marLeft w:val="0"/>
          <w:marRight w:val="0"/>
          <w:marTop w:val="0"/>
          <w:marBottom w:val="0"/>
          <w:divBdr>
            <w:top w:val="none" w:sz="0" w:space="0" w:color="auto"/>
            <w:left w:val="none" w:sz="0" w:space="0" w:color="auto"/>
            <w:bottom w:val="none" w:sz="0" w:space="0" w:color="auto"/>
            <w:right w:val="none" w:sz="0" w:space="0" w:color="auto"/>
          </w:divBdr>
          <w:divsChild>
            <w:div w:id="1932546815">
              <w:marLeft w:val="0"/>
              <w:marRight w:val="0"/>
              <w:marTop w:val="0"/>
              <w:marBottom w:val="0"/>
              <w:divBdr>
                <w:top w:val="none" w:sz="0" w:space="0" w:color="auto"/>
                <w:left w:val="none" w:sz="0" w:space="0" w:color="auto"/>
                <w:bottom w:val="none" w:sz="0" w:space="0" w:color="auto"/>
                <w:right w:val="none" w:sz="0" w:space="0" w:color="auto"/>
              </w:divBdr>
              <w:divsChild>
                <w:div w:id="99028626">
                  <w:marLeft w:val="0"/>
                  <w:marRight w:val="0"/>
                  <w:marTop w:val="0"/>
                  <w:marBottom w:val="0"/>
                  <w:divBdr>
                    <w:top w:val="none" w:sz="0" w:space="0" w:color="auto"/>
                    <w:left w:val="none" w:sz="0" w:space="0" w:color="auto"/>
                    <w:bottom w:val="none" w:sz="0" w:space="0" w:color="auto"/>
                    <w:right w:val="none" w:sz="0" w:space="0" w:color="auto"/>
                  </w:divBdr>
                  <w:divsChild>
                    <w:div w:id="18312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57325">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412629106">
      <w:bodyDiv w:val="1"/>
      <w:marLeft w:val="0"/>
      <w:marRight w:val="0"/>
      <w:marTop w:val="0"/>
      <w:marBottom w:val="0"/>
      <w:divBdr>
        <w:top w:val="none" w:sz="0" w:space="0" w:color="auto"/>
        <w:left w:val="none" w:sz="0" w:space="0" w:color="auto"/>
        <w:bottom w:val="none" w:sz="0" w:space="0" w:color="auto"/>
        <w:right w:val="none" w:sz="0" w:space="0" w:color="auto"/>
      </w:divBdr>
      <w:divsChild>
        <w:div w:id="1583178326">
          <w:marLeft w:val="0"/>
          <w:marRight w:val="0"/>
          <w:marTop w:val="0"/>
          <w:marBottom w:val="0"/>
          <w:divBdr>
            <w:top w:val="none" w:sz="0" w:space="0" w:color="auto"/>
            <w:left w:val="none" w:sz="0" w:space="0" w:color="auto"/>
            <w:bottom w:val="none" w:sz="0" w:space="0" w:color="auto"/>
            <w:right w:val="none" w:sz="0" w:space="0" w:color="auto"/>
          </w:divBdr>
        </w:div>
      </w:divsChild>
    </w:div>
    <w:div w:id="413551622">
      <w:bodyDiv w:val="1"/>
      <w:marLeft w:val="0"/>
      <w:marRight w:val="0"/>
      <w:marTop w:val="0"/>
      <w:marBottom w:val="0"/>
      <w:divBdr>
        <w:top w:val="none" w:sz="0" w:space="0" w:color="auto"/>
        <w:left w:val="none" w:sz="0" w:space="0" w:color="auto"/>
        <w:bottom w:val="none" w:sz="0" w:space="0" w:color="auto"/>
        <w:right w:val="none" w:sz="0" w:space="0" w:color="auto"/>
      </w:divBdr>
      <w:divsChild>
        <w:div w:id="1746880497">
          <w:marLeft w:val="0"/>
          <w:marRight w:val="0"/>
          <w:marTop w:val="0"/>
          <w:marBottom w:val="0"/>
          <w:divBdr>
            <w:top w:val="none" w:sz="0" w:space="0" w:color="auto"/>
            <w:left w:val="none" w:sz="0" w:space="0" w:color="auto"/>
            <w:bottom w:val="none" w:sz="0" w:space="0" w:color="auto"/>
            <w:right w:val="none" w:sz="0" w:space="0" w:color="auto"/>
          </w:divBdr>
          <w:divsChild>
            <w:div w:id="280691498">
              <w:marLeft w:val="0"/>
              <w:marRight w:val="0"/>
              <w:marTop w:val="0"/>
              <w:marBottom w:val="0"/>
              <w:divBdr>
                <w:top w:val="none" w:sz="0" w:space="0" w:color="auto"/>
                <w:left w:val="none" w:sz="0" w:space="0" w:color="auto"/>
                <w:bottom w:val="none" w:sz="0" w:space="0" w:color="auto"/>
                <w:right w:val="none" w:sz="0" w:space="0" w:color="auto"/>
              </w:divBdr>
              <w:divsChild>
                <w:div w:id="1987126495">
                  <w:marLeft w:val="0"/>
                  <w:marRight w:val="0"/>
                  <w:marTop w:val="0"/>
                  <w:marBottom w:val="0"/>
                  <w:divBdr>
                    <w:top w:val="none" w:sz="0" w:space="0" w:color="auto"/>
                    <w:left w:val="none" w:sz="0" w:space="0" w:color="auto"/>
                    <w:bottom w:val="none" w:sz="0" w:space="0" w:color="auto"/>
                    <w:right w:val="none" w:sz="0" w:space="0" w:color="auto"/>
                  </w:divBdr>
                  <w:divsChild>
                    <w:div w:id="1713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4279">
      <w:bodyDiv w:val="1"/>
      <w:marLeft w:val="0"/>
      <w:marRight w:val="0"/>
      <w:marTop w:val="0"/>
      <w:marBottom w:val="0"/>
      <w:divBdr>
        <w:top w:val="none" w:sz="0" w:space="0" w:color="auto"/>
        <w:left w:val="none" w:sz="0" w:space="0" w:color="auto"/>
        <w:bottom w:val="none" w:sz="0" w:space="0" w:color="auto"/>
        <w:right w:val="none" w:sz="0" w:space="0" w:color="auto"/>
      </w:divBdr>
    </w:div>
    <w:div w:id="444888947">
      <w:bodyDiv w:val="1"/>
      <w:marLeft w:val="0"/>
      <w:marRight w:val="0"/>
      <w:marTop w:val="0"/>
      <w:marBottom w:val="0"/>
      <w:divBdr>
        <w:top w:val="none" w:sz="0" w:space="0" w:color="auto"/>
        <w:left w:val="none" w:sz="0" w:space="0" w:color="auto"/>
        <w:bottom w:val="none" w:sz="0" w:space="0" w:color="auto"/>
        <w:right w:val="none" w:sz="0" w:space="0" w:color="auto"/>
      </w:divBdr>
      <w:divsChild>
        <w:div w:id="1791825265">
          <w:marLeft w:val="0"/>
          <w:marRight w:val="0"/>
          <w:marTop w:val="0"/>
          <w:marBottom w:val="0"/>
          <w:divBdr>
            <w:top w:val="none" w:sz="0" w:space="0" w:color="auto"/>
            <w:left w:val="none" w:sz="0" w:space="0" w:color="auto"/>
            <w:bottom w:val="none" w:sz="0" w:space="0" w:color="auto"/>
            <w:right w:val="none" w:sz="0" w:space="0" w:color="auto"/>
          </w:divBdr>
        </w:div>
      </w:divsChild>
    </w:div>
    <w:div w:id="480580939">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24289732">
      <w:bodyDiv w:val="1"/>
      <w:marLeft w:val="0"/>
      <w:marRight w:val="0"/>
      <w:marTop w:val="0"/>
      <w:marBottom w:val="0"/>
      <w:divBdr>
        <w:top w:val="none" w:sz="0" w:space="0" w:color="auto"/>
        <w:left w:val="none" w:sz="0" w:space="0" w:color="auto"/>
        <w:bottom w:val="none" w:sz="0" w:space="0" w:color="auto"/>
        <w:right w:val="none" w:sz="0" w:space="0" w:color="auto"/>
      </w:divBdr>
    </w:div>
    <w:div w:id="546531389">
      <w:bodyDiv w:val="1"/>
      <w:marLeft w:val="0"/>
      <w:marRight w:val="0"/>
      <w:marTop w:val="0"/>
      <w:marBottom w:val="0"/>
      <w:divBdr>
        <w:top w:val="none" w:sz="0" w:space="0" w:color="auto"/>
        <w:left w:val="none" w:sz="0" w:space="0" w:color="auto"/>
        <w:bottom w:val="none" w:sz="0" w:space="0" w:color="auto"/>
        <w:right w:val="none" w:sz="0" w:space="0" w:color="auto"/>
      </w:divBdr>
    </w:div>
    <w:div w:id="558175836">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32855198">
      <w:bodyDiv w:val="1"/>
      <w:marLeft w:val="0"/>
      <w:marRight w:val="0"/>
      <w:marTop w:val="0"/>
      <w:marBottom w:val="0"/>
      <w:divBdr>
        <w:top w:val="none" w:sz="0" w:space="0" w:color="auto"/>
        <w:left w:val="none" w:sz="0" w:space="0" w:color="auto"/>
        <w:bottom w:val="none" w:sz="0" w:space="0" w:color="auto"/>
        <w:right w:val="none" w:sz="0" w:space="0" w:color="auto"/>
      </w:divBdr>
      <w:divsChild>
        <w:div w:id="1880167917">
          <w:marLeft w:val="0"/>
          <w:marRight w:val="0"/>
          <w:marTop w:val="0"/>
          <w:marBottom w:val="0"/>
          <w:divBdr>
            <w:top w:val="none" w:sz="0" w:space="0" w:color="auto"/>
            <w:left w:val="none" w:sz="0" w:space="0" w:color="auto"/>
            <w:bottom w:val="none" w:sz="0" w:space="0" w:color="auto"/>
            <w:right w:val="none" w:sz="0" w:space="0" w:color="auto"/>
          </w:divBdr>
        </w:div>
      </w:divsChild>
    </w:div>
    <w:div w:id="750354384">
      <w:bodyDiv w:val="1"/>
      <w:marLeft w:val="0"/>
      <w:marRight w:val="0"/>
      <w:marTop w:val="0"/>
      <w:marBottom w:val="0"/>
      <w:divBdr>
        <w:top w:val="none" w:sz="0" w:space="0" w:color="auto"/>
        <w:left w:val="none" w:sz="0" w:space="0" w:color="auto"/>
        <w:bottom w:val="none" w:sz="0" w:space="0" w:color="auto"/>
        <w:right w:val="none" w:sz="0" w:space="0" w:color="auto"/>
      </w:divBdr>
      <w:divsChild>
        <w:div w:id="1778059332">
          <w:marLeft w:val="0"/>
          <w:marRight w:val="0"/>
          <w:marTop w:val="0"/>
          <w:marBottom w:val="0"/>
          <w:divBdr>
            <w:top w:val="none" w:sz="0" w:space="0" w:color="auto"/>
            <w:left w:val="none" w:sz="0" w:space="0" w:color="auto"/>
            <w:bottom w:val="none" w:sz="0" w:space="0" w:color="auto"/>
            <w:right w:val="none" w:sz="0" w:space="0" w:color="auto"/>
          </w:divBdr>
          <w:divsChild>
            <w:div w:id="801383045">
              <w:marLeft w:val="0"/>
              <w:marRight w:val="0"/>
              <w:marTop w:val="0"/>
              <w:marBottom w:val="0"/>
              <w:divBdr>
                <w:top w:val="none" w:sz="0" w:space="0" w:color="auto"/>
                <w:left w:val="none" w:sz="0" w:space="0" w:color="auto"/>
                <w:bottom w:val="none" w:sz="0" w:space="0" w:color="auto"/>
                <w:right w:val="none" w:sz="0" w:space="0" w:color="auto"/>
              </w:divBdr>
              <w:divsChild>
                <w:div w:id="2077822978">
                  <w:marLeft w:val="0"/>
                  <w:marRight w:val="0"/>
                  <w:marTop w:val="0"/>
                  <w:marBottom w:val="0"/>
                  <w:divBdr>
                    <w:top w:val="none" w:sz="0" w:space="0" w:color="auto"/>
                    <w:left w:val="none" w:sz="0" w:space="0" w:color="auto"/>
                    <w:bottom w:val="none" w:sz="0" w:space="0" w:color="auto"/>
                    <w:right w:val="none" w:sz="0" w:space="0" w:color="auto"/>
                  </w:divBdr>
                  <w:divsChild>
                    <w:div w:id="1639339170">
                      <w:marLeft w:val="0"/>
                      <w:marRight w:val="0"/>
                      <w:marTop w:val="0"/>
                      <w:marBottom w:val="0"/>
                      <w:divBdr>
                        <w:top w:val="none" w:sz="0" w:space="0" w:color="auto"/>
                        <w:left w:val="none" w:sz="0" w:space="0" w:color="auto"/>
                        <w:bottom w:val="none" w:sz="0" w:space="0" w:color="auto"/>
                        <w:right w:val="none" w:sz="0" w:space="0" w:color="auto"/>
                      </w:divBdr>
                      <w:divsChild>
                        <w:div w:id="2144424474">
                          <w:marLeft w:val="0"/>
                          <w:marRight w:val="0"/>
                          <w:marTop w:val="0"/>
                          <w:marBottom w:val="0"/>
                          <w:divBdr>
                            <w:top w:val="none" w:sz="0" w:space="0" w:color="auto"/>
                            <w:left w:val="none" w:sz="0" w:space="0" w:color="auto"/>
                            <w:bottom w:val="none" w:sz="0" w:space="0" w:color="auto"/>
                            <w:right w:val="none" w:sz="0" w:space="0" w:color="auto"/>
                          </w:divBdr>
                          <w:divsChild>
                            <w:div w:id="1726678473">
                              <w:marLeft w:val="0"/>
                              <w:marRight w:val="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031612980">
                                      <w:marLeft w:val="0"/>
                                      <w:marRight w:val="0"/>
                                      <w:marTop w:val="0"/>
                                      <w:marBottom w:val="0"/>
                                      <w:divBdr>
                                        <w:top w:val="none" w:sz="0" w:space="0" w:color="auto"/>
                                        <w:left w:val="none" w:sz="0" w:space="0" w:color="auto"/>
                                        <w:bottom w:val="none" w:sz="0" w:space="0" w:color="auto"/>
                                        <w:right w:val="none" w:sz="0" w:space="0" w:color="auto"/>
                                      </w:divBdr>
                                      <w:divsChild>
                                        <w:div w:id="1218972160">
                                          <w:marLeft w:val="0"/>
                                          <w:marRight w:val="0"/>
                                          <w:marTop w:val="0"/>
                                          <w:marBottom w:val="0"/>
                                          <w:divBdr>
                                            <w:top w:val="none" w:sz="0" w:space="0" w:color="auto"/>
                                            <w:left w:val="none" w:sz="0" w:space="0" w:color="auto"/>
                                            <w:bottom w:val="none" w:sz="0" w:space="0" w:color="auto"/>
                                            <w:right w:val="none" w:sz="0" w:space="0" w:color="auto"/>
                                          </w:divBdr>
                                          <w:divsChild>
                                            <w:div w:id="434784763">
                                              <w:marLeft w:val="0"/>
                                              <w:marRight w:val="0"/>
                                              <w:marTop w:val="0"/>
                                              <w:marBottom w:val="495"/>
                                              <w:divBdr>
                                                <w:top w:val="none" w:sz="0" w:space="0" w:color="auto"/>
                                                <w:left w:val="none" w:sz="0" w:space="0" w:color="auto"/>
                                                <w:bottom w:val="none" w:sz="0" w:space="0" w:color="auto"/>
                                                <w:right w:val="none" w:sz="0" w:space="0" w:color="auto"/>
                                              </w:divBdr>
                                              <w:divsChild>
                                                <w:div w:id="10292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601364">
      <w:bodyDiv w:val="1"/>
      <w:marLeft w:val="0"/>
      <w:marRight w:val="0"/>
      <w:marTop w:val="0"/>
      <w:marBottom w:val="0"/>
      <w:divBdr>
        <w:top w:val="none" w:sz="0" w:space="0" w:color="auto"/>
        <w:left w:val="none" w:sz="0" w:space="0" w:color="auto"/>
        <w:bottom w:val="none" w:sz="0" w:space="0" w:color="auto"/>
        <w:right w:val="none" w:sz="0" w:space="0" w:color="auto"/>
      </w:divBdr>
    </w:div>
    <w:div w:id="758983896">
      <w:bodyDiv w:val="1"/>
      <w:marLeft w:val="0"/>
      <w:marRight w:val="0"/>
      <w:marTop w:val="0"/>
      <w:marBottom w:val="0"/>
      <w:divBdr>
        <w:top w:val="none" w:sz="0" w:space="0" w:color="auto"/>
        <w:left w:val="none" w:sz="0" w:space="0" w:color="auto"/>
        <w:bottom w:val="none" w:sz="0" w:space="0" w:color="auto"/>
        <w:right w:val="none" w:sz="0" w:space="0" w:color="auto"/>
      </w:divBdr>
    </w:div>
    <w:div w:id="822618723">
      <w:bodyDiv w:val="1"/>
      <w:marLeft w:val="0"/>
      <w:marRight w:val="0"/>
      <w:marTop w:val="0"/>
      <w:marBottom w:val="0"/>
      <w:divBdr>
        <w:top w:val="none" w:sz="0" w:space="0" w:color="auto"/>
        <w:left w:val="none" w:sz="0" w:space="0" w:color="auto"/>
        <w:bottom w:val="none" w:sz="0" w:space="0" w:color="auto"/>
        <w:right w:val="none" w:sz="0" w:space="0" w:color="auto"/>
      </w:divBdr>
    </w:div>
    <w:div w:id="865948387">
      <w:bodyDiv w:val="1"/>
      <w:marLeft w:val="0"/>
      <w:marRight w:val="0"/>
      <w:marTop w:val="0"/>
      <w:marBottom w:val="0"/>
      <w:divBdr>
        <w:top w:val="none" w:sz="0" w:space="0" w:color="auto"/>
        <w:left w:val="none" w:sz="0" w:space="0" w:color="auto"/>
        <w:bottom w:val="none" w:sz="0" w:space="0" w:color="auto"/>
        <w:right w:val="none" w:sz="0" w:space="0" w:color="auto"/>
      </w:divBdr>
    </w:div>
    <w:div w:id="897008161">
      <w:bodyDiv w:val="1"/>
      <w:marLeft w:val="0"/>
      <w:marRight w:val="0"/>
      <w:marTop w:val="0"/>
      <w:marBottom w:val="0"/>
      <w:divBdr>
        <w:top w:val="none" w:sz="0" w:space="0" w:color="auto"/>
        <w:left w:val="none" w:sz="0" w:space="0" w:color="auto"/>
        <w:bottom w:val="none" w:sz="0" w:space="0" w:color="auto"/>
        <w:right w:val="none" w:sz="0" w:space="0" w:color="auto"/>
      </w:divBdr>
      <w:divsChild>
        <w:div w:id="978922934">
          <w:marLeft w:val="0"/>
          <w:marRight w:val="0"/>
          <w:marTop w:val="0"/>
          <w:marBottom w:val="0"/>
          <w:divBdr>
            <w:top w:val="none" w:sz="0" w:space="0" w:color="auto"/>
            <w:left w:val="none" w:sz="0" w:space="0" w:color="auto"/>
            <w:bottom w:val="none" w:sz="0" w:space="0" w:color="auto"/>
            <w:right w:val="none" w:sz="0" w:space="0" w:color="auto"/>
          </w:divBdr>
        </w:div>
      </w:divsChild>
    </w:div>
    <w:div w:id="1002703625">
      <w:bodyDiv w:val="1"/>
      <w:marLeft w:val="0"/>
      <w:marRight w:val="0"/>
      <w:marTop w:val="0"/>
      <w:marBottom w:val="0"/>
      <w:divBdr>
        <w:top w:val="none" w:sz="0" w:space="0" w:color="auto"/>
        <w:left w:val="none" w:sz="0" w:space="0" w:color="auto"/>
        <w:bottom w:val="none" w:sz="0" w:space="0" w:color="auto"/>
        <w:right w:val="none" w:sz="0" w:space="0" w:color="auto"/>
      </w:divBdr>
      <w:divsChild>
        <w:div w:id="852690088">
          <w:marLeft w:val="0"/>
          <w:marRight w:val="0"/>
          <w:marTop w:val="0"/>
          <w:marBottom w:val="0"/>
          <w:divBdr>
            <w:top w:val="none" w:sz="0" w:space="0" w:color="auto"/>
            <w:left w:val="none" w:sz="0" w:space="0" w:color="auto"/>
            <w:bottom w:val="none" w:sz="0" w:space="0" w:color="auto"/>
            <w:right w:val="none" w:sz="0" w:space="0" w:color="auto"/>
          </w:divBdr>
        </w:div>
      </w:divsChild>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308828127">
      <w:bodyDiv w:val="1"/>
      <w:marLeft w:val="0"/>
      <w:marRight w:val="0"/>
      <w:marTop w:val="0"/>
      <w:marBottom w:val="0"/>
      <w:divBdr>
        <w:top w:val="none" w:sz="0" w:space="0" w:color="auto"/>
        <w:left w:val="none" w:sz="0" w:space="0" w:color="auto"/>
        <w:bottom w:val="none" w:sz="0" w:space="0" w:color="auto"/>
        <w:right w:val="none" w:sz="0" w:space="0" w:color="auto"/>
      </w:divBdr>
    </w:div>
    <w:div w:id="1417634422">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7">
          <w:marLeft w:val="0"/>
          <w:marRight w:val="0"/>
          <w:marTop w:val="0"/>
          <w:marBottom w:val="0"/>
          <w:divBdr>
            <w:top w:val="none" w:sz="0" w:space="0" w:color="auto"/>
            <w:left w:val="none" w:sz="0" w:space="0" w:color="auto"/>
            <w:bottom w:val="none" w:sz="0" w:space="0" w:color="auto"/>
            <w:right w:val="none" w:sz="0" w:space="0" w:color="auto"/>
          </w:divBdr>
        </w:div>
      </w:divsChild>
    </w:div>
    <w:div w:id="1461261614">
      <w:bodyDiv w:val="1"/>
      <w:marLeft w:val="0"/>
      <w:marRight w:val="0"/>
      <w:marTop w:val="0"/>
      <w:marBottom w:val="0"/>
      <w:divBdr>
        <w:top w:val="none" w:sz="0" w:space="0" w:color="auto"/>
        <w:left w:val="none" w:sz="0" w:space="0" w:color="auto"/>
        <w:bottom w:val="none" w:sz="0" w:space="0" w:color="auto"/>
        <w:right w:val="none" w:sz="0" w:space="0" w:color="auto"/>
      </w:divBdr>
      <w:divsChild>
        <w:div w:id="976033435">
          <w:marLeft w:val="0"/>
          <w:marRight w:val="0"/>
          <w:marTop w:val="0"/>
          <w:marBottom w:val="0"/>
          <w:divBdr>
            <w:top w:val="none" w:sz="0" w:space="0" w:color="auto"/>
            <w:left w:val="none" w:sz="0" w:space="0" w:color="auto"/>
            <w:bottom w:val="none" w:sz="0" w:space="0" w:color="auto"/>
            <w:right w:val="none" w:sz="0" w:space="0" w:color="auto"/>
          </w:divBdr>
          <w:divsChild>
            <w:div w:id="1628193858">
              <w:marLeft w:val="0"/>
              <w:marRight w:val="0"/>
              <w:marTop w:val="0"/>
              <w:marBottom w:val="0"/>
              <w:divBdr>
                <w:top w:val="none" w:sz="0" w:space="0" w:color="auto"/>
                <w:left w:val="none" w:sz="0" w:space="0" w:color="auto"/>
                <w:bottom w:val="none" w:sz="0" w:space="0" w:color="auto"/>
                <w:right w:val="none" w:sz="0" w:space="0" w:color="auto"/>
              </w:divBdr>
              <w:divsChild>
                <w:div w:id="2002074601">
                  <w:marLeft w:val="0"/>
                  <w:marRight w:val="0"/>
                  <w:marTop w:val="0"/>
                  <w:marBottom w:val="0"/>
                  <w:divBdr>
                    <w:top w:val="none" w:sz="0" w:space="0" w:color="auto"/>
                    <w:left w:val="none" w:sz="0" w:space="0" w:color="auto"/>
                    <w:bottom w:val="none" w:sz="0" w:space="0" w:color="auto"/>
                    <w:right w:val="none" w:sz="0" w:space="0" w:color="auto"/>
                  </w:divBdr>
                  <w:divsChild>
                    <w:div w:id="15298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00">
      <w:bodyDiv w:val="1"/>
      <w:marLeft w:val="0"/>
      <w:marRight w:val="0"/>
      <w:marTop w:val="0"/>
      <w:marBottom w:val="0"/>
      <w:divBdr>
        <w:top w:val="none" w:sz="0" w:space="0" w:color="auto"/>
        <w:left w:val="none" w:sz="0" w:space="0" w:color="auto"/>
        <w:bottom w:val="none" w:sz="0" w:space="0" w:color="auto"/>
        <w:right w:val="none" w:sz="0" w:space="0" w:color="auto"/>
      </w:divBdr>
      <w:divsChild>
        <w:div w:id="232811617">
          <w:marLeft w:val="0"/>
          <w:marRight w:val="0"/>
          <w:marTop w:val="0"/>
          <w:marBottom w:val="0"/>
          <w:divBdr>
            <w:top w:val="none" w:sz="0" w:space="0" w:color="auto"/>
            <w:left w:val="none" w:sz="0" w:space="0" w:color="auto"/>
            <w:bottom w:val="none" w:sz="0" w:space="0" w:color="auto"/>
            <w:right w:val="none" w:sz="0" w:space="0" w:color="auto"/>
          </w:divBdr>
          <w:divsChild>
            <w:div w:id="256403383">
              <w:marLeft w:val="0"/>
              <w:marRight w:val="0"/>
              <w:marTop w:val="0"/>
              <w:marBottom w:val="0"/>
              <w:divBdr>
                <w:top w:val="none" w:sz="0" w:space="0" w:color="auto"/>
                <w:left w:val="none" w:sz="0" w:space="0" w:color="auto"/>
                <w:bottom w:val="none" w:sz="0" w:space="0" w:color="auto"/>
                <w:right w:val="none" w:sz="0" w:space="0" w:color="auto"/>
              </w:divBdr>
              <w:divsChild>
                <w:div w:id="709066361">
                  <w:marLeft w:val="0"/>
                  <w:marRight w:val="0"/>
                  <w:marTop w:val="0"/>
                  <w:marBottom w:val="0"/>
                  <w:divBdr>
                    <w:top w:val="none" w:sz="0" w:space="0" w:color="auto"/>
                    <w:left w:val="none" w:sz="0" w:space="0" w:color="auto"/>
                    <w:bottom w:val="none" w:sz="0" w:space="0" w:color="auto"/>
                    <w:right w:val="none" w:sz="0" w:space="0" w:color="auto"/>
                  </w:divBdr>
                  <w:divsChild>
                    <w:div w:id="983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2644">
      <w:bodyDiv w:val="1"/>
      <w:marLeft w:val="0"/>
      <w:marRight w:val="0"/>
      <w:marTop w:val="0"/>
      <w:marBottom w:val="0"/>
      <w:divBdr>
        <w:top w:val="none" w:sz="0" w:space="0" w:color="auto"/>
        <w:left w:val="none" w:sz="0" w:space="0" w:color="auto"/>
        <w:bottom w:val="none" w:sz="0" w:space="0" w:color="auto"/>
        <w:right w:val="none" w:sz="0" w:space="0" w:color="auto"/>
      </w:divBdr>
    </w:div>
    <w:div w:id="1741446534">
      <w:bodyDiv w:val="1"/>
      <w:marLeft w:val="0"/>
      <w:marRight w:val="0"/>
      <w:marTop w:val="0"/>
      <w:marBottom w:val="0"/>
      <w:divBdr>
        <w:top w:val="none" w:sz="0" w:space="0" w:color="auto"/>
        <w:left w:val="none" w:sz="0" w:space="0" w:color="auto"/>
        <w:bottom w:val="none" w:sz="0" w:space="0" w:color="auto"/>
        <w:right w:val="none" w:sz="0" w:space="0" w:color="auto"/>
      </w:divBdr>
      <w:divsChild>
        <w:div w:id="2127658225">
          <w:marLeft w:val="0"/>
          <w:marRight w:val="0"/>
          <w:marTop w:val="0"/>
          <w:marBottom w:val="0"/>
          <w:divBdr>
            <w:top w:val="none" w:sz="0" w:space="0" w:color="auto"/>
            <w:left w:val="none" w:sz="0" w:space="0" w:color="auto"/>
            <w:bottom w:val="none" w:sz="0" w:space="0" w:color="auto"/>
            <w:right w:val="none" w:sz="0" w:space="0" w:color="auto"/>
          </w:divBdr>
          <w:divsChild>
            <w:div w:id="501773036">
              <w:marLeft w:val="0"/>
              <w:marRight w:val="0"/>
              <w:marTop w:val="0"/>
              <w:marBottom w:val="0"/>
              <w:divBdr>
                <w:top w:val="none" w:sz="0" w:space="0" w:color="auto"/>
                <w:left w:val="none" w:sz="0" w:space="0" w:color="auto"/>
                <w:bottom w:val="none" w:sz="0" w:space="0" w:color="auto"/>
                <w:right w:val="none" w:sz="0" w:space="0" w:color="auto"/>
              </w:divBdr>
              <w:divsChild>
                <w:div w:id="676927440">
                  <w:marLeft w:val="0"/>
                  <w:marRight w:val="0"/>
                  <w:marTop w:val="0"/>
                  <w:marBottom w:val="0"/>
                  <w:divBdr>
                    <w:top w:val="none" w:sz="0" w:space="0" w:color="auto"/>
                    <w:left w:val="none" w:sz="0" w:space="0" w:color="auto"/>
                    <w:bottom w:val="none" w:sz="0" w:space="0" w:color="auto"/>
                    <w:right w:val="none" w:sz="0" w:space="0" w:color="auto"/>
                  </w:divBdr>
                  <w:divsChild>
                    <w:div w:id="13648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3807">
      <w:bodyDiv w:val="1"/>
      <w:marLeft w:val="0"/>
      <w:marRight w:val="0"/>
      <w:marTop w:val="0"/>
      <w:marBottom w:val="0"/>
      <w:divBdr>
        <w:top w:val="none" w:sz="0" w:space="0" w:color="auto"/>
        <w:left w:val="none" w:sz="0" w:space="0" w:color="auto"/>
        <w:bottom w:val="none" w:sz="0" w:space="0" w:color="auto"/>
        <w:right w:val="none" w:sz="0" w:space="0" w:color="auto"/>
      </w:divBdr>
    </w:div>
    <w:div w:id="1769227738">
      <w:bodyDiv w:val="1"/>
      <w:marLeft w:val="0"/>
      <w:marRight w:val="0"/>
      <w:marTop w:val="0"/>
      <w:marBottom w:val="0"/>
      <w:divBdr>
        <w:top w:val="none" w:sz="0" w:space="0" w:color="auto"/>
        <w:left w:val="none" w:sz="0" w:space="0" w:color="auto"/>
        <w:bottom w:val="none" w:sz="0" w:space="0" w:color="auto"/>
        <w:right w:val="none" w:sz="0" w:space="0" w:color="auto"/>
      </w:divBdr>
    </w:div>
    <w:div w:id="1878857630">
      <w:bodyDiv w:val="1"/>
      <w:marLeft w:val="0"/>
      <w:marRight w:val="0"/>
      <w:marTop w:val="0"/>
      <w:marBottom w:val="0"/>
      <w:divBdr>
        <w:top w:val="none" w:sz="0" w:space="0" w:color="auto"/>
        <w:left w:val="none" w:sz="0" w:space="0" w:color="auto"/>
        <w:bottom w:val="none" w:sz="0" w:space="0" w:color="auto"/>
        <w:right w:val="none" w:sz="0" w:space="0" w:color="auto"/>
      </w:divBdr>
      <w:divsChild>
        <w:div w:id="2066635819">
          <w:marLeft w:val="0"/>
          <w:marRight w:val="0"/>
          <w:marTop w:val="0"/>
          <w:marBottom w:val="0"/>
          <w:divBdr>
            <w:top w:val="none" w:sz="0" w:space="0" w:color="auto"/>
            <w:left w:val="none" w:sz="0" w:space="0" w:color="auto"/>
            <w:bottom w:val="none" w:sz="0" w:space="0" w:color="auto"/>
            <w:right w:val="none" w:sz="0" w:space="0" w:color="auto"/>
          </w:divBdr>
          <w:divsChild>
            <w:div w:id="1822113169">
              <w:marLeft w:val="0"/>
              <w:marRight w:val="0"/>
              <w:marTop w:val="0"/>
              <w:marBottom w:val="0"/>
              <w:divBdr>
                <w:top w:val="none" w:sz="0" w:space="0" w:color="auto"/>
                <w:left w:val="none" w:sz="0" w:space="0" w:color="auto"/>
                <w:bottom w:val="none" w:sz="0" w:space="0" w:color="auto"/>
                <w:right w:val="none" w:sz="0" w:space="0" w:color="auto"/>
              </w:divBdr>
              <w:divsChild>
                <w:div w:id="1580017252">
                  <w:marLeft w:val="0"/>
                  <w:marRight w:val="0"/>
                  <w:marTop w:val="0"/>
                  <w:marBottom w:val="0"/>
                  <w:divBdr>
                    <w:top w:val="none" w:sz="0" w:space="0" w:color="auto"/>
                    <w:left w:val="none" w:sz="0" w:space="0" w:color="auto"/>
                    <w:bottom w:val="none" w:sz="0" w:space="0" w:color="auto"/>
                    <w:right w:val="none" w:sz="0" w:space="0" w:color="auto"/>
                  </w:divBdr>
                  <w:divsChild>
                    <w:div w:id="87317850">
                      <w:marLeft w:val="0"/>
                      <w:marRight w:val="0"/>
                      <w:marTop w:val="0"/>
                      <w:marBottom w:val="0"/>
                      <w:divBdr>
                        <w:top w:val="none" w:sz="0" w:space="0" w:color="auto"/>
                        <w:left w:val="none" w:sz="0" w:space="0" w:color="auto"/>
                        <w:bottom w:val="none" w:sz="0" w:space="0" w:color="auto"/>
                        <w:right w:val="none" w:sz="0" w:space="0" w:color="auto"/>
                      </w:divBdr>
                      <w:divsChild>
                        <w:div w:id="676426737">
                          <w:marLeft w:val="0"/>
                          <w:marRight w:val="0"/>
                          <w:marTop w:val="0"/>
                          <w:marBottom w:val="0"/>
                          <w:divBdr>
                            <w:top w:val="none" w:sz="0" w:space="0" w:color="auto"/>
                            <w:left w:val="none" w:sz="0" w:space="0" w:color="auto"/>
                            <w:bottom w:val="none" w:sz="0" w:space="0" w:color="auto"/>
                            <w:right w:val="none" w:sz="0" w:space="0" w:color="auto"/>
                          </w:divBdr>
                          <w:divsChild>
                            <w:div w:id="1233739447">
                              <w:marLeft w:val="0"/>
                              <w:marRight w:val="0"/>
                              <w:marTop w:val="0"/>
                              <w:marBottom w:val="0"/>
                              <w:divBdr>
                                <w:top w:val="none" w:sz="0" w:space="0" w:color="auto"/>
                                <w:left w:val="none" w:sz="0" w:space="0" w:color="auto"/>
                                <w:bottom w:val="none" w:sz="0" w:space="0" w:color="auto"/>
                                <w:right w:val="none" w:sz="0" w:space="0" w:color="auto"/>
                              </w:divBdr>
                              <w:divsChild>
                                <w:div w:id="1530334024">
                                  <w:marLeft w:val="0"/>
                                  <w:marRight w:val="0"/>
                                  <w:marTop w:val="0"/>
                                  <w:marBottom w:val="0"/>
                                  <w:divBdr>
                                    <w:top w:val="none" w:sz="0" w:space="0" w:color="auto"/>
                                    <w:left w:val="none" w:sz="0" w:space="0" w:color="auto"/>
                                    <w:bottom w:val="none" w:sz="0" w:space="0" w:color="auto"/>
                                    <w:right w:val="none" w:sz="0" w:space="0" w:color="auto"/>
                                  </w:divBdr>
                                  <w:divsChild>
                                    <w:div w:id="481850879">
                                      <w:marLeft w:val="0"/>
                                      <w:marRight w:val="0"/>
                                      <w:marTop w:val="0"/>
                                      <w:marBottom w:val="0"/>
                                      <w:divBdr>
                                        <w:top w:val="none" w:sz="0" w:space="0" w:color="auto"/>
                                        <w:left w:val="none" w:sz="0" w:space="0" w:color="auto"/>
                                        <w:bottom w:val="none" w:sz="0" w:space="0" w:color="auto"/>
                                        <w:right w:val="none" w:sz="0" w:space="0" w:color="auto"/>
                                      </w:divBdr>
                                      <w:divsChild>
                                        <w:div w:id="577445854">
                                          <w:marLeft w:val="0"/>
                                          <w:marRight w:val="0"/>
                                          <w:marTop w:val="0"/>
                                          <w:marBottom w:val="0"/>
                                          <w:divBdr>
                                            <w:top w:val="none" w:sz="0" w:space="0" w:color="auto"/>
                                            <w:left w:val="none" w:sz="0" w:space="0" w:color="auto"/>
                                            <w:bottom w:val="none" w:sz="0" w:space="0" w:color="auto"/>
                                            <w:right w:val="none" w:sz="0" w:space="0" w:color="auto"/>
                                          </w:divBdr>
                                          <w:divsChild>
                                            <w:div w:id="744961095">
                                              <w:marLeft w:val="0"/>
                                              <w:marRight w:val="0"/>
                                              <w:marTop w:val="0"/>
                                              <w:marBottom w:val="495"/>
                                              <w:divBdr>
                                                <w:top w:val="none" w:sz="0" w:space="0" w:color="auto"/>
                                                <w:left w:val="none" w:sz="0" w:space="0" w:color="auto"/>
                                                <w:bottom w:val="none" w:sz="0" w:space="0" w:color="auto"/>
                                                <w:right w:val="none" w:sz="0" w:space="0" w:color="auto"/>
                                              </w:divBdr>
                                              <w:divsChild>
                                                <w:div w:id="123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11454">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16821404">
      <w:bodyDiv w:val="1"/>
      <w:marLeft w:val="0"/>
      <w:marRight w:val="0"/>
      <w:marTop w:val="0"/>
      <w:marBottom w:val="0"/>
      <w:divBdr>
        <w:top w:val="none" w:sz="0" w:space="0" w:color="auto"/>
        <w:left w:val="none" w:sz="0" w:space="0" w:color="auto"/>
        <w:bottom w:val="none" w:sz="0" w:space="0" w:color="auto"/>
        <w:right w:val="none" w:sz="0" w:space="0" w:color="auto"/>
      </w:divBdr>
    </w:div>
    <w:div w:id="1954285546">
      <w:bodyDiv w:val="1"/>
      <w:marLeft w:val="0"/>
      <w:marRight w:val="0"/>
      <w:marTop w:val="0"/>
      <w:marBottom w:val="0"/>
      <w:divBdr>
        <w:top w:val="none" w:sz="0" w:space="0" w:color="auto"/>
        <w:left w:val="none" w:sz="0" w:space="0" w:color="auto"/>
        <w:bottom w:val="none" w:sz="0" w:space="0" w:color="auto"/>
        <w:right w:val="none" w:sz="0" w:space="0" w:color="auto"/>
      </w:divBdr>
      <w:divsChild>
        <w:div w:id="2049136863">
          <w:marLeft w:val="0"/>
          <w:marRight w:val="0"/>
          <w:marTop w:val="0"/>
          <w:marBottom w:val="0"/>
          <w:divBdr>
            <w:top w:val="none" w:sz="0" w:space="0" w:color="auto"/>
            <w:left w:val="none" w:sz="0" w:space="0" w:color="auto"/>
            <w:bottom w:val="none" w:sz="0" w:space="0" w:color="auto"/>
            <w:right w:val="none" w:sz="0" w:space="0" w:color="auto"/>
          </w:divBdr>
        </w:div>
      </w:divsChild>
    </w:div>
    <w:div w:id="1992320910">
      <w:bodyDiv w:val="1"/>
      <w:marLeft w:val="0"/>
      <w:marRight w:val="0"/>
      <w:marTop w:val="0"/>
      <w:marBottom w:val="0"/>
      <w:divBdr>
        <w:top w:val="none" w:sz="0" w:space="0" w:color="auto"/>
        <w:left w:val="none" w:sz="0" w:space="0" w:color="auto"/>
        <w:bottom w:val="none" w:sz="0" w:space="0" w:color="auto"/>
        <w:right w:val="none" w:sz="0" w:space="0" w:color="auto"/>
      </w:divBdr>
      <w:divsChild>
        <w:div w:id="1481115818">
          <w:marLeft w:val="0"/>
          <w:marRight w:val="0"/>
          <w:marTop w:val="0"/>
          <w:marBottom w:val="0"/>
          <w:divBdr>
            <w:top w:val="none" w:sz="0" w:space="0" w:color="auto"/>
            <w:left w:val="none" w:sz="0" w:space="0" w:color="auto"/>
            <w:bottom w:val="none" w:sz="0" w:space="0" w:color="auto"/>
            <w:right w:val="none" w:sz="0" w:space="0" w:color="auto"/>
          </w:divBdr>
          <w:divsChild>
            <w:div w:id="627392052">
              <w:marLeft w:val="0"/>
              <w:marRight w:val="0"/>
              <w:marTop w:val="0"/>
              <w:marBottom w:val="0"/>
              <w:divBdr>
                <w:top w:val="none" w:sz="0" w:space="0" w:color="auto"/>
                <w:left w:val="none" w:sz="0" w:space="0" w:color="auto"/>
                <w:bottom w:val="none" w:sz="0" w:space="0" w:color="auto"/>
                <w:right w:val="none" w:sz="0" w:space="0" w:color="auto"/>
              </w:divBdr>
              <w:divsChild>
                <w:div w:id="512500596">
                  <w:marLeft w:val="0"/>
                  <w:marRight w:val="0"/>
                  <w:marTop w:val="0"/>
                  <w:marBottom w:val="0"/>
                  <w:divBdr>
                    <w:top w:val="none" w:sz="0" w:space="0" w:color="auto"/>
                    <w:left w:val="none" w:sz="0" w:space="0" w:color="auto"/>
                    <w:bottom w:val="none" w:sz="0" w:space="0" w:color="auto"/>
                    <w:right w:val="none" w:sz="0" w:space="0" w:color="auto"/>
                  </w:divBdr>
                  <w:divsChild>
                    <w:div w:id="20484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46199">
      <w:bodyDiv w:val="1"/>
      <w:marLeft w:val="0"/>
      <w:marRight w:val="0"/>
      <w:marTop w:val="0"/>
      <w:marBottom w:val="0"/>
      <w:divBdr>
        <w:top w:val="none" w:sz="0" w:space="0" w:color="auto"/>
        <w:left w:val="none" w:sz="0" w:space="0" w:color="auto"/>
        <w:bottom w:val="none" w:sz="0" w:space="0" w:color="auto"/>
        <w:right w:val="none" w:sz="0" w:space="0" w:color="auto"/>
      </w:divBdr>
    </w:div>
    <w:div w:id="2049211328">
      <w:bodyDiv w:val="1"/>
      <w:marLeft w:val="0"/>
      <w:marRight w:val="0"/>
      <w:marTop w:val="0"/>
      <w:marBottom w:val="0"/>
      <w:divBdr>
        <w:top w:val="none" w:sz="0" w:space="0" w:color="auto"/>
        <w:left w:val="none" w:sz="0" w:space="0" w:color="auto"/>
        <w:bottom w:val="none" w:sz="0" w:space="0" w:color="auto"/>
        <w:right w:val="none" w:sz="0" w:space="0" w:color="auto"/>
      </w:divBdr>
      <w:divsChild>
        <w:div w:id="50738870">
          <w:marLeft w:val="0"/>
          <w:marRight w:val="0"/>
          <w:marTop w:val="0"/>
          <w:marBottom w:val="0"/>
          <w:divBdr>
            <w:top w:val="none" w:sz="0" w:space="0" w:color="auto"/>
            <w:left w:val="none" w:sz="0" w:space="0" w:color="auto"/>
            <w:bottom w:val="none" w:sz="0" w:space="0" w:color="auto"/>
            <w:right w:val="none" w:sz="0" w:space="0" w:color="auto"/>
          </w:divBdr>
          <w:divsChild>
            <w:div w:id="14816941">
              <w:marLeft w:val="0"/>
              <w:marRight w:val="0"/>
              <w:marTop w:val="0"/>
              <w:marBottom w:val="0"/>
              <w:divBdr>
                <w:top w:val="none" w:sz="0" w:space="0" w:color="auto"/>
                <w:left w:val="none" w:sz="0" w:space="0" w:color="auto"/>
                <w:bottom w:val="none" w:sz="0" w:space="0" w:color="auto"/>
                <w:right w:val="none" w:sz="0" w:space="0" w:color="auto"/>
              </w:divBdr>
              <w:divsChild>
                <w:div w:id="1954899425">
                  <w:marLeft w:val="0"/>
                  <w:marRight w:val="0"/>
                  <w:marTop w:val="0"/>
                  <w:marBottom w:val="0"/>
                  <w:divBdr>
                    <w:top w:val="none" w:sz="0" w:space="0" w:color="auto"/>
                    <w:left w:val="none" w:sz="0" w:space="0" w:color="auto"/>
                    <w:bottom w:val="none" w:sz="0" w:space="0" w:color="auto"/>
                    <w:right w:val="none" w:sz="0" w:space="0" w:color="auto"/>
                  </w:divBdr>
                  <w:divsChild>
                    <w:div w:id="1813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90924">
      <w:bodyDiv w:val="1"/>
      <w:marLeft w:val="0"/>
      <w:marRight w:val="0"/>
      <w:marTop w:val="0"/>
      <w:marBottom w:val="0"/>
      <w:divBdr>
        <w:top w:val="none" w:sz="0" w:space="0" w:color="auto"/>
        <w:left w:val="none" w:sz="0" w:space="0" w:color="auto"/>
        <w:bottom w:val="none" w:sz="0" w:space="0" w:color="auto"/>
        <w:right w:val="none" w:sz="0" w:space="0" w:color="auto"/>
      </w:divBdr>
      <w:divsChild>
        <w:div w:id="2070304871">
          <w:marLeft w:val="0"/>
          <w:marRight w:val="0"/>
          <w:marTop w:val="0"/>
          <w:marBottom w:val="0"/>
          <w:divBdr>
            <w:top w:val="none" w:sz="0" w:space="0" w:color="auto"/>
            <w:left w:val="none" w:sz="0" w:space="0" w:color="auto"/>
            <w:bottom w:val="none" w:sz="0" w:space="0" w:color="auto"/>
            <w:right w:val="none" w:sz="0" w:space="0" w:color="auto"/>
          </w:divBdr>
          <w:divsChild>
            <w:div w:id="605239557">
              <w:marLeft w:val="0"/>
              <w:marRight w:val="0"/>
              <w:marTop w:val="0"/>
              <w:marBottom w:val="0"/>
              <w:divBdr>
                <w:top w:val="none" w:sz="0" w:space="0" w:color="auto"/>
                <w:left w:val="none" w:sz="0" w:space="0" w:color="auto"/>
                <w:bottom w:val="none" w:sz="0" w:space="0" w:color="auto"/>
                <w:right w:val="none" w:sz="0" w:space="0" w:color="auto"/>
              </w:divBdr>
              <w:divsChild>
                <w:div w:id="99573511">
                  <w:marLeft w:val="0"/>
                  <w:marRight w:val="0"/>
                  <w:marTop w:val="0"/>
                  <w:marBottom w:val="0"/>
                  <w:divBdr>
                    <w:top w:val="none" w:sz="0" w:space="0" w:color="auto"/>
                    <w:left w:val="none" w:sz="0" w:space="0" w:color="auto"/>
                    <w:bottom w:val="none" w:sz="0" w:space="0" w:color="auto"/>
                    <w:right w:val="none" w:sz="0" w:space="0" w:color="auto"/>
                  </w:divBdr>
                  <w:divsChild>
                    <w:div w:id="621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bslugaprasowa@stat.gov.pl" TargetMode="Externa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190286273717466E-2"/>
          <c:y val="7.9415599086246E-2"/>
          <c:w val="0.87241869031897235"/>
          <c:h val="0.74018304246454636"/>
        </c:manualLayout>
      </c:layout>
      <c:barChart>
        <c:barDir val="col"/>
        <c:grouping val="clustered"/>
        <c:varyColors val="0"/>
        <c:ser>
          <c:idx val="0"/>
          <c:order val="0"/>
          <c:tx>
            <c:strRef>
              <c:f>Sheet1!$A$2</c:f>
              <c:strCache>
                <c:ptCount val="1"/>
                <c:pt idx="0">
                  <c:v>2020</c:v>
                </c:pt>
              </c:strCache>
            </c:strRef>
          </c:tx>
          <c:spPr>
            <a:solidFill>
              <a:srgbClr val="99A5C9"/>
            </a:solidFill>
            <a:ln w="12717">
              <a:noFill/>
              <a:prstDash val="solid"/>
            </a:ln>
          </c:spPr>
          <c:invertIfNegative val="0"/>
          <c:dPt>
            <c:idx val="0"/>
            <c:invertIfNegative val="0"/>
            <c:bubble3D val="0"/>
            <c:extLst>
              <c:ext xmlns:c16="http://schemas.microsoft.com/office/drawing/2014/chart" uri="{C3380CC4-5D6E-409C-BE32-E72D297353CC}">
                <c16:uniqueId val="{00000000-02C7-4846-A73B-45A91B8522AE}"/>
              </c:ext>
            </c:extLst>
          </c:dPt>
          <c:dPt>
            <c:idx val="1"/>
            <c:invertIfNegative val="0"/>
            <c:bubble3D val="0"/>
            <c:extLst>
              <c:ext xmlns:c16="http://schemas.microsoft.com/office/drawing/2014/chart" uri="{C3380CC4-5D6E-409C-BE32-E72D297353CC}">
                <c16:uniqueId val="{00000001-02C7-4846-A73B-45A91B8522AE}"/>
              </c:ext>
            </c:extLst>
          </c:dPt>
          <c:dPt>
            <c:idx val="2"/>
            <c:invertIfNegative val="0"/>
            <c:bubble3D val="0"/>
            <c:extLst>
              <c:ext xmlns:c16="http://schemas.microsoft.com/office/drawing/2014/chart" uri="{C3380CC4-5D6E-409C-BE32-E72D297353CC}">
                <c16:uniqueId val="{00000002-02C7-4846-A73B-45A91B8522AE}"/>
              </c:ext>
            </c:extLst>
          </c:dPt>
          <c:dPt>
            <c:idx val="3"/>
            <c:invertIfNegative val="0"/>
            <c:bubble3D val="0"/>
            <c:extLst>
              <c:ext xmlns:c16="http://schemas.microsoft.com/office/drawing/2014/chart" uri="{C3380CC4-5D6E-409C-BE32-E72D297353CC}">
                <c16:uniqueId val="{00000003-02C7-4846-A73B-45A91B8522AE}"/>
              </c:ext>
            </c:extLst>
          </c:dPt>
          <c:dLbls>
            <c:dLbl>
              <c:idx val="0"/>
              <c:layout>
                <c:manualLayout>
                  <c:x val="0"/>
                  <c:y val="1.693766937669376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2C7-4846-A73B-45A91B8522AE}"/>
                </c:ext>
              </c:extLst>
            </c:dLbl>
            <c:dLbl>
              <c:idx val="1"/>
              <c:layout>
                <c:manualLayout>
                  <c:x val="0"/>
                  <c:y val="1.2703252032520325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2C7-4846-A73B-45A91B8522AE}"/>
                </c:ext>
              </c:extLst>
            </c:dLbl>
            <c:dLbl>
              <c:idx val="2"/>
              <c:layout>
                <c:manualLayout>
                  <c:x val="0"/>
                  <c:y val="2.1172086720867209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02C7-4846-A73B-45A91B8522AE}"/>
                </c:ext>
              </c:extLst>
            </c:dLbl>
            <c:dLbl>
              <c:idx val="3"/>
              <c:layout>
                <c:manualLayout>
                  <c:x val="2.469575126128202E-3"/>
                  <c:y val="2.1172086720867209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2C7-4846-A73B-45A91B8522AE}"/>
                </c:ext>
              </c:extLst>
            </c:dLbl>
            <c:spPr>
              <a:noFill/>
              <a:ln>
                <a:noFill/>
              </a:ln>
              <a:effectLst/>
            </c:spPr>
            <c:txPr>
              <a:bodyPr/>
              <a:lstStyle/>
              <a:p>
                <a:pPr>
                  <a:defRPr sz="700"/>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Sheet1!$B$1:$E$1</c:f>
              <c:strCache>
                <c:ptCount val="4"/>
                <c:pt idx="0">
                  <c:v>Recourse factoring</c:v>
                </c:pt>
                <c:pt idx="1">
                  <c:v>Non recourse factoring</c:v>
                </c:pt>
                <c:pt idx="2">
                  <c:v>Reverse factoring</c:v>
                </c:pt>
                <c:pt idx="3">
                  <c:v>Mixed factoring</c:v>
                </c:pt>
              </c:strCache>
            </c:strRef>
          </c:cat>
          <c:val>
            <c:numRef>
              <c:f>Sheet1!$B$2:$E$2</c:f>
              <c:numCache>
                <c:formatCode>#,##0</c:formatCode>
                <c:ptCount val="4"/>
                <c:pt idx="0">
                  <c:v>67762</c:v>
                </c:pt>
                <c:pt idx="1">
                  <c:v>125070</c:v>
                </c:pt>
                <c:pt idx="2">
                  <c:v>60012</c:v>
                </c:pt>
                <c:pt idx="3">
                  <c:v>6958</c:v>
                </c:pt>
              </c:numCache>
            </c:numRef>
          </c:val>
          <c:extLst>
            <c:ext xmlns:c16="http://schemas.microsoft.com/office/drawing/2014/chart" uri="{C3380CC4-5D6E-409C-BE32-E72D297353CC}">
              <c16:uniqueId val="{00000004-02C7-4846-A73B-45A91B8522AE}"/>
            </c:ext>
          </c:extLst>
        </c:ser>
        <c:ser>
          <c:idx val="1"/>
          <c:order val="1"/>
          <c:tx>
            <c:strRef>
              <c:f>Sheet1!$A$3</c:f>
              <c:strCache>
                <c:ptCount val="1"/>
                <c:pt idx="0">
                  <c:v>2021</c:v>
                </c:pt>
              </c:strCache>
            </c:strRef>
          </c:tx>
          <c:spPr>
            <a:solidFill>
              <a:srgbClr val="334A92"/>
            </a:solidFill>
            <a:ln w="12717">
              <a:noFill/>
              <a:prstDash val="solid"/>
            </a:ln>
          </c:spPr>
          <c:invertIfNegative val="0"/>
          <c:dLbls>
            <c:dLbl>
              <c:idx val="0"/>
              <c:layout>
                <c:manualLayout>
                  <c:x val="0"/>
                  <c:y val="1.6937669376693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C7-4846-A73B-45A91B8522AE}"/>
                </c:ext>
              </c:extLst>
            </c:dLbl>
            <c:dLbl>
              <c:idx val="1"/>
              <c:layout>
                <c:manualLayout>
                  <c:x val="2.469575126128202E-3"/>
                  <c:y val="1.6937669376693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C7-4846-A73B-45A91B8522AE}"/>
                </c:ext>
              </c:extLst>
            </c:dLbl>
            <c:dLbl>
              <c:idx val="2"/>
              <c:layout>
                <c:manualLayout>
                  <c:x val="0"/>
                  <c:y val="1.6937669376693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C7-4846-A73B-45A91B8522AE}"/>
                </c:ext>
              </c:extLst>
            </c:dLbl>
            <c:dLbl>
              <c:idx val="3"/>
              <c:layout>
                <c:manualLayout>
                  <c:x val="0"/>
                  <c:y val="8.46883468834688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C7-4846-A73B-45A91B8522AE}"/>
                </c:ext>
              </c:extLst>
            </c:dLbl>
            <c:spPr>
              <a:noFill/>
              <a:ln>
                <a:noFill/>
              </a:ln>
              <a:effectLst/>
            </c:spPr>
            <c:txPr>
              <a:bodyPr/>
              <a:lstStyle/>
              <a:p>
                <a:pPr>
                  <a:defRPr sz="7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Recourse factoring</c:v>
                </c:pt>
                <c:pt idx="1">
                  <c:v>Non recourse factoring</c:v>
                </c:pt>
                <c:pt idx="2">
                  <c:v>Reverse factoring</c:v>
                </c:pt>
                <c:pt idx="3">
                  <c:v>Mixed factoring</c:v>
                </c:pt>
              </c:strCache>
            </c:strRef>
          </c:cat>
          <c:val>
            <c:numRef>
              <c:f>Sheet1!$B$3:$E$3</c:f>
              <c:numCache>
                <c:formatCode>#,##0</c:formatCode>
                <c:ptCount val="4"/>
                <c:pt idx="0">
                  <c:v>82505</c:v>
                </c:pt>
                <c:pt idx="1">
                  <c:v>172680</c:v>
                </c:pt>
                <c:pt idx="2">
                  <c:v>67558</c:v>
                </c:pt>
                <c:pt idx="3">
                  <c:v>11399</c:v>
                </c:pt>
              </c:numCache>
            </c:numRef>
          </c:val>
          <c:extLst>
            <c:ext xmlns:c16="http://schemas.microsoft.com/office/drawing/2014/chart" uri="{C3380CC4-5D6E-409C-BE32-E72D297353CC}">
              <c16:uniqueId val="{00000009-02C7-4846-A73B-45A91B8522AE}"/>
            </c:ext>
          </c:extLst>
        </c:ser>
        <c:dLbls>
          <c:showLegendKey val="0"/>
          <c:showVal val="0"/>
          <c:showCatName val="0"/>
          <c:showSerName val="0"/>
          <c:showPercent val="0"/>
          <c:showBubbleSize val="0"/>
        </c:dLbls>
        <c:gapWidth val="150"/>
        <c:overlap val="-17"/>
        <c:axId val="754588976"/>
        <c:axId val="754591152"/>
      </c:barChart>
      <c:catAx>
        <c:axId val="754588976"/>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700" baseline="0"/>
            </a:pPr>
            <a:endParaRPr lang="pl-PL"/>
          </a:p>
        </c:txPr>
        <c:crossAx val="754591152"/>
        <c:crosses val="autoZero"/>
        <c:auto val="1"/>
        <c:lblAlgn val="ctr"/>
        <c:lblOffset val="100"/>
        <c:tickLblSkip val="1"/>
        <c:tickMarkSkip val="1"/>
        <c:noMultiLvlLbl val="0"/>
      </c:catAx>
      <c:valAx>
        <c:axId val="754591152"/>
        <c:scaling>
          <c:orientation val="minMax"/>
        </c:scaling>
        <c:delete val="1"/>
        <c:axPos val="l"/>
        <c:majorGridlines>
          <c:spPr>
            <a:ln w="3179">
              <a:solidFill>
                <a:srgbClr val="000000">
                  <a:alpha val="31000"/>
                </a:srgbClr>
              </a:solidFill>
              <a:prstDash val="solid"/>
            </a:ln>
          </c:spPr>
        </c:majorGridlines>
        <c:title>
          <c:tx>
            <c:rich>
              <a:bodyPr rot="0" vert="horz"/>
              <a:lstStyle/>
              <a:p>
                <a:pPr>
                  <a:defRPr sz="700"/>
                </a:pPr>
                <a:r>
                  <a:rPr lang="pl-PL" sz="700"/>
                  <a:t>million</a:t>
                </a:r>
                <a:r>
                  <a:rPr lang="pl-PL" sz="700" baseline="0"/>
                  <a:t> PLN</a:t>
                </a:r>
                <a:endParaRPr lang="pl-PL" sz="700"/>
              </a:p>
            </c:rich>
          </c:tx>
          <c:layout>
            <c:manualLayout>
              <c:xMode val="edge"/>
              <c:yMode val="edge"/>
              <c:x val="4.876540860060765E-2"/>
              <c:y val="2.6468407708335081E-2"/>
            </c:manualLayout>
          </c:layout>
          <c:overlay val="0"/>
        </c:title>
        <c:numFmt formatCode="#,##0" sourceLinked="0"/>
        <c:majorTickMark val="out"/>
        <c:minorTickMark val="none"/>
        <c:tickLblPos val="nextTo"/>
        <c:crossAx val="754588976"/>
        <c:crosses val="autoZero"/>
        <c:crossBetween val="between"/>
        <c:majorUnit val="20000"/>
      </c:valAx>
      <c:spPr>
        <a:ln>
          <a:noFill/>
        </a:ln>
      </c:spPr>
    </c:plotArea>
    <c:legend>
      <c:legendPos val="b"/>
      <c:layout>
        <c:manualLayout>
          <c:xMode val="edge"/>
          <c:yMode val="edge"/>
          <c:x val="0.4085330295773334"/>
          <c:y val="0.91788868321001671"/>
          <c:w val="0.26470588235294118"/>
          <c:h val="6.3490860567910271E-2"/>
        </c:manualLayout>
      </c:layout>
      <c:overlay val="0"/>
      <c:spPr>
        <a:noFill/>
        <a:ln w="3179">
          <a:solidFill>
            <a:srgbClr val="000000"/>
          </a:solidFill>
          <a:prstDash val="solid"/>
        </a:ln>
      </c:spPr>
      <c:txPr>
        <a:bodyPr/>
        <a:lstStyle/>
        <a:p>
          <a:pPr>
            <a:defRPr sz="700"/>
          </a:pPr>
          <a:endParaRPr lang="pl-PL"/>
        </a:p>
      </c:txPr>
    </c:legend>
    <c:plotVisOnly val="1"/>
    <c:dispBlanksAs val="gap"/>
    <c:showDLblsOverMax val="0"/>
  </c:chart>
  <c:spPr>
    <a:noFill/>
    <a:ln>
      <a:noFill/>
    </a:ln>
  </c:spPr>
  <c:txPr>
    <a:bodyPr/>
    <a:lstStyle/>
    <a:p>
      <a:pPr>
        <a:defRPr sz="800" b="0" i="0" u="none" strike="noStrike" baseline="0">
          <a:solidFill>
            <a:srgbClr val="000000"/>
          </a:solidFill>
          <a:latin typeface="Fira Sans" panose="020B0503050000020004" pitchFamily="34" charset="0"/>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FBEB7090D5ED8B4AADA9FC396769AC9B" ma:contentTypeVersion="" ma:contentTypeDescription="" ma:contentTypeScope="" ma:versionID="6bc347668491c2bd9b5b9ebe793d10d9">
  <xsd:schema xmlns:xsd="http://www.w3.org/2001/XMLSchema" xmlns:xs="http://www.w3.org/2001/XMLSchema" xmlns:p="http://schemas.microsoft.com/office/2006/metadata/properties" xmlns:ns1="http://schemas.microsoft.com/sharepoint/v3" xmlns:ns2="9070EBFB-EDD5-4A8B-ADA9-FC396769AC9B" targetNamespace="http://schemas.microsoft.com/office/2006/metadata/properties" ma:root="true" ma:fieldsID="14bc6af8e0d4c36dc6f6478fae101c15" ns1:_="" ns2:_="">
    <xsd:import namespace="http://schemas.microsoft.com/sharepoint/v3"/>
    <xsd:import namespace="9070EBFB-EDD5-4A8B-ADA9-FC396769AC9B"/>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70EBFB-EDD5-4A8B-ADA9-FC396769AC9B"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0x00FBEB7090D5ED8B4AADA9FC396769AC9B</ContentTypeId>
    <TemplateUrl xmlns="http://schemas.microsoft.com/sharepoint/v3" xsi:nil="true"/>
    <Odbiorcy2 xmlns="9070EBFB-EDD5-4A8B-ADA9-FC396769AC9B" xsi:nil="true"/>
    <Osoba xmlns="9070EBFB-EDD5-4A8B-ADA9-FC396769AC9B">STAT\KARCZMARSKIJ</Osoba>
    <_SourceUrl xmlns="http://schemas.microsoft.com/sharepoint/v3" xsi:nil="true"/>
    <NazwaPliku xmlns="9070EBFB-EDD5-4A8B-ADA9-FC396769AC9B">Informacja sygnalna_szablon 2019 EN GUS.DOCX.DOCX</NazwaPliku>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F4AF-CEC3-4F3E-9B67-F13E946A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70EBFB-EDD5-4A8B-ADA9-FC396769A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BBAB6-5F41-42A6-ABC0-F18899749704}">
  <ds:schemaRefs>
    <ds:schemaRef ds:uri="http://schemas.microsoft.com/office/2006/metadata/properties"/>
    <ds:schemaRef ds:uri="http://schemas.microsoft.com/office/infopath/2007/PartnerControls"/>
    <ds:schemaRef ds:uri="http://schemas.microsoft.com/sharepoint/v3"/>
    <ds:schemaRef ds:uri="9070EBFB-EDD5-4A8B-ADA9-FC396769AC9B"/>
  </ds:schemaRefs>
</ds:datastoreItem>
</file>

<file path=customXml/itemProps3.xml><?xml version="1.0" encoding="utf-8"?>
<ds:datastoreItem xmlns:ds="http://schemas.openxmlformats.org/officeDocument/2006/customXml" ds:itemID="{4B5EC32E-2E10-4D63-ABBC-4B3F5FAB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2017-11-07T13:05:00Z</cp:lastPrinted>
  <dcterms:created xsi:type="dcterms:W3CDTF">2022-07-01T13:08:00Z</dcterms:created>
  <dcterms:modified xsi:type="dcterms:W3CDTF">2022-07-04T09:52:00Z</dcterms:modified>
</cp:coreProperties>
</file>