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56" w:rsidRPr="009E7E5D" w:rsidRDefault="000C1856" w:rsidP="000C1856">
      <w:pPr>
        <w:spacing w:after="0" w:line="240" w:lineRule="auto"/>
        <w:rPr>
          <w:rFonts w:ascii="Fira Sans Extra Condensed" w:eastAsia="Times New Roman" w:hAnsi="Fira Sans Extra Condensed" w:cs="Times New Roman"/>
          <w:b/>
          <w:sz w:val="40"/>
          <w:szCs w:val="40"/>
          <w:lang w:val="en-US" w:eastAsia="pl-PL"/>
        </w:rPr>
      </w:pPr>
      <w:r w:rsidRPr="009E7E5D">
        <w:rPr>
          <w:rFonts w:ascii="Fira Sans Extra Condensed" w:eastAsia="Times New Roman" w:hAnsi="Fira Sans Extra Condensed" w:cs="Times New Roman"/>
          <w:b/>
          <w:sz w:val="40"/>
          <w:szCs w:val="40"/>
          <w:lang w:val="en-US" w:eastAsia="pl-PL"/>
        </w:rPr>
        <w:t xml:space="preserve">Financial results of investment fund companies        in </w:t>
      </w:r>
      <w:r w:rsidR="00BD49AB">
        <w:rPr>
          <w:rFonts w:ascii="Fira Sans Extra Condensed" w:eastAsia="Times New Roman" w:hAnsi="Fira Sans Extra Condensed" w:cs="Times New Roman"/>
          <w:b/>
          <w:sz w:val="40"/>
          <w:szCs w:val="40"/>
          <w:lang w:val="en-US" w:eastAsia="pl-PL"/>
        </w:rPr>
        <w:t xml:space="preserve">the first </w:t>
      </w:r>
      <w:r w:rsidR="00BD49AB" w:rsidRPr="00630D03">
        <w:rPr>
          <w:rFonts w:ascii="Fira Sans Extra Condensed" w:eastAsia="Times New Roman" w:hAnsi="Fira Sans Extra Condensed" w:cs="Times New Roman"/>
          <w:b/>
          <w:sz w:val="40"/>
          <w:szCs w:val="40"/>
          <w:lang w:val="en-US" w:eastAsia="pl-PL"/>
        </w:rPr>
        <w:t>half of 2021</w:t>
      </w:r>
    </w:p>
    <w:p w:rsidR="0098135C" w:rsidRPr="000744E8" w:rsidRDefault="0098135C" w:rsidP="00074DD8">
      <w:pPr>
        <w:pStyle w:val="tytuinformacji"/>
        <w:rPr>
          <w:shd w:val="clear" w:color="auto" w:fill="FFFFFF"/>
          <w:lang w:val="en-US"/>
        </w:rPr>
      </w:pPr>
    </w:p>
    <w:p w:rsidR="00393761" w:rsidRPr="000744E8" w:rsidRDefault="009F7A89" w:rsidP="00074DD8">
      <w:pPr>
        <w:pStyle w:val="tytuinformacji"/>
        <w:rPr>
          <w:sz w:val="32"/>
          <w:lang w:val="en-US"/>
        </w:rPr>
      </w:pPr>
      <w:r>
        <w:rPr>
          <w:rFonts w:ascii="Fira Sans" w:hAnsi="Fira Sans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269240</wp:posOffset>
                </wp:positionV>
                <wp:extent cx="1725295" cy="959485"/>
                <wp:effectExtent l="0" t="0" r="0" b="0"/>
                <wp:wrapTight wrapText="bothSides">
                  <wp:wrapPolygon edited="0">
                    <wp:start x="715" y="0"/>
                    <wp:lineTo x="715" y="21014"/>
                    <wp:lineTo x="20749" y="21014"/>
                    <wp:lineTo x="20749" y="0"/>
                    <wp:lineTo x="715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5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7C" w:rsidRPr="009E7E5D" w:rsidRDefault="00181205" w:rsidP="006C567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TFI’s gross</w:t>
                            </w:r>
                            <w:r w:rsidR="008D145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profit in</w:t>
                            </w:r>
                            <w:r w:rsidR="006C56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A19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first half of 2021</w:t>
                            </w:r>
                            <w:r w:rsidR="006C56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</w:t>
                            </w:r>
                            <w:r w:rsidR="00080E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ed to PLN 0.4</w:t>
                            </w:r>
                            <w:r w:rsidR="006C56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bil</w:t>
                            </w:r>
                            <w:r w:rsidR="006C567C" w:rsidRPr="009E7E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lion.</w:t>
                            </w:r>
                          </w:p>
                          <w:p w:rsidR="00345A97" w:rsidRPr="000744E8" w:rsidRDefault="00345A97" w:rsidP="00345A9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744E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D616D2" w:rsidRPr="000744E8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15pt;margin-top:21.2pt;width:135.85pt;height:75.5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" filled="f" stroked="f">
                <v:textbox>
                  <w:txbxContent>
                    <w:p w:rsidR="006C567C" w:rsidRPr="009E7E5D" w:rsidRDefault="00181205" w:rsidP="006C567C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TFI’s gross</w:t>
                      </w:r>
                      <w:r w:rsidR="008D145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profit in</w:t>
                      </w:r>
                      <w:r w:rsidR="006C56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A19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first half of 2021</w:t>
                      </w:r>
                      <w:r w:rsidR="006C56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</w:t>
                      </w:r>
                      <w:r w:rsidR="00080E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ed to PLN 0.4</w:t>
                      </w:r>
                      <w:r w:rsidR="006C56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bil</w:t>
                      </w:r>
                      <w:r w:rsidR="006C567C" w:rsidRPr="009E7E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lion.</w:t>
                      </w:r>
                    </w:p>
                    <w:p w:rsidR="00345A97" w:rsidRPr="000744E8" w:rsidRDefault="00345A97" w:rsidP="00345A9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744E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  <w:p w:rsidR="00D616D2" w:rsidRPr="000744E8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3437" w:rsidRPr="000744E8" w:rsidRDefault="009F7A89" w:rsidP="00D33CF4">
      <w:pPr>
        <w:pStyle w:val="LID"/>
        <w:rPr>
          <w:bCs/>
          <w:lang w:val="en-US"/>
        </w:rPr>
      </w:pPr>
      <w:r w:rsidRPr="00630D03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1828800" cy="109410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41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9F7A89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9C1AF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1D273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C1AF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26272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33EC1" w:rsidRPr="000744E8" w:rsidRDefault="00262720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0744E8">
                              <w:rPr>
                                <w:lang w:val="en-US"/>
                              </w:rPr>
                              <w:t>Increase in assets of investment fund companies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pt;width:2in;height:86.1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" fillcolor="#001d77" stroked="f">
                <v:textbox>
                  <w:txbxContent>
                    <w:p w:rsidR="00933EC1" w:rsidRPr="00B66B19" w:rsidRDefault="009F7A89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9C1AF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1D273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C1AF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26272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33EC1" w:rsidRPr="000744E8" w:rsidRDefault="00262720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0744E8">
                        <w:rPr>
                          <w:lang w:val="en-US"/>
                        </w:rPr>
                        <w:t>Increase in assets of investment fund companies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720" w:rsidRPr="00630D03">
        <w:rPr>
          <w:bCs/>
          <w:lang w:val="en-US"/>
        </w:rPr>
        <w:t>The value of total assets acum</w:t>
      </w:r>
      <w:r w:rsidR="00134BC5">
        <w:rPr>
          <w:bCs/>
          <w:lang w:val="en-US"/>
        </w:rPr>
        <w:t>ulated by investment fund compan</w:t>
      </w:r>
      <w:r w:rsidR="00262720" w:rsidRPr="00630D03">
        <w:rPr>
          <w:bCs/>
          <w:lang w:val="en-US"/>
        </w:rPr>
        <w:t>ies</w:t>
      </w:r>
      <w:r w:rsidR="00712DC6" w:rsidRPr="00630D03">
        <w:rPr>
          <w:bCs/>
          <w:lang w:val="en-US"/>
        </w:rPr>
        <w:t xml:space="preserve"> </w:t>
      </w:r>
      <w:r w:rsidR="0019325A" w:rsidRPr="00630D03">
        <w:rPr>
          <w:bCs/>
          <w:lang w:val="en-US"/>
        </w:rPr>
        <w:t>at</w:t>
      </w:r>
      <w:r w:rsidR="00595AEC" w:rsidRPr="00630D03">
        <w:rPr>
          <w:bCs/>
          <w:lang w:val="en-US"/>
        </w:rPr>
        <w:t xml:space="preserve"> the </w:t>
      </w:r>
      <w:r w:rsidR="0019325A" w:rsidRPr="00630D03">
        <w:rPr>
          <w:bCs/>
          <w:lang w:val="en-US"/>
        </w:rPr>
        <w:t xml:space="preserve">end of </w:t>
      </w:r>
      <w:r w:rsidR="002C2759" w:rsidRPr="00630D03">
        <w:rPr>
          <w:bCs/>
          <w:lang w:val="en-US"/>
        </w:rPr>
        <w:t>first half of 2021</w:t>
      </w:r>
      <w:r w:rsidR="00595AEC" w:rsidRPr="00630D03">
        <w:rPr>
          <w:bCs/>
          <w:lang w:val="en-US"/>
        </w:rPr>
        <w:t xml:space="preserve"> amounted to PL</w:t>
      </w:r>
      <w:r w:rsidR="002C2759" w:rsidRPr="00630D03">
        <w:rPr>
          <w:bCs/>
          <w:lang w:val="en-US"/>
        </w:rPr>
        <w:t>N 2.7</w:t>
      </w:r>
      <w:r w:rsidR="004D2C09" w:rsidRPr="00630D03">
        <w:rPr>
          <w:bCs/>
          <w:lang w:val="en-US"/>
        </w:rPr>
        <w:t xml:space="preserve"> billion (</w:t>
      </w:r>
      <w:r w:rsidR="008F3019" w:rsidRPr="00630D03">
        <w:rPr>
          <w:bCs/>
          <w:lang w:val="en-US"/>
        </w:rPr>
        <w:t>increase of 2.</w:t>
      </w:r>
      <w:r w:rsidR="00595AEC" w:rsidRPr="00630D03">
        <w:rPr>
          <w:bCs/>
          <w:lang w:val="en-US"/>
        </w:rPr>
        <w:t>4</w:t>
      </w:r>
      <w:r w:rsidR="00262720" w:rsidRPr="00630D03">
        <w:rPr>
          <w:bCs/>
          <w:lang w:val="en-US"/>
        </w:rPr>
        <w:t xml:space="preserve">% compared to the </w:t>
      </w:r>
      <w:r w:rsidR="002C2759" w:rsidRPr="00630D03">
        <w:rPr>
          <w:bCs/>
          <w:lang w:val="en-US"/>
        </w:rPr>
        <w:t>firsthalf of 2020</w:t>
      </w:r>
      <w:r w:rsidR="00262720" w:rsidRPr="00630D03">
        <w:rPr>
          <w:bCs/>
          <w:lang w:val="en-US"/>
        </w:rPr>
        <w:t>).</w:t>
      </w:r>
    </w:p>
    <w:p w:rsidR="00D33CF4" w:rsidRPr="000744E8" w:rsidRDefault="00D33CF4" w:rsidP="00074DD8">
      <w:pPr>
        <w:pStyle w:val="Nagwek1"/>
        <w:rPr>
          <w:shd w:val="clear" w:color="auto" w:fill="FFFFFF"/>
          <w:lang w:val="en-US"/>
        </w:rPr>
      </w:pPr>
    </w:p>
    <w:p w:rsidR="00D33CF4" w:rsidRPr="000744E8" w:rsidRDefault="00D33CF4" w:rsidP="00074DD8">
      <w:pPr>
        <w:pStyle w:val="Nagwek1"/>
        <w:rPr>
          <w:shd w:val="clear" w:color="auto" w:fill="FFFFFF"/>
          <w:lang w:val="en-US"/>
        </w:rPr>
      </w:pPr>
    </w:p>
    <w:p w:rsidR="00C22105" w:rsidRPr="000744E8" w:rsidRDefault="00C22105" w:rsidP="00074DD8">
      <w:pPr>
        <w:pStyle w:val="Nagwek1"/>
        <w:rPr>
          <w:lang w:val="en-US"/>
        </w:rPr>
      </w:pPr>
    </w:p>
    <w:p w:rsidR="00E64FC0" w:rsidRDefault="00BB7C0E" w:rsidP="00E64FC0">
      <w:pPr>
        <w:pStyle w:val="LID"/>
        <w:spacing w:after="20"/>
        <w:jc w:val="both"/>
        <w:rPr>
          <w:b w:val="0"/>
          <w:noProof w:val="0"/>
          <w:szCs w:val="22"/>
          <w:lang w:val="en-US"/>
        </w:rPr>
      </w:pPr>
      <w:r w:rsidRPr="0075282B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391160</wp:posOffset>
                </wp:positionV>
                <wp:extent cx="1767840" cy="1133475"/>
                <wp:effectExtent l="0" t="0" r="0" b="0"/>
                <wp:wrapTight wrapText="bothSides">
                  <wp:wrapPolygon edited="0">
                    <wp:start x="698" y="0"/>
                    <wp:lineTo x="698" y="21055"/>
                    <wp:lineTo x="20716" y="21055"/>
                    <wp:lineTo x="20716" y="0"/>
                    <wp:lineTo x="698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9C" w:rsidRPr="009E7E5D" w:rsidRDefault="00BB7C0E" w:rsidP="007C659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TFI’s total assets amounted to PLN 2.7 billion.</w:t>
                            </w:r>
                          </w:p>
                          <w:p w:rsidR="007C659C" w:rsidRPr="009E7E5D" w:rsidRDefault="007C659C" w:rsidP="007C659C">
                            <w:pPr>
                              <w:spacing w:after="0"/>
                              <w:rPr>
                                <w:rFonts w:eastAsia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28" type="#_x0000_t202" style="position:absolute;left:0;text-align:left;margin-left:456pt;margin-top:30.8pt;width:139.2pt;height:89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" filled="f" stroked="f">
                <v:textbox>
                  <w:txbxContent>
                    <w:p w:rsidR="007C659C" w:rsidRPr="009E7E5D" w:rsidRDefault="00BB7C0E" w:rsidP="007C659C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TFI’s total assets amounted to PLN 2.7 billion.</w:t>
                      </w:r>
                    </w:p>
                    <w:p w:rsidR="007C659C" w:rsidRPr="009E7E5D" w:rsidRDefault="007C659C" w:rsidP="007C659C">
                      <w:pPr>
                        <w:spacing w:after="0"/>
                        <w:rPr>
                          <w:rFonts w:eastAsia="Times New Roman" w:cs="Times New Roman"/>
                          <w:color w:val="2F5496" w:themeColor="accent5" w:themeShade="BF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34EF7" w:rsidRPr="0075282B">
        <w:rPr>
          <w:b w:val="0"/>
          <w:noProof w:val="0"/>
          <w:szCs w:val="22"/>
          <w:lang w:val="en-US"/>
        </w:rPr>
        <w:t>At the end of June 2021</w:t>
      </w:r>
      <w:r w:rsidR="00E64FC0" w:rsidRPr="0075282B">
        <w:rPr>
          <w:b w:val="0"/>
          <w:noProof w:val="0"/>
          <w:szCs w:val="22"/>
          <w:lang w:val="en-US"/>
        </w:rPr>
        <w:t xml:space="preserve">, </w:t>
      </w:r>
      <w:r w:rsidR="00615E5C" w:rsidRPr="0075282B">
        <w:rPr>
          <w:b w:val="0"/>
          <w:noProof w:val="0"/>
          <w:szCs w:val="22"/>
          <w:lang w:val="en-US"/>
        </w:rPr>
        <w:t>there were 56</w:t>
      </w:r>
      <w:r w:rsidR="00E64FC0" w:rsidRPr="0075282B">
        <w:rPr>
          <w:b w:val="0"/>
          <w:noProof w:val="0"/>
          <w:szCs w:val="22"/>
          <w:lang w:val="en-US"/>
        </w:rPr>
        <w:t xml:space="preserve"> investme</w:t>
      </w:r>
      <w:r w:rsidR="00007C47">
        <w:rPr>
          <w:b w:val="0"/>
          <w:noProof w:val="0"/>
          <w:szCs w:val="22"/>
          <w:lang w:val="en-US"/>
        </w:rPr>
        <w:t>nt fund compan</w:t>
      </w:r>
      <w:r w:rsidR="00615E5C" w:rsidRPr="0075282B">
        <w:rPr>
          <w:b w:val="0"/>
          <w:noProof w:val="0"/>
          <w:szCs w:val="22"/>
          <w:lang w:val="en-US"/>
        </w:rPr>
        <w:t>ies (TFI)</w:t>
      </w:r>
      <w:r w:rsidR="00E64FC0" w:rsidRPr="0075282B">
        <w:rPr>
          <w:b w:val="0"/>
          <w:noProof w:val="0"/>
          <w:szCs w:val="22"/>
          <w:lang w:val="en-US"/>
        </w:rPr>
        <w:t>. They man</w:t>
      </w:r>
      <w:r w:rsidR="00C069DD" w:rsidRPr="0075282B">
        <w:rPr>
          <w:b w:val="0"/>
          <w:noProof w:val="0"/>
          <w:szCs w:val="22"/>
          <w:lang w:val="en-US"/>
        </w:rPr>
        <w:t>aged 761</w:t>
      </w:r>
      <w:r w:rsidR="00E64FC0" w:rsidRPr="0075282B">
        <w:rPr>
          <w:b w:val="0"/>
          <w:noProof w:val="0"/>
          <w:szCs w:val="22"/>
          <w:lang w:val="en-US"/>
        </w:rPr>
        <w:t xml:space="preserve"> investment funds. For comparison, at the end of </w:t>
      </w:r>
      <w:r w:rsidR="00C069DD" w:rsidRPr="0075282B">
        <w:rPr>
          <w:b w:val="0"/>
          <w:noProof w:val="0"/>
          <w:szCs w:val="22"/>
          <w:lang w:val="en-US"/>
        </w:rPr>
        <w:t>June 2020 there were 56</w:t>
      </w:r>
      <w:r w:rsidR="00E64FC0" w:rsidRPr="0075282B">
        <w:rPr>
          <w:b w:val="0"/>
          <w:noProof w:val="0"/>
          <w:szCs w:val="22"/>
          <w:lang w:val="en-US"/>
        </w:rPr>
        <w:t xml:space="preserve"> investment fund societies </w:t>
      </w:r>
      <w:r w:rsidR="00BF1279" w:rsidRPr="0075282B">
        <w:rPr>
          <w:b w:val="0"/>
          <w:noProof w:val="0"/>
          <w:szCs w:val="22"/>
          <w:lang w:val="en-US"/>
        </w:rPr>
        <w:t xml:space="preserve">that managed a total of </w:t>
      </w:r>
      <w:r w:rsidR="00C069DD" w:rsidRPr="0075282B">
        <w:rPr>
          <w:b w:val="0"/>
          <w:noProof w:val="0"/>
          <w:szCs w:val="22"/>
          <w:lang w:val="en-US"/>
        </w:rPr>
        <w:t>78</w:t>
      </w:r>
      <w:r w:rsidR="00BF1279" w:rsidRPr="0075282B">
        <w:rPr>
          <w:b w:val="0"/>
          <w:noProof w:val="0"/>
          <w:szCs w:val="22"/>
          <w:lang w:val="en-US"/>
        </w:rPr>
        <w:t>0</w:t>
      </w:r>
      <w:r w:rsidR="00E64FC0" w:rsidRPr="0075282B">
        <w:rPr>
          <w:b w:val="0"/>
          <w:noProof w:val="0"/>
          <w:szCs w:val="22"/>
          <w:lang w:val="en-US"/>
        </w:rPr>
        <w:t xml:space="preserve"> investment funds.</w:t>
      </w:r>
      <w:r w:rsidR="00E64FC0">
        <w:rPr>
          <w:b w:val="0"/>
          <w:noProof w:val="0"/>
          <w:szCs w:val="22"/>
          <w:lang w:val="en-US"/>
        </w:rPr>
        <w:t xml:space="preserve"> </w:t>
      </w:r>
      <w:r w:rsidR="00BF1279">
        <w:rPr>
          <w:b w:val="0"/>
          <w:noProof w:val="0"/>
          <w:szCs w:val="22"/>
          <w:lang w:val="en-US"/>
        </w:rPr>
        <w:t xml:space="preserve"> </w:t>
      </w:r>
    </w:p>
    <w:p w:rsidR="00E43207" w:rsidRDefault="004918FA" w:rsidP="004918FA">
      <w:pPr>
        <w:pStyle w:val="LID"/>
        <w:spacing w:after="20"/>
        <w:jc w:val="both"/>
        <w:rPr>
          <w:b w:val="0"/>
          <w:noProof w:val="0"/>
          <w:szCs w:val="22"/>
          <w:lang w:val="en-US"/>
        </w:rPr>
      </w:pPr>
      <w:r w:rsidRPr="0075282B">
        <w:rPr>
          <w:b w:val="0"/>
          <w:noProof w:val="0"/>
          <w:szCs w:val="22"/>
          <w:lang w:val="en-US"/>
        </w:rPr>
        <w:t>Assets of investment fund companies amounted to PLN</w:t>
      </w:r>
      <w:r w:rsidR="00D4555F" w:rsidRPr="0075282B">
        <w:rPr>
          <w:b w:val="0"/>
          <w:noProof w:val="0"/>
          <w:szCs w:val="22"/>
          <w:lang w:val="en-US"/>
        </w:rPr>
        <w:t xml:space="preserve"> 2 681.9</w:t>
      </w:r>
      <w:r w:rsidR="00E43207" w:rsidRPr="0075282B">
        <w:rPr>
          <w:b w:val="0"/>
          <w:noProof w:val="0"/>
          <w:szCs w:val="22"/>
          <w:lang w:val="en-US"/>
        </w:rPr>
        <w:t xml:space="preserve"> million (2.4% m</w:t>
      </w:r>
      <w:r w:rsidR="00D4555F" w:rsidRPr="0075282B">
        <w:rPr>
          <w:b w:val="0"/>
          <w:noProof w:val="0"/>
          <w:szCs w:val="22"/>
          <w:lang w:val="en-US"/>
        </w:rPr>
        <w:t>ore than in the end of June 2020</w:t>
      </w:r>
      <w:r w:rsidRPr="0075282B">
        <w:rPr>
          <w:b w:val="0"/>
          <w:noProof w:val="0"/>
          <w:szCs w:val="22"/>
          <w:lang w:val="en-US"/>
        </w:rPr>
        <w:t>), including curre</w:t>
      </w:r>
      <w:r w:rsidR="00E43207" w:rsidRPr="0075282B">
        <w:rPr>
          <w:b w:val="0"/>
          <w:noProof w:val="0"/>
          <w:szCs w:val="22"/>
          <w:lang w:val="en-US"/>
        </w:rPr>
        <w:t>n</w:t>
      </w:r>
      <w:r w:rsidR="00203EC6" w:rsidRPr="0075282B">
        <w:rPr>
          <w:b w:val="0"/>
          <w:noProof w:val="0"/>
          <w:szCs w:val="22"/>
          <w:lang w:val="en-US"/>
        </w:rPr>
        <w:t>t assets which reached PLN 1 995.7</w:t>
      </w:r>
      <w:r w:rsidRPr="0075282B">
        <w:rPr>
          <w:b w:val="0"/>
          <w:noProof w:val="0"/>
          <w:szCs w:val="22"/>
          <w:lang w:val="en-US"/>
        </w:rPr>
        <w:t xml:space="preserve"> million and account</w:t>
      </w:r>
      <w:r w:rsidR="00203EC6" w:rsidRPr="0075282B">
        <w:rPr>
          <w:b w:val="0"/>
          <w:noProof w:val="0"/>
          <w:szCs w:val="22"/>
          <w:lang w:val="en-US"/>
        </w:rPr>
        <w:t>ed for 74.4</w:t>
      </w:r>
      <w:r w:rsidRPr="0075282B">
        <w:rPr>
          <w:b w:val="0"/>
          <w:noProof w:val="0"/>
          <w:szCs w:val="22"/>
          <w:lang w:val="en-US"/>
        </w:rPr>
        <w:t>% of total assets. Current assets mainly consisted of short-term</w:t>
      </w:r>
      <w:r w:rsidR="00124DCF" w:rsidRPr="0075282B">
        <w:rPr>
          <w:b w:val="0"/>
          <w:noProof w:val="0"/>
          <w:szCs w:val="22"/>
          <w:lang w:val="en-US"/>
        </w:rPr>
        <w:t xml:space="preserve"> financial investments, which de</w:t>
      </w:r>
      <w:r w:rsidRPr="0075282B">
        <w:rPr>
          <w:b w:val="0"/>
          <w:noProof w:val="0"/>
          <w:szCs w:val="22"/>
          <w:lang w:val="en-US"/>
        </w:rPr>
        <w:t xml:space="preserve">creased to PLN </w:t>
      </w:r>
      <w:r w:rsidR="00124DCF" w:rsidRPr="0075282B">
        <w:rPr>
          <w:b w:val="0"/>
          <w:noProof w:val="0"/>
          <w:szCs w:val="22"/>
          <w:lang w:val="en-US"/>
        </w:rPr>
        <w:t>1 554.4 million (by 5.7</w:t>
      </w:r>
      <w:r w:rsidRPr="0075282B">
        <w:rPr>
          <w:b w:val="0"/>
          <w:noProof w:val="0"/>
          <w:szCs w:val="22"/>
          <w:lang w:val="en-US"/>
        </w:rPr>
        <w:t>%). Cash and other cash assets had the largest share in the str</w:t>
      </w:r>
      <w:r w:rsidR="00F14C10" w:rsidRPr="0075282B">
        <w:rPr>
          <w:b w:val="0"/>
          <w:noProof w:val="0"/>
          <w:szCs w:val="22"/>
          <w:lang w:val="en-US"/>
        </w:rPr>
        <w:t>ucture of financial assets (73.2</w:t>
      </w:r>
      <w:r w:rsidRPr="0075282B">
        <w:rPr>
          <w:b w:val="0"/>
          <w:noProof w:val="0"/>
          <w:szCs w:val="22"/>
          <w:lang w:val="en-US"/>
        </w:rPr>
        <w:t>%).</w:t>
      </w:r>
      <w:r w:rsidRPr="00D61D36">
        <w:rPr>
          <w:b w:val="0"/>
          <w:noProof w:val="0"/>
          <w:szCs w:val="22"/>
          <w:lang w:val="en-US"/>
        </w:rPr>
        <w:t xml:space="preserve"> </w:t>
      </w:r>
    </w:p>
    <w:p w:rsidR="004918FA" w:rsidRPr="0098775E" w:rsidRDefault="00BB7C0E" w:rsidP="004918FA">
      <w:pPr>
        <w:pStyle w:val="LID"/>
        <w:spacing w:after="20"/>
        <w:jc w:val="both"/>
        <w:rPr>
          <w:b w:val="0"/>
          <w:noProof w:val="0"/>
          <w:szCs w:val="22"/>
          <w:lang w:val="en-US"/>
        </w:rPr>
      </w:pPr>
      <w:r w:rsidRPr="0075282B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311785</wp:posOffset>
                </wp:positionV>
                <wp:extent cx="1725295" cy="1123950"/>
                <wp:effectExtent l="0" t="0" r="0" b="0"/>
                <wp:wrapTight wrapText="bothSides">
                  <wp:wrapPolygon edited="0">
                    <wp:start x="715" y="0"/>
                    <wp:lineTo x="715" y="21234"/>
                    <wp:lineTo x="20749" y="2123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C3" w:rsidRPr="009E7E5D" w:rsidRDefault="00BB7C0E" w:rsidP="00363AC3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TFI’s equity amounted to PLN 2.0 billion.</w:t>
                            </w:r>
                          </w:p>
                          <w:p w:rsidR="00711EEC" w:rsidRPr="000744E8" w:rsidRDefault="00711EEC" w:rsidP="00711EE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11EEC" w:rsidRPr="000744E8" w:rsidRDefault="00711EEC" w:rsidP="00DC02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413.25pt;margin-top:24.55pt;width:135.85pt;height:88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" filled="f" stroked="f">
                <v:textbox>
                  <w:txbxContent>
                    <w:p w:rsidR="00363AC3" w:rsidRPr="009E7E5D" w:rsidRDefault="00BB7C0E" w:rsidP="00363AC3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TFI’s equity amounted to PLN 2.0 billion.</w:t>
                      </w:r>
                    </w:p>
                    <w:p w:rsidR="00711EEC" w:rsidRPr="000744E8" w:rsidRDefault="00711EEC" w:rsidP="00711EE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11EEC" w:rsidRPr="000744E8" w:rsidRDefault="00711EEC" w:rsidP="00DC02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5BA0" w:rsidRPr="0075282B">
        <w:rPr>
          <w:b w:val="0"/>
          <w:noProof w:val="0"/>
          <w:szCs w:val="22"/>
          <w:lang w:val="en-US"/>
        </w:rPr>
        <w:t>In the first half of 2021</w:t>
      </w:r>
      <w:r w:rsidR="00E43207" w:rsidRPr="0075282B">
        <w:rPr>
          <w:b w:val="0"/>
          <w:noProof w:val="0"/>
          <w:szCs w:val="22"/>
          <w:lang w:val="en-US"/>
        </w:rPr>
        <w:t xml:space="preserve"> f</w:t>
      </w:r>
      <w:r w:rsidR="008464E6">
        <w:rPr>
          <w:b w:val="0"/>
          <w:noProof w:val="0"/>
          <w:szCs w:val="22"/>
          <w:lang w:val="en-US"/>
        </w:rPr>
        <w:t>ive investment fund compan</w:t>
      </w:r>
      <w:r w:rsidR="004918FA" w:rsidRPr="0075282B">
        <w:rPr>
          <w:b w:val="0"/>
          <w:noProof w:val="0"/>
          <w:szCs w:val="22"/>
          <w:lang w:val="en-US"/>
        </w:rPr>
        <w:t>ies wit</w:t>
      </w:r>
      <w:r w:rsidR="00315BA0" w:rsidRPr="0075282B">
        <w:rPr>
          <w:b w:val="0"/>
          <w:noProof w:val="0"/>
          <w:szCs w:val="22"/>
          <w:lang w:val="en-US"/>
        </w:rPr>
        <w:t>h the highest assets achieved 33.6</w:t>
      </w:r>
      <w:r w:rsidR="0098775E" w:rsidRPr="0075282B">
        <w:rPr>
          <w:b w:val="0"/>
          <w:noProof w:val="0"/>
          <w:szCs w:val="22"/>
          <w:lang w:val="en-US"/>
        </w:rPr>
        <w:t>% of the total value of assets,</w:t>
      </w:r>
      <w:r w:rsidR="004918FA" w:rsidRPr="0075282B">
        <w:rPr>
          <w:b w:val="0"/>
          <w:noProof w:val="0"/>
          <w:szCs w:val="22"/>
          <w:lang w:val="en-US"/>
        </w:rPr>
        <w:t xml:space="preserve"> </w:t>
      </w:r>
      <w:r w:rsidR="0098775E" w:rsidRPr="0075282B">
        <w:rPr>
          <w:rStyle w:val="jlqj4b"/>
          <w:b w:val="0"/>
          <w:lang w:val="en"/>
        </w:rPr>
        <w:t>while in the first half of 2020 it was 40.3%</w:t>
      </w:r>
      <w:r w:rsidR="0098775E" w:rsidRPr="00A335AC">
        <w:rPr>
          <w:rStyle w:val="jlqj4b"/>
          <w:b w:val="0"/>
          <w:lang w:val="en"/>
        </w:rPr>
        <w:t>.</w:t>
      </w:r>
    </w:p>
    <w:p w:rsidR="006C2CBC" w:rsidRDefault="007C659C" w:rsidP="007C659C">
      <w:pPr>
        <w:spacing w:after="20"/>
        <w:jc w:val="both"/>
        <w:rPr>
          <w:lang w:val="en-US" w:eastAsia="pl-PL"/>
        </w:rPr>
      </w:pPr>
      <w:r w:rsidRPr="00A335AC">
        <w:rPr>
          <w:lang w:val="en-US" w:eastAsia="pl-PL"/>
        </w:rPr>
        <w:t>In the liabi</w:t>
      </w:r>
      <w:r w:rsidR="00065E65">
        <w:rPr>
          <w:lang w:val="en-US" w:eastAsia="pl-PL"/>
        </w:rPr>
        <w:t>lities of investment fund compan</w:t>
      </w:r>
      <w:r w:rsidRPr="00A335AC">
        <w:rPr>
          <w:lang w:val="en-US" w:eastAsia="pl-PL"/>
        </w:rPr>
        <w:t>ies, equi</w:t>
      </w:r>
      <w:r w:rsidR="00E97A12" w:rsidRPr="00A335AC">
        <w:rPr>
          <w:lang w:val="en-US" w:eastAsia="pl-PL"/>
        </w:rPr>
        <w:t>ty (funds) amounted to PLN 1 955.1</w:t>
      </w:r>
      <w:r w:rsidRPr="00A335AC">
        <w:rPr>
          <w:lang w:val="en-US" w:eastAsia="pl-PL"/>
        </w:rPr>
        <w:t xml:space="preserve"> mil</w:t>
      </w:r>
      <w:r w:rsidR="00CA2D22" w:rsidRPr="00A335AC">
        <w:rPr>
          <w:lang w:val="en-US" w:eastAsia="pl-PL"/>
        </w:rPr>
        <w:t>lion (</w:t>
      </w:r>
      <w:r w:rsidR="00E97A12" w:rsidRPr="00A335AC">
        <w:rPr>
          <w:lang w:val="en-US" w:eastAsia="pl-PL"/>
        </w:rPr>
        <w:t>increase of 6.1</w:t>
      </w:r>
      <w:r w:rsidRPr="00A335AC">
        <w:rPr>
          <w:lang w:val="en-US" w:eastAsia="pl-PL"/>
        </w:rPr>
        <w:t>% compared to</w:t>
      </w:r>
      <w:r w:rsidR="00E97A12" w:rsidRPr="00A335AC">
        <w:rPr>
          <w:lang w:val="en-US" w:eastAsia="pl-PL"/>
        </w:rPr>
        <w:t xml:space="preserve"> June 30, 2020</w:t>
      </w:r>
      <w:r w:rsidRPr="00A335AC">
        <w:rPr>
          <w:lang w:val="en-US" w:eastAsia="pl-PL"/>
        </w:rPr>
        <w:t>) and rep</w:t>
      </w:r>
      <w:r w:rsidR="00E97A12" w:rsidRPr="00A335AC">
        <w:rPr>
          <w:lang w:val="en-US" w:eastAsia="pl-PL"/>
        </w:rPr>
        <w:t>resented their largest share (72.9</w:t>
      </w:r>
      <w:r w:rsidRPr="00A335AC">
        <w:rPr>
          <w:lang w:val="en-US" w:eastAsia="pl-PL"/>
        </w:rPr>
        <w:t>%). The value</w:t>
      </w:r>
      <w:r w:rsidR="00913EFE">
        <w:rPr>
          <w:lang w:val="en-US" w:eastAsia="pl-PL"/>
        </w:rPr>
        <w:t xml:space="preserve"> of foreign capital in the core</w:t>
      </w:r>
      <w:r w:rsidRPr="00A335AC">
        <w:rPr>
          <w:lang w:val="en-US" w:eastAsia="pl-PL"/>
        </w:rPr>
        <w:t xml:space="preserve"> capital of TFI </w:t>
      </w:r>
      <w:r w:rsidR="00446B6F" w:rsidRPr="00A335AC">
        <w:rPr>
          <w:lang w:val="en-US" w:eastAsia="pl-PL"/>
        </w:rPr>
        <w:t>decreased to PLN 162.0</w:t>
      </w:r>
      <w:r w:rsidRPr="00A335AC">
        <w:rPr>
          <w:lang w:val="en-US" w:eastAsia="pl-PL"/>
        </w:rPr>
        <w:t xml:space="preserve"> million (the share of for</w:t>
      </w:r>
      <w:r w:rsidR="00815F98" w:rsidRPr="00A335AC">
        <w:rPr>
          <w:lang w:val="en-US" w:eastAsia="pl-PL"/>
        </w:rPr>
        <w:t>eign investors decreased by 1.5 percentage points to 25.8</w:t>
      </w:r>
      <w:r w:rsidRPr="00A335AC">
        <w:rPr>
          <w:lang w:val="en-US" w:eastAsia="pl-PL"/>
        </w:rPr>
        <w:t>%.).</w:t>
      </w:r>
      <w:r w:rsidRPr="009E7E5D">
        <w:rPr>
          <w:lang w:val="en-US" w:eastAsia="pl-PL"/>
        </w:rPr>
        <w:t xml:space="preserve"> </w:t>
      </w:r>
    </w:p>
    <w:p w:rsidR="007C659C" w:rsidRPr="009E7E5D" w:rsidRDefault="007C659C" w:rsidP="007C659C">
      <w:pPr>
        <w:spacing w:after="20"/>
        <w:jc w:val="both"/>
        <w:rPr>
          <w:lang w:val="en-US" w:eastAsia="pl-PL"/>
        </w:rPr>
      </w:pPr>
      <w:r w:rsidRPr="00A335AC">
        <w:rPr>
          <w:lang w:val="en-US" w:eastAsia="pl-PL"/>
        </w:rPr>
        <w:t xml:space="preserve">The gross financial result of TFI in </w:t>
      </w:r>
      <w:r w:rsidR="00A42544" w:rsidRPr="00A335AC">
        <w:rPr>
          <w:lang w:val="en-US" w:eastAsia="pl-PL"/>
        </w:rPr>
        <w:t>the first half of 2021</w:t>
      </w:r>
      <w:r w:rsidRPr="00A335AC">
        <w:rPr>
          <w:lang w:val="en-US" w:eastAsia="pl-PL"/>
        </w:rPr>
        <w:t xml:space="preserve"> amounted to</w:t>
      </w:r>
      <w:r w:rsidRPr="00A335AC">
        <w:rPr>
          <w:color w:val="FF0000"/>
          <w:lang w:val="en-US" w:eastAsia="pl-PL"/>
        </w:rPr>
        <w:t xml:space="preserve"> </w:t>
      </w:r>
      <w:r w:rsidR="00A42544" w:rsidRPr="00A335AC">
        <w:rPr>
          <w:lang w:val="en-US" w:eastAsia="pl-PL"/>
        </w:rPr>
        <w:t>432.5 million PLN and was lower by 12.5</w:t>
      </w:r>
      <w:r w:rsidRPr="00A335AC">
        <w:rPr>
          <w:lang w:val="en-US" w:eastAsia="pl-PL"/>
        </w:rPr>
        <w:t xml:space="preserve">% compared to the </w:t>
      </w:r>
      <w:r w:rsidR="0084267F" w:rsidRPr="00A335AC">
        <w:rPr>
          <w:lang w:val="en-US" w:eastAsia="pl-PL"/>
        </w:rPr>
        <w:t xml:space="preserve">first half of the </w:t>
      </w:r>
      <w:r w:rsidRPr="00A335AC">
        <w:rPr>
          <w:lang w:val="en-US" w:eastAsia="pl-PL"/>
        </w:rPr>
        <w:t xml:space="preserve">previous year. The net financial </w:t>
      </w:r>
      <w:r w:rsidR="00432B15" w:rsidRPr="00A335AC">
        <w:rPr>
          <w:lang w:val="en-US" w:eastAsia="pl-PL"/>
        </w:rPr>
        <w:t>result of PLN 350</w:t>
      </w:r>
      <w:r w:rsidRPr="00A335AC">
        <w:rPr>
          <w:lang w:val="en-US" w:eastAsia="pl-PL"/>
        </w:rPr>
        <w:t>.0 million was made up of the profits of 42 investment fund compani</w:t>
      </w:r>
      <w:r w:rsidR="00432B15" w:rsidRPr="00A335AC">
        <w:rPr>
          <w:lang w:val="en-US" w:eastAsia="pl-PL"/>
        </w:rPr>
        <w:t>es with a total value of PLN 361.8</w:t>
      </w:r>
      <w:r w:rsidRPr="00A335AC">
        <w:rPr>
          <w:lang w:val="en-US" w:eastAsia="pl-PL"/>
        </w:rPr>
        <w:t xml:space="preserve"> million and the loss of </w:t>
      </w:r>
      <w:r w:rsidR="00BB6CF2" w:rsidRPr="00A335AC">
        <w:rPr>
          <w:lang w:val="en-US" w:eastAsia="pl-PL"/>
        </w:rPr>
        <w:t>14</w:t>
      </w:r>
      <w:r w:rsidRPr="00A335AC">
        <w:rPr>
          <w:lang w:val="en-US" w:eastAsia="pl-PL"/>
        </w:rPr>
        <w:t xml:space="preserve"> investment fund companies (</w:t>
      </w:r>
      <w:r w:rsidR="00432B15" w:rsidRPr="00A335AC">
        <w:rPr>
          <w:lang w:val="en-US" w:eastAsia="pl-PL"/>
        </w:rPr>
        <w:t>PLN 11.8</w:t>
      </w:r>
      <w:r w:rsidRPr="00A335AC">
        <w:rPr>
          <w:lang w:val="en-US" w:eastAsia="pl-PL"/>
        </w:rPr>
        <w:t xml:space="preserve"> million).</w:t>
      </w:r>
    </w:p>
    <w:p w:rsidR="002E3BE8" w:rsidRPr="000744E8" w:rsidRDefault="002E3BE8" w:rsidP="002E3BE8">
      <w:pPr>
        <w:rPr>
          <w:shd w:val="clear" w:color="auto" w:fill="FFFFFF"/>
          <w:lang w:val="en-US"/>
        </w:rPr>
      </w:pPr>
    </w:p>
    <w:p w:rsidR="006C567C" w:rsidRPr="000744E8" w:rsidRDefault="006C567C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0744E8" w:rsidRDefault="00EE1CE5" w:rsidP="002E3BE8">
      <w:pPr>
        <w:rPr>
          <w:shd w:val="clear" w:color="auto" w:fill="FFFFFF"/>
          <w:lang w:val="en-US"/>
        </w:rPr>
      </w:pPr>
    </w:p>
    <w:p w:rsidR="00EE1CE5" w:rsidRPr="009E7E5D" w:rsidRDefault="00EE1CE5" w:rsidP="00EE1CE5">
      <w:pPr>
        <w:spacing w:after="20"/>
        <w:jc w:val="both"/>
        <w:rPr>
          <w:b/>
          <w:spacing w:val="-2"/>
          <w:sz w:val="18"/>
          <w:shd w:val="clear" w:color="auto" w:fill="FFFFFF"/>
          <w:lang w:val="en-US"/>
        </w:rPr>
      </w:pPr>
      <w:r w:rsidRPr="009E7E5D">
        <w:rPr>
          <w:b/>
          <w:spacing w:val="-2"/>
          <w:sz w:val="18"/>
          <w:shd w:val="clear" w:color="auto" w:fill="FFFFFF"/>
          <w:lang w:val="en-US"/>
        </w:rPr>
        <w:t>Table 1. Selected items of the financial statements of investment fund companies</w:t>
      </w:r>
    </w:p>
    <w:tbl>
      <w:tblPr>
        <w:tblStyle w:val="Siatkatabelijasna10"/>
        <w:tblpPr w:leftFromText="141" w:rightFromText="141" w:vertAnchor="text" w:horzAnchor="margin" w:tblpY="129"/>
        <w:tblW w:w="7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3"/>
        <w:gridCol w:w="1701"/>
        <w:gridCol w:w="1701"/>
        <w:gridCol w:w="1701"/>
      </w:tblGrid>
      <w:tr w:rsidR="00EE1CE5" w:rsidRPr="001A3D3F" w:rsidTr="00A42DEC">
        <w:trPr>
          <w:trHeight w:val="57"/>
        </w:trPr>
        <w:tc>
          <w:tcPr>
            <w:tcW w:w="2823" w:type="dxa"/>
            <w:vMerge w:val="restart"/>
            <w:vAlign w:val="center"/>
          </w:tcPr>
          <w:p w:rsidR="00EE1CE5" w:rsidRPr="001A3D3F" w:rsidRDefault="00EE1CE5" w:rsidP="00A42DE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PECIFICATION</w:t>
            </w:r>
          </w:p>
        </w:tc>
        <w:tc>
          <w:tcPr>
            <w:tcW w:w="1701" w:type="dxa"/>
            <w:vAlign w:val="center"/>
          </w:tcPr>
          <w:p w:rsidR="00EE1CE5" w:rsidRPr="001A3D3F" w:rsidRDefault="005729AD" w:rsidP="00A42DE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First half of </w:t>
            </w:r>
            <w:r w:rsidR="007204CE">
              <w:rPr>
                <w:rFonts w:ascii="Fira Sans" w:hAnsi="Fira Sans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EE1CE5" w:rsidRPr="001A3D3F" w:rsidRDefault="005729AD" w:rsidP="00A42DE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First half of </w:t>
            </w:r>
            <w:r w:rsidR="00EE1CE5"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  <w:r w:rsidR="007204CE">
              <w:rPr>
                <w:rFonts w:ascii="Fira Sans" w:hAnsi="Fira Sans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EE1CE5" w:rsidRPr="001A3D3F" w:rsidRDefault="0075658E" w:rsidP="00A42DE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First half of </w:t>
            </w:r>
            <w:r w:rsidR="007204CE">
              <w:rPr>
                <w:rFonts w:ascii="Fira Sans" w:hAnsi="Fira Sans"/>
                <w:color w:val="000000" w:themeColor="text1"/>
                <w:sz w:val="16"/>
                <w:szCs w:val="16"/>
              </w:rPr>
              <w:t>2020</w:t>
            </w:r>
            <w:r w:rsidR="00EE1CE5"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=100</w:t>
            </w:r>
          </w:p>
        </w:tc>
      </w:tr>
      <w:tr w:rsidR="00EE1CE5" w:rsidRPr="001A3D3F" w:rsidTr="00A42DEC">
        <w:trPr>
          <w:trHeight w:val="57"/>
        </w:trPr>
        <w:tc>
          <w:tcPr>
            <w:tcW w:w="2823" w:type="dxa"/>
            <w:vMerge/>
            <w:tcBorders>
              <w:bottom w:val="single" w:sz="12" w:space="0" w:color="212492"/>
            </w:tcBorders>
            <w:vAlign w:val="center"/>
          </w:tcPr>
          <w:p w:rsidR="00EE1CE5" w:rsidRPr="001A3D3F" w:rsidRDefault="00EE1CE5" w:rsidP="00A42DEC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212492"/>
            </w:tcBorders>
            <w:vAlign w:val="center"/>
          </w:tcPr>
          <w:p w:rsidR="00EE1CE5" w:rsidRPr="001A3D3F" w:rsidRDefault="00EE1CE5" w:rsidP="00A42DE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in</w:t>
            </w:r>
            <w:r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300F">
              <w:rPr>
                <w:rFonts w:ascii="Fira Sans" w:hAnsi="Fira Sans"/>
                <w:color w:val="auto"/>
                <w:sz w:val="16"/>
                <w:szCs w:val="16"/>
              </w:rPr>
              <w:t>mi</w:t>
            </w:r>
            <w:r w:rsidR="00184508">
              <w:rPr>
                <w:rFonts w:ascii="Fira Sans" w:hAnsi="Fira Sans"/>
                <w:color w:val="auto"/>
                <w:sz w:val="16"/>
                <w:szCs w:val="16"/>
              </w:rPr>
              <w:t>l</w:t>
            </w:r>
            <w:r w:rsidRPr="00BF300F">
              <w:rPr>
                <w:rFonts w:ascii="Fira Sans" w:hAnsi="Fira Sans"/>
                <w:color w:val="auto"/>
                <w:sz w:val="16"/>
                <w:szCs w:val="16"/>
              </w:rPr>
              <w:t>lion</w:t>
            </w:r>
            <w:proofErr w:type="spellEnd"/>
            <w:r w:rsidRPr="00BD52E5">
              <w:rPr>
                <w:rFonts w:ascii="Fira Sans" w:hAnsi="Fira San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PLN</w:t>
            </w:r>
          </w:p>
        </w:tc>
        <w:tc>
          <w:tcPr>
            <w:tcW w:w="1701" w:type="dxa"/>
            <w:vMerge/>
            <w:tcBorders>
              <w:bottom w:val="single" w:sz="12" w:space="0" w:color="212492"/>
            </w:tcBorders>
            <w:vAlign w:val="center"/>
          </w:tcPr>
          <w:p w:rsidR="00EE1CE5" w:rsidRPr="001A3D3F" w:rsidRDefault="00EE1CE5" w:rsidP="00A42DE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2563F" w:rsidRPr="001A3D3F" w:rsidRDefault="0042563F" w:rsidP="0042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  <w:proofErr w:type="spellStart"/>
            <w:r>
              <w:rPr>
                <w:sz w:val="16"/>
                <w:szCs w:val="16"/>
              </w:rPr>
              <w:t>assets</w:t>
            </w:r>
            <w:proofErr w:type="spellEnd"/>
            <w:r>
              <w:rPr>
                <w:sz w:val="16"/>
                <w:szCs w:val="16"/>
              </w:rPr>
              <w:t>, of which</w:t>
            </w:r>
            <w:r w:rsidRPr="001A3D3F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2 619,6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2 681,9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tcBorders>
              <w:top w:val="single" w:sz="4" w:space="0" w:color="212492"/>
            </w:tcBorders>
            <w:vAlign w:val="center"/>
          </w:tcPr>
          <w:p w:rsidR="0042563F" w:rsidRPr="001A3D3F" w:rsidRDefault="0042563F" w:rsidP="00425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Fixed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assets</w:t>
            </w:r>
            <w:proofErr w:type="spellEnd"/>
            <w:r>
              <w:rPr>
                <w:sz w:val="16"/>
                <w:szCs w:val="16"/>
              </w:rPr>
              <w:t>, of which</w:t>
            </w:r>
            <w:r w:rsidRPr="001A3D3F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678,0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120,5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long</w:t>
            </w:r>
            <w:proofErr w:type="spellEnd"/>
            <w:r>
              <w:rPr>
                <w:sz w:val="16"/>
                <w:szCs w:val="16"/>
              </w:rPr>
              <w:t xml:space="preserve">-term </w:t>
            </w:r>
            <w:proofErr w:type="spellStart"/>
            <w:r>
              <w:rPr>
                <w:sz w:val="16"/>
                <w:szCs w:val="16"/>
              </w:rPr>
              <w:t>investments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361,3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451,3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124,9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Current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assets</w:t>
            </w:r>
            <w:proofErr w:type="spellEnd"/>
            <w:r>
              <w:rPr>
                <w:sz w:val="16"/>
                <w:szCs w:val="16"/>
              </w:rPr>
              <w:t>, of which</w:t>
            </w:r>
            <w:r w:rsidRPr="001A3D3F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2 043,0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1 995,7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short</w:t>
            </w:r>
            <w:proofErr w:type="spellEnd"/>
            <w:r>
              <w:rPr>
                <w:sz w:val="16"/>
                <w:szCs w:val="16"/>
              </w:rPr>
              <w:t xml:space="preserve">-term </w:t>
            </w:r>
            <w:proofErr w:type="spellStart"/>
            <w:r>
              <w:rPr>
                <w:sz w:val="16"/>
                <w:szCs w:val="16"/>
              </w:rPr>
              <w:t>investments</w:t>
            </w:r>
            <w:proofErr w:type="spellEnd"/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1 648,5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1 554,4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9E7E5D" w:rsidRDefault="0042563F" w:rsidP="0042563F">
            <w:pPr>
              <w:rPr>
                <w:sz w:val="16"/>
                <w:szCs w:val="16"/>
                <w:lang w:val="en-US"/>
              </w:rPr>
            </w:pPr>
            <w:r w:rsidRPr="009E7E5D">
              <w:rPr>
                <w:sz w:val="16"/>
                <w:szCs w:val="16"/>
                <w:lang w:val="en-US"/>
              </w:rPr>
              <w:t xml:space="preserve">Total equity and </w:t>
            </w:r>
            <w:proofErr w:type="spellStart"/>
            <w:r w:rsidRPr="009E7E5D">
              <w:rPr>
                <w:sz w:val="16"/>
                <w:szCs w:val="16"/>
                <w:lang w:val="en-US"/>
              </w:rPr>
              <w:t>liabilities,of</w:t>
            </w:r>
            <w:proofErr w:type="spellEnd"/>
            <w:r w:rsidRPr="009E7E5D">
              <w:rPr>
                <w:sz w:val="16"/>
                <w:szCs w:val="16"/>
                <w:lang w:val="en-US"/>
              </w:rPr>
              <w:t xml:space="preserve"> which:</w:t>
            </w:r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2 619,6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2 681,9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Equity </w:t>
            </w:r>
            <w:proofErr w:type="spellStart"/>
            <w:r>
              <w:rPr>
                <w:sz w:val="16"/>
                <w:szCs w:val="16"/>
              </w:rPr>
              <w:t>capital</w:t>
            </w:r>
            <w:proofErr w:type="spellEnd"/>
            <w:r>
              <w:rPr>
                <w:sz w:val="16"/>
                <w:szCs w:val="16"/>
              </w:rPr>
              <w:t>, of which</w:t>
            </w:r>
            <w:r w:rsidRPr="001A3D3F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1 843,2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1 955,1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36258C" w:rsidP="0042563F">
            <w:pPr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</w:t>
            </w:r>
            <w:r w:rsidR="0042563F">
              <w:rPr>
                <w:sz w:val="16"/>
                <w:szCs w:val="16"/>
              </w:rPr>
              <w:t>re</w:t>
            </w:r>
            <w:proofErr w:type="spellEnd"/>
            <w:r w:rsidR="0042563F">
              <w:rPr>
                <w:sz w:val="16"/>
                <w:szCs w:val="16"/>
              </w:rPr>
              <w:t xml:space="preserve"> </w:t>
            </w:r>
            <w:proofErr w:type="spellStart"/>
            <w:r w:rsidR="0042563F">
              <w:rPr>
                <w:sz w:val="16"/>
                <w:szCs w:val="16"/>
              </w:rPr>
              <w:t>capital</w:t>
            </w:r>
            <w:proofErr w:type="spellEnd"/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606,6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628,3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103,6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supplementary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capital</w:t>
            </w:r>
            <w:proofErr w:type="spellEnd"/>
          </w:p>
        </w:tc>
        <w:tc>
          <w:tcPr>
            <w:tcW w:w="1701" w:type="dxa"/>
            <w:vAlign w:val="bottom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724,6</w:t>
            </w:r>
          </w:p>
        </w:tc>
        <w:tc>
          <w:tcPr>
            <w:tcW w:w="1701" w:type="dxa"/>
            <w:vAlign w:val="bottom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838,6</w:t>
            </w:r>
          </w:p>
        </w:tc>
        <w:tc>
          <w:tcPr>
            <w:tcW w:w="1701" w:type="dxa"/>
            <w:vAlign w:val="bottom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115,7</w:t>
            </w:r>
          </w:p>
        </w:tc>
      </w:tr>
      <w:tr w:rsidR="0042563F" w:rsidRPr="001A3D3F" w:rsidTr="00A42DEC">
        <w:trPr>
          <w:trHeight w:hRule="exact" w:val="737"/>
        </w:trPr>
        <w:tc>
          <w:tcPr>
            <w:tcW w:w="2823" w:type="dxa"/>
            <w:vAlign w:val="center"/>
          </w:tcPr>
          <w:p w:rsidR="0042563F" w:rsidRDefault="0042563F" w:rsidP="0042563F">
            <w:pPr>
              <w:pStyle w:val="HTML-wstpniesformatowany"/>
              <w:rPr>
                <w:rFonts w:ascii="Fira Sans" w:eastAsiaTheme="minorHAnsi" w:hAnsi="Fira Sans" w:cstheme="minorBidi"/>
                <w:sz w:val="16"/>
                <w:szCs w:val="16"/>
                <w:lang w:eastAsia="en-US"/>
              </w:rPr>
            </w:pPr>
          </w:p>
          <w:p w:rsidR="0042563F" w:rsidRPr="008102B2" w:rsidRDefault="0042563F" w:rsidP="0042563F">
            <w:pPr>
              <w:pStyle w:val="HTML-wstpniesformatowany"/>
            </w:pPr>
            <w:proofErr w:type="spellStart"/>
            <w:r w:rsidRPr="008102B2">
              <w:rPr>
                <w:rFonts w:ascii="Fira Sans" w:eastAsiaTheme="minorHAnsi" w:hAnsi="Fira Sans" w:cstheme="minorBidi"/>
                <w:sz w:val="16"/>
                <w:szCs w:val="16"/>
                <w:lang w:eastAsia="en-US"/>
              </w:rPr>
              <w:t>Liabilities</w:t>
            </w:r>
            <w:proofErr w:type="spellEnd"/>
            <w:r w:rsidRPr="008102B2">
              <w:rPr>
                <w:rFonts w:ascii="Fira Sans" w:eastAsiaTheme="minorHAnsi" w:hAnsi="Fira Sans" w:cstheme="minorBidi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8102B2">
              <w:rPr>
                <w:rFonts w:ascii="Fira Sans" w:eastAsiaTheme="minorHAnsi" w:hAnsi="Fira Sans" w:cstheme="minorBidi"/>
                <w:sz w:val="16"/>
                <w:szCs w:val="16"/>
                <w:lang w:eastAsia="en-US"/>
              </w:rPr>
              <w:t>provisions</w:t>
            </w:r>
            <w:proofErr w:type="spellEnd"/>
            <w:r w:rsidRPr="008102B2">
              <w:rPr>
                <w:rFonts w:ascii="Fira Sans" w:eastAsiaTheme="minorHAnsi" w:hAnsi="Fira Sans" w:cstheme="minorBidi"/>
                <w:sz w:val="16"/>
                <w:szCs w:val="16"/>
                <w:lang w:eastAsia="en-US"/>
              </w:rPr>
              <w:t xml:space="preserve"> for </w:t>
            </w:r>
            <w:proofErr w:type="spellStart"/>
            <w:r w:rsidRPr="008102B2">
              <w:rPr>
                <w:rFonts w:ascii="Fira Sans" w:eastAsiaTheme="minorHAnsi" w:hAnsi="Fira Sans" w:cstheme="minorBidi"/>
                <w:sz w:val="16"/>
                <w:szCs w:val="16"/>
                <w:lang w:eastAsia="en-US"/>
              </w:rPr>
              <w:t>liabilities</w:t>
            </w:r>
            <w:proofErr w:type="spellEnd"/>
          </w:p>
          <w:p w:rsidR="0042563F" w:rsidRPr="001A3D3F" w:rsidRDefault="0042563F" w:rsidP="004256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776,3</w:t>
            </w:r>
          </w:p>
        </w:tc>
        <w:tc>
          <w:tcPr>
            <w:tcW w:w="1701" w:type="dxa"/>
            <w:vAlign w:val="center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726,8</w:t>
            </w:r>
          </w:p>
        </w:tc>
        <w:tc>
          <w:tcPr>
            <w:tcW w:w="1701" w:type="dxa"/>
            <w:vAlign w:val="center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</w:tr>
      <w:tr w:rsidR="0042563F" w:rsidRPr="001A3D3F" w:rsidTr="00A42DEC">
        <w:trPr>
          <w:trHeight w:hRule="exact" w:val="737"/>
        </w:trPr>
        <w:tc>
          <w:tcPr>
            <w:tcW w:w="2823" w:type="dxa"/>
            <w:vAlign w:val="center"/>
          </w:tcPr>
          <w:p w:rsidR="0042563F" w:rsidRPr="009E7E5D" w:rsidRDefault="0042563F" w:rsidP="0042563F">
            <w:pPr>
              <w:rPr>
                <w:sz w:val="16"/>
                <w:szCs w:val="16"/>
                <w:lang w:val="en-US"/>
              </w:rPr>
            </w:pPr>
            <w:r w:rsidRPr="009E7E5D">
              <w:rPr>
                <w:sz w:val="16"/>
                <w:szCs w:val="16"/>
                <w:lang w:val="en-US"/>
              </w:rPr>
              <w:t>Revenu</w:t>
            </w:r>
            <w:r>
              <w:rPr>
                <w:sz w:val="16"/>
                <w:szCs w:val="16"/>
                <w:lang w:val="en-US"/>
              </w:rPr>
              <w:t>es from operating activities, of</w:t>
            </w:r>
            <w:r w:rsidRPr="009E7E5D">
              <w:rPr>
                <w:sz w:val="16"/>
                <w:szCs w:val="16"/>
                <w:lang w:val="en-US"/>
              </w:rPr>
              <w:t xml:space="preserve"> which:</w:t>
            </w:r>
          </w:p>
        </w:tc>
        <w:tc>
          <w:tcPr>
            <w:tcW w:w="1701" w:type="dxa"/>
            <w:vAlign w:val="center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1 573,0</w:t>
            </w:r>
          </w:p>
        </w:tc>
        <w:tc>
          <w:tcPr>
            <w:tcW w:w="1701" w:type="dxa"/>
            <w:vAlign w:val="center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1 668,1</w:t>
            </w:r>
          </w:p>
        </w:tc>
        <w:tc>
          <w:tcPr>
            <w:tcW w:w="1701" w:type="dxa"/>
            <w:vAlign w:val="center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</w:tr>
      <w:tr w:rsidR="0042563F" w:rsidRPr="001A3D3F" w:rsidTr="00A42DEC">
        <w:trPr>
          <w:trHeight w:hRule="exact" w:val="737"/>
        </w:trPr>
        <w:tc>
          <w:tcPr>
            <w:tcW w:w="2823" w:type="dxa"/>
            <w:vAlign w:val="center"/>
          </w:tcPr>
          <w:p w:rsidR="0042563F" w:rsidRPr="009E7E5D" w:rsidRDefault="0042563F" w:rsidP="0042563F">
            <w:pPr>
              <w:ind w:left="176"/>
              <w:rPr>
                <w:sz w:val="16"/>
                <w:szCs w:val="16"/>
                <w:lang w:val="en-US"/>
              </w:rPr>
            </w:pPr>
            <w:r w:rsidRPr="009E7E5D">
              <w:rPr>
                <w:sz w:val="16"/>
                <w:szCs w:val="16"/>
                <w:lang w:val="en-US"/>
              </w:rPr>
              <w:t xml:space="preserve">remunerations for managing the funds </w:t>
            </w:r>
          </w:p>
        </w:tc>
        <w:tc>
          <w:tcPr>
            <w:tcW w:w="1701" w:type="dxa"/>
            <w:vAlign w:val="center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1 524,9</w:t>
            </w:r>
          </w:p>
        </w:tc>
        <w:tc>
          <w:tcPr>
            <w:tcW w:w="1701" w:type="dxa"/>
            <w:vAlign w:val="center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1 598,2</w:t>
            </w:r>
          </w:p>
        </w:tc>
        <w:tc>
          <w:tcPr>
            <w:tcW w:w="1701" w:type="dxa"/>
            <w:vAlign w:val="center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104,8</w:t>
            </w:r>
          </w:p>
        </w:tc>
      </w:tr>
      <w:tr w:rsidR="0042563F" w:rsidRPr="001A3D3F" w:rsidTr="00A42DEC">
        <w:trPr>
          <w:trHeight w:hRule="exact" w:val="737"/>
        </w:trPr>
        <w:tc>
          <w:tcPr>
            <w:tcW w:w="2823" w:type="dxa"/>
            <w:vAlign w:val="center"/>
          </w:tcPr>
          <w:p w:rsidR="0042563F" w:rsidRPr="009E7E5D" w:rsidRDefault="0042563F" w:rsidP="0042563F">
            <w:pPr>
              <w:rPr>
                <w:sz w:val="16"/>
                <w:szCs w:val="16"/>
                <w:lang w:val="en-US"/>
              </w:rPr>
            </w:pPr>
            <w:r w:rsidRPr="009E7E5D">
              <w:rPr>
                <w:sz w:val="16"/>
                <w:szCs w:val="16"/>
                <w:lang w:val="en-US"/>
              </w:rPr>
              <w:t>Costs arising from operating activi</w:t>
            </w:r>
            <w:r>
              <w:rPr>
                <w:sz w:val="16"/>
                <w:szCs w:val="16"/>
                <w:lang w:val="en-US"/>
              </w:rPr>
              <w:t>ties, of</w:t>
            </w:r>
            <w:r w:rsidRPr="009E7E5D">
              <w:rPr>
                <w:sz w:val="16"/>
                <w:szCs w:val="16"/>
                <w:lang w:val="en-US"/>
              </w:rPr>
              <w:t xml:space="preserve"> which:</w:t>
            </w:r>
          </w:p>
        </w:tc>
        <w:tc>
          <w:tcPr>
            <w:tcW w:w="1701" w:type="dxa"/>
            <w:vAlign w:val="center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1 081,1</w:t>
            </w:r>
          </w:p>
        </w:tc>
        <w:tc>
          <w:tcPr>
            <w:tcW w:w="1701" w:type="dxa"/>
            <w:vAlign w:val="center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1 251,6</w:t>
            </w:r>
          </w:p>
        </w:tc>
        <w:tc>
          <w:tcPr>
            <w:tcW w:w="1701" w:type="dxa"/>
            <w:vAlign w:val="center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115,8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services</w:t>
            </w:r>
          </w:p>
        </w:tc>
        <w:tc>
          <w:tcPr>
            <w:tcW w:w="1701" w:type="dxa"/>
            <w:vAlign w:val="center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1701" w:type="dxa"/>
            <w:vAlign w:val="center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711,2</w:t>
            </w:r>
          </w:p>
        </w:tc>
        <w:tc>
          <w:tcPr>
            <w:tcW w:w="1701" w:type="dxa"/>
            <w:vAlign w:val="center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114,8</w:t>
            </w:r>
          </w:p>
        </w:tc>
      </w:tr>
      <w:tr w:rsidR="0042563F" w:rsidRPr="001A3D3F" w:rsidTr="00A42DEC">
        <w:trPr>
          <w:trHeight w:hRule="exact" w:val="510"/>
        </w:trPr>
        <w:tc>
          <w:tcPr>
            <w:tcW w:w="2823" w:type="dxa"/>
            <w:vAlign w:val="center"/>
          </w:tcPr>
          <w:p w:rsidR="0042563F" w:rsidRPr="001A3D3F" w:rsidRDefault="0042563F" w:rsidP="0042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1A3D3F">
              <w:rPr>
                <w:sz w:val="16"/>
                <w:szCs w:val="16"/>
              </w:rPr>
              <w:t>et</w:t>
            </w:r>
            <w:r>
              <w:rPr>
                <w:sz w:val="16"/>
                <w:szCs w:val="16"/>
              </w:rPr>
              <w:t xml:space="preserve"> profit</w:t>
            </w:r>
          </w:p>
        </w:tc>
        <w:tc>
          <w:tcPr>
            <w:tcW w:w="1701" w:type="dxa"/>
            <w:vAlign w:val="center"/>
          </w:tcPr>
          <w:p w:rsidR="0042563F" w:rsidRPr="001A3D3F" w:rsidRDefault="0042563F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397,0</w:t>
            </w:r>
          </w:p>
        </w:tc>
        <w:tc>
          <w:tcPr>
            <w:tcW w:w="1701" w:type="dxa"/>
            <w:vAlign w:val="center"/>
          </w:tcPr>
          <w:p w:rsidR="0042563F" w:rsidRPr="001A3D3F" w:rsidRDefault="00B2507C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701" w:type="dxa"/>
            <w:vAlign w:val="center"/>
          </w:tcPr>
          <w:p w:rsidR="0042563F" w:rsidRPr="001A3D3F" w:rsidRDefault="00594743" w:rsidP="0042563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</w:t>
            </w:r>
          </w:p>
        </w:tc>
      </w:tr>
    </w:tbl>
    <w:p w:rsidR="00EE1CE5" w:rsidRDefault="00EE1CE5" w:rsidP="00EE1CE5">
      <w:pPr>
        <w:rPr>
          <w:lang w:eastAsia="pl-PL"/>
        </w:rPr>
      </w:pPr>
    </w:p>
    <w:p w:rsidR="00EE1CE5" w:rsidRDefault="00EE1CE5" w:rsidP="00EE1CE5">
      <w:pPr>
        <w:rPr>
          <w:lang w:eastAsia="pl-PL"/>
        </w:rPr>
      </w:pPr>
    </w:p>
    <w:p w:rsidR="00EE1CE5" w:rsidRDefault="00EE1CE5" w:rsidP="00EE1CE5">
      <w:pPr>
        <w:rPr>
          <w:lang w:eastAsia="pl-PL"/>
        </w:rPr>
      </w:pPr>
    </w:p>
    <w:p w:rsidR="00EE1CE5" w:rsidRDefault="00EE1CE5" w:rsidP="00EE1CE5">
      <w:pPr>
        <w:rPr>
          <w:lang w:eastAsia="pl-PL"/>
        </w:rPr>
      </w:pPr>
    </w:p>
    <w:p w:rsidR="00EE1CE5" w:rsidRDefault="00EE1CE5" w:rsidP="00EE1CE5">
      <w:pPr>
        <w:rPr>
          <w:lang w:eastAsia="pl-PL"/>
        </w:rPr>
      </w:pPr>
    </w:p>
    <w:p w:rsidR="00EE1CE5" w:rsidRDefault="00EE1CE5" w:rsidP="00EE1CE5">
      <w:pPr>
        <w:jc w:val="both"/>
        <w:rPr>
          <w:rStyle w:val="tlid-translation"/>
        </w:rPr>
      </w:pPr>
    </w:p>
    <w:p w:rsidR="00EE1CE5" w:rsidRDefault="00EE1CE5" w:rsidP="00EE1CE5">
      <w:pPr>
        <w:jc w:val="both"/>
        <w:rPr>
          <w:rStyle w:val="tlid-translation"/>
        </w:rPr>
      </w:pPr>
    </w:p>
    <w:p w:rsidR="00EE1CE5" w:rsidRPr="009E7E5D" w:rsidRDefault="00EE1CE5" w:rsidP="00EE1CE5">
      <w:pPr>
        <w:jc w:val="both"/>
        <w:rPr>
          <w:rStyle w:val="tlid-translation"/>
          <w:lang w:val="en-US"/>
        </w:rPr>
      </w:pPr>
      <w:r w:rsidRPr="009E7E5D">
        <w:rPr>
          <w:rStyle w:val="tlid-translation"/>
          <w:lang w:val="en-US"/>
        </w:rPr>
        <w:t>In case of quoting Statistics Poland data, please provide information: "Sour</w:t>
      </w:r>
      <w:r>
        <w:rPr>
          <w:rStyle w:val="tlid-translation"/>
          <w:lang w:val="en-US"/>
        </w:rPr>
        <w:t>ce of data: Statistics Poland"</w:t>
      </w:r>
      <w:r w:rsidR="000744E8">
        <w:rPr>
          <w:rStyle w:val="tlid-translation"/>
          <w:lang w:val="en-US"/>
        </w:rPr>
        <w:t xml:space="preserve"> </w:t>
      </w:r>
      <w:r w:rsidRPr="009E7E5D">
        <w:rPr>
          <w:rStyle w:val="tlid-translation"/>
          <w:lang w:val="en-US"/>
        </w:rPr>
        <w:t>and in case of publishing calculations made on data published by Statistics Poland, please include the following disclaimer: "Own study based on figures from Statistics Poland".</w:t>
      </w:r>
    </w:p>
    <w:p w:rsidR="00C034BC" w:rsidRPr="000744E8" w:rsidRDefault="00C034BC" w:rsidP="00B7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  <w:lang w:val="en-US"/>
        </w:rPr>
        <w:sectPr w:rsidR="00C034BC" w:rsidRPr="000744E8" w:rsidSect="003B18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765B99" w:rsidRPr="000744E8" w:rsidRDefault="00765B99" w:rsidP="00E76D26">
      <w:pPr>
        <w:rPr>
          <w:sz w:val="18"/>
          <w:lang w:val="en-US"/>
        </w:rPr>
        <w:sectPr w:rsidR="00765B99" w:rsidRPr="000744E8" w:rsidSect="00B72F9E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0744E8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95"/>
        <w:gridCol w:w="3728"/>
      </w:tblGrid>
      <w:tr w:rsidR="000470AA" w:rsidRPr="00812B30" w:rsidTr="009A5961">
        <w:trPr>
          <w:trHeight w:val="1506"/>
        </w:trPr>
        <w:tc>
          <w:tcPr>
            <w:tcW w:w="4195" w:type="dxa"/>
          </w:tcPr>
          <w:p w:rsidR="0025563A" w:rsidRPr="000744E8" w:rsidRDefault="001D2736" w:rsidP="0025563A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US"/>
              </w:rPr>
            </w:pPr>
            <w:r w:rsidRPr="000744E8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0744E8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:rsidR="00FA4729" w:rsidRPr="000744E8" w:rsidRDefault="006A0213" w:rsidP="00FA4729">
            <w:pPr>
              <w:spacing w:before="0" w:after="0" w:line="276" w:lineRule="auto"/>
              <w:ind w:left="-108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Macroeconomic Studies and Finance </w:t>
            </w: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br/>
              <w:t xml:space="preserve">Statistics </w:t>
            </w:r>
            <w:r w:rsidR="00FA4729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:rsidR="00FA4729" w:rsidRPr="000744E8" w:rsidRDefault="00FA4729" w:rsidP="00FA4729">
            <w:pPr>
              <w:spacing w:before="0" w:after="0" w:line="276" w:lineRule="auto"/>
              <w:ind w:left="-108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Director </w:t>
            </w:r>
            <w:r w:rsidR="00AD40D1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Mirosław</w:t>
            </w: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D40D1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Błażej</w:t>
            </w:r>
          </w:p>
          <w:p w:rsidR="00F418D1" w:rsidRPr="008F3638" w:rsidRDefault="00F418D1" w:rsidP="00F418D1">
            <w:pPr>
              <w:pStyle w:val="Nagwek3"/>
              <w:spacing w:before="0" w:line="240" w:lineRule="auto"/>
              <w:ind w:left="-108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(+48 22) </w:t>
            </w:r>
            <w:r w:rsidR="00AD40D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AD40D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37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AD40D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73</w:t>
            </w:r>
          </w:p>
          <w:p w:rsidR="000470AA" w:rsidRPr="00A24587" w:rsidRDefault="000470AA" w:rsidP="009A5961">
            <w:pPr>
              <w:pStyle w:val="Nagwek3"/>
              <w:spacing w:before="0" w:line="240" w:lineRule="auto"/>
              <w:ind w:left="-108"/>
              <w:rPr>
                <w:rFonts w:ascii="Fira Sans" w:hAnsi="Fira Sans"/>
                <w:b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28" w:type="dxa"/>
          </w:tcPr>
          <w:p w:rsidR="00AC3FCE" w:rsidRPr="000744E8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0744E8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0744E8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0744E8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4B381A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:rsidR="000470AA" w:rsidRPr="000744E8" w:rsidRDefault="002D5D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o</w:t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f</w:t>
            </w: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Statistic</w:t>
            </w:r>
            <w:r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0744E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:rsidR="00FA4729" w:rsidRPr="000744E8" w:rsidRDefault="00FA4729" w:rsidP="00FA472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0744E8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0744E8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Banaszek</w:t>
            </w:r>
          </w:p>
          <w:p w:rsidR="00F418D1" w:rsidRPr="008F3638" w:rsidRDefault="00F418D1" w:rsidP="00F418D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744E8" w:rsidRDefault="000470AA" w:rsidP="000470AA">
      <w:pPr>
        <w:rPr>
          <w:sz w:val="20"/>
          <w:lang w:val="en-US"/>
        </w:rPr>
      </w:pPr>
    </w:p>
    <w:p w:rsidR="000470AA" w:rsidRPr="000744E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812B30" w:rsidTr="00A24587">
        <w:trPr>
          <w:trHeight w:val="610"/>
        </w:trPr>
        <w:tc>
          <w:tcPr>
            <w:tcW w:w="2721" w:type="pct"/>
            <w:vMerge w:val="restart"/>
          </w:tcPr>
          <w:p w:rsidR="000470AA" w:rsidRPr="000744E8" w:rsidRDefault="001D2736" w:rsidP="00A24587">
            <w:pPr>
              <w:rPr>
                <w:b/>
                <w:sz w:val="20"/>
                <w:lang w:val="en-US"/>
              </w:rPr>
            </w:pPr>
            <w:r w:rsidRPr="000744E8">
              <w:rPr>
                <w:b/>
                <w:sz w:val="20"/>
                <w:lang w:val="en-US"/>
              </w:rPr>
              <w:t>Press Office</w:t>
            </w:r>
          </w:p>
          <w:p w:rsidR="00F418D1" w:rsidRPr="000744E8" w:rsidRDefault="00F418D1" w:rsidP="00F418D1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0744E8">
              <w:rPr>
                <w:sz w:val="20"/>
                <w:lang w:val="en-US"/>
              </w:rPr>
              <w:t xml:space="preserve">608 34 91, 608 38 04 </w:t>
            </w:r>
          </w:p>
          <w:p w:rsidR="000470AA" w:rsidRPr="000744E8" w:rsidRDefault="000470AA" w:rsidP="00A24587">
            <w:pPr>
              <w:rPr>
                <w:sz w:val="18"/>
                <w:lang w:val="en-US"/>
              </w:rPr>
            </w:pPr>
            <w:r w:rsidRPr="000744E8">
              <w:rPr>
                <w:b/>
                <w:sz w:val="20"/>
                <w:lang w:val="en-US"/>
              </w:rPr>
              <w:t>e-mail:</w:t>
            </w:r>
            <w:r w:rsidRPr="000744E8">
              <w:rPr>
                <w:sz w:val="20"/>
                <w:lang w:val="en-US"/>
              </w:rPr>
              <w:t xml:space="preserve"> </w:t>
            </w:r>
            <w:hyperlink r:id="rId17" w:history="1">
              <w:r w:rsidRPr="000744E8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744E8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744E8" w:rsidRDefault="000470AA" w:rsidP="000470AA">
            <w:pPr>
              <w:rPr>
                <w:sz w:val="18"/>
                <w:lang w:val="en-US"/>
              </w:rPr>
            </w:pPr>
            <w:r w:rsidRPr="000744E8">
              <w:rPr>
                <w:sz w:val="20"/>
                <w:lang w:val="en-US"/>
              </w:rPr>
              <w:t>www.stat.gov.pl</w:t>
            </w:r>
            <w:r w:rsidR="001D2736" w:rsidRPr="000744E8">
              <w:rPr>
                <w:sz w:val="20"/>
                <w:lang w:val="en-US"/>
              </w:rPr>
              <w:t>/en/</w:t>
            </w:r>
          </w:p>
        </w:tc>
      </w:tr>
      <w:tr w:rsidR="000470AA" w:rsidTr="00A24587">
        <w:trPr>
          <w:trHeight w:val="436"/>
        </w:trPr>
        <w:tc>
          <w:tcPr>
            <w:tcW w:w="2721" w:type="pct"/>
            <w:vMerge/>
          </w:tcPr>
          <w:p w:rsidR="000470AA" w:rsidRPr="000744E8" w:rsidRDefault="000470AA" w:rsidP="00A24587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0744E8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:rsidTr="00A24587">
        <w:trPr>
          <w:trHeight w:val="436"/>
        </w:trPr>
        <w:tc>
          <w:tcPr>
            <w:tcW w:w="2721" w:type="pct"/>
            <w:vMerge/>
          </w:tcPr>
          <w:p w:rsidR="000470AA" w:rsidRDefault="000470AA" w:rsidP="00A2458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9F7A89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D338DC" w:rsidRPr="000744E8" w:rsidRDefault="00D338DC" w:rsidP="00D338DC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0744E8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D65AF6" w:rsidRPr="00E96B43" w:rsidRDefault="00D65AF6" w:rsidP="00D65A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E96B43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Pr="00E96B43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 xml:space="preserve"> HYPERLINK "https://bdm.stat.gov.pl/" </w:instrText>
                            </w:r>
                            <w:r w:rsidRPr="00E96B43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Pr="00E96B43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Macroeconomic Data Bank – Financial Results of Investment Funds and Investment Funds Companies</w:t>
                            </w:r>
                          </w:p>
                          <w:p w:rsidR="00AB6D25" w:rsidRPr="000744E8" w:rsidRDefault="00D65AF6" w:rsidP="00D65AF6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E96B43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</w:p>
                          <w:p w:rsidR="00673C26" w:rsidRPr="000744E8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AB6D25" w:rsidRPr="000744E8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0744E8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0744E8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0744E8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:rsidR="00D65AF6" w:rsidRPr="00E96B43" w:rsidRDefault="001365F9" w:rsidP="00D65A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1" w:history="1">
                              <w:r w:rsidR="00D65AF6" w:rsidRPr="00E96B4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Investment Fund</w:t>
                              </w:r>
                            </w:hyperlink>
                          </w:p>
                          <w:p w:rsidR="00D65AF6" w:rsidRPr="00E96B43" w:rsidRDefault="001365F9" w:rsidP="00D65A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D65AF6" w:rsidRPr="00E96B4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Investment Fund Company</w:t>
                              </w:r>
                            </w:hyperlink>
                          </w:p>
                          <w:p w:rsidR="00DB4CC6" w:rsidRPr="00E72B1C" w:rsidRDefault="00DB4CC6" w:rsidP="00DB4CC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Pr="00505A9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D338DC" w:rsidRPr="000744E8" w:rsidRDefault="00D338DC" w:rsidP="00D338DC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0744E8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D65AF6" w:rsidRPr="00E96B43" w:rsidRDefault="00D65AF6" w:rsidP="00D65A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E96B43">
                        <w:rPr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Pr="00E96B43">
                        <w:rPr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"https://bdm.stat.gov.pl/" </w:instrText>
                      </w:r>
                      <w:r w:rsidRPr="00E96B43">
                        <w:rPr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Pr="00E96B4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Macroeconomic Data Bank – Financial Results of Investment Funds and Investment Funds Companies</w:t>
                      </w:r>
                    </w:p>
                    <w:p w:rsidR="00AB6D25" w:rsidRPr="000744E8" w:rsidRDefault="00D65AF6" w:rsidP="00D65AF6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E96B43">
                        <w:rPr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</w:p>
                    <w:p w:rsidR="00673C26" w:rsidRPr="000744E8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AB6D25" w:rsidRPr="000744E8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0744E8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0744E8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0744E8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:rsidR="00D65AF6" w:rsidRPr="00E96B43" w:rsidRDefault="001365F9" w:rsidP="00D65A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3" w:history="1">
                        <w:r w:rsidR="00D65AF6" w:rsidRPr="00E96B4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Investment Fund</w:t>
                        </w:r>
                      </w:hyperlink>
                    </w:p>
                    <w:p w:rsidR="00D65AF6" w:rsidRPr="00E96B43" w:rsidRDefault="001365F9" w:rsidP="00D65A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4" w:history="1">
                        <w:r w:rsidR="00D65AF6" w:rsidRPr="00E96B4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Investment Fund Company</w:t>
                        </w:r>
                      </w:hyperlink>
                    </w:p>
                    <w:p w:rsidR="00DB4CC6" w:rsidRPr="00E72B1C" w:rsidRDefault="00DB4CC6" w:rsidP="00DB4CC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Pr="00505A9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25"/>
      <w:footerReference w:type="default" r:id="rId2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F9" w:rsidRDefault="001365F9" w:rsidP="000662E2">
      <w:pPr>
        <w:spacing w:after="0" w:line="240" w:lineRule="auto"/>
      </w:pPr>
      <w:r>
        <w:separator/>
      </w:r>
    </w:p>
  </w:endnote>
  <w:endnote w:type="continuationSeparator" w:id="0">
    <w:p w:rsidR="001365F9" w:rsidRDefault="001365F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0AF" w:rsidRDefault="00032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076485"/>
      <w:docPartObj>
        <w:docPartGallery w:val="Page Numbers (Bottom of Page)"/>
        <w:docPartUnique/>
      </w:docPartObj>
    </w:sdtPr>
    <w:sdtEndPr/>
    <w:sdtContent>
      <w:p w:rsidR="00EB556D" w:rsidRDefault="00B64ED1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5A19F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6D" w:rsidRDefault="00EB556D" w:rsidP="003B18B6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B64ED1" w:rsidP="003B18B6">
        <w:pPr>
          <w:pStyle w:val="Stopka"/>
          <w:jc w:val="center"/>
        </w:pPr>
        <w:r>
          <w:fldChar w:fldCharType="begin"/>
        </w:r>
        <w:r w:rsidR="003B18B6">
          <w:instrText>PAGE   \* MERGEFORMAT</w:instrText>
        </w:r>
        <w:r>
          <w:fldChar w:fldCharType="separate"/>
        </w:r>
        <w:r w:rsidR="005A19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F9" w:rsidRDefault="001365F9" w:rsidP="000662E2">
      <w:pPr>
        <w:spacing w:after="0" w:line="240" w:lineRule="auto"/>
      </w:pPr>
      <w:r>
        <w:separator/>
      </w:r>
    </w:p>
  </w:footnote>
  <w:footnote w:type="continuationSeparator" w:id="0">
    <w:p w:rsidR="001365F9" w:rsidRDefault="001365F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0AF" w:rsidRDefault="00032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E2" w:rsidRDefault="009F7A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23B6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37" w:rsidRDefault="00D3055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2" name="Obraz 2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7A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9F7A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C9F87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  <w:p w:rsidR="001C7430" w:rsidRDefault="001C7430">
    <w:pPr>
      <w:pStyle w:val="Nagwek"/>
      <w:rPr>
        <w:noProof/>
        <w:lang w:eastAsia="pl-PL"/>
      </w:rPr>
    </w:pPr>
  </w:p>
  <w:p w:rsidR="001C7430" w:rsidRDefault="001C7430">
    <w:pPr>
      <w:pStyle w:val="Nagwek"/>
      <w:rPr>
        <w:noProof/>
        <w:lang w:eastAsia="pl-PL"/>
      </w:rPr>
    </w:pPr>
  </w:p>
  <w:p w:rsidR="00F32749" w:rsidRDefault="009F7A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4A75A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0320AF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F6D6B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5867E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4A75A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0320AF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F6D6B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5867E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3.6pt;height:125.4pt;visibility:visible;mso-wrap-style:square" o:bullet="t">
        <v:imagedata r:id="rId1" o:title=""/>
      </v:shape>
    </w:pict>
  </w:numPicBullet>
  <w:numPicBullet w:numPicBulletId="1">
    <w:pict>
      <v:shape id="_x0000_i1041" type="#_x0000_t75" style="width:123.6pt;height:125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853"/>
    <w:rsid w:val="00001C5B"/>
    <w:rsid w:val="00003437"/>
    <w:rsid w:val="00004288"/>
    <w:rsid w:val="0000709F"/>
    <w:rsid w:val="00007C47"/>
    <w:rsid w:val="000108B8"/>
    <w:rsid w:val="000121F7"/>
    <w:rsid w:val="000152F5"/>
    <w:rsid w:val="00030D33"/>
    <w:rsid w:val="000320AF"/>
    <w:rsid w:val="00040151"/>
    <w:rsid w:val="0004582E"/>
    <w:rsid w:val="000470AA"/>
    <w:rsid w:val="00057CA1"/>
    <w:rsid w:val="00064439"/>
    <w:rsid w:val="00065E65"/>
    <w:rsid w:val="000662E2"/>
    <w:rsid w:val="00066883"/>
    <w:rsid w:val="000670DE"/>
    <w:rsid w:val="000744E8"/>
    <w:rsid w:val="00074DD8"/>
    <w:rsid w:val="0007786A"/>
    <w:rsid w:val="000806F7"/>
    <w:rsid w:val="00080863"/>
    <w:rsid w:val="00080EE9"/>
    <w:rsid w:val="000845F3"/>
    <w:rsid w:val="0008514C"/>
    <w:rsid w:val="0009036F"/>
    <w:rsid w:val="00093C74"/>
    <w:rsid w:val="000A490C"/>
    <w:rsid w:val="000B0727"/>
    <w:rsid w:val="000B3C8A"/>
    <w:rsid w:val="000C0DD6"/>
    <w:rsid w:val="000C135D"/>
    <w:rsid w:val="000C1856"/>
    <w:rsid w:val="000D1D43"/>
    <w:rsid w:val="000D1EAB"/>
    <w:rsid w:val="000D225C"/>
    <w:rsid w:val="000D2A5C"/>
    <w:rsid w:val="000D4173"/>
    <w:rsid w:val="000E0918"/>
    <w:rsid w:val="000E7435"/>
    <w:rsid w:val="001011C3"/>
    <w:rsid w:val="00101666"/>
    <w:rsid w:val="00110D87"/>
    <w:rsid w:val="00114DB9"/>
    <w:rsid w:val="00116087"/>
    <w:rsid w:val="00124DCF"/>
    <w:rsid w:val="00130296"/>
    <w:rsid w:val="00134BC5"/>
    <w:rsid w:val="00135B14"/>
    <w:rsid w:val="001365F9"/>
    <w:rsid w:val="00140CEE"/>
    <w:rsid w:val="001423B6"/>
    <w:rsid w:val="0014351A"/>
    <w:rsid w:val="001448A7"/>
    <w:rsid w:val="00146621"/>
    <w:rsid w:val="00152A29"/>
    <w:rsid w:val="00162325"/>
    <w:rsid w:val="00162E0C"/>
    <w:rsid w:val="00181205"/>
    <w:rsid w:val="00184508"/>
    <w:rsid w:val="0019325A"/>
    <w:rsid w:val="001951DA"/>
    <w:rsid w:val="00196ECA"/>
    <w:rsid w:val="001B28F3"/>
    <w:rsid w:val="001B36F6"/>
    <w:rsid w:val="001C3269"/>
    <w:rsid w:val="001C7430"/>
    <w:rsid w:val="001D1DB4"/>
    <w:rsid w:val="001D2736"/>
    <w:rsid w:val="001F33C7"/>
    <w:rsid w:val="00202DEA"/>
    <w:rsid w:val="00203EC6"/>
    <w:rsid w:val="00215F04"/>
    <w:rsid w:val="0022163F"/>
    <w:rsid w:val="00223CE0"/>
    <w:rsid w:val="00232648"/>
    <w:rsid w:val="00237194"/>
    <w:rsid w:val="0025563A"/>
    <w:rsid w:val="002574F9"/>
    <w:rsid w:val="00262720"/>
    <w:rsid w:val="00262B61"/>
    <w:rsid w:val="00267794"/>
    <w:rsid w:val="00276811"/>
    <w:rsid w:val="002774EF"/>
    <w:rsid w:val="002800E4"/>
    <w:rsid w:val="00282699"/>
    <w:rsid w:val="002926DF"/>
    <w:rsid w:val="00294E5A"/>
    <w:rsid w:val="00296697"/>
    <w:rsid w:val="002A6113"/>
    <w:rsid w:val="002B0472"/>
    <w:rsid w:val="002B6B12"/>
    <w:rsid w:val="002C2759"/>
    <w:rsid w:val="002C58F1"/>
    <w:rsid w:val="002D5D08"/>
    <w:rsid w:val="002E3BE8"/>
    <w:rsid w:val="002E6140"/>
    <w:rsid w:val="002E6985"/>
    <w:rsid w:val="002E71B6"/>
    <w:rsid w:val="002F77C8"/>
    <w:rsid w:val="00304F22"/>
    <w:rsid w:val="00306C7C"/>
    <w:rsid w:val="00315BA0"/>
    <w:rsid w:val="00322EDD"/>
    <w:rsid w:val="00325FAD"/>
    <w:rsid w:val="00331527"/>
    <w:rsid w:val="00332320"/>
    <w:rsid w:val="00334EF7"/>
    <w:rsid w:val="00345A97"/>
    <w:rsid w:val="00347D72"/>
    <w:rsid w:val="00347DA8"/>
    <w:rsid w:val="00354FCD"/>
    <w:rsid w:val="00357611"/>
    <w:rsid w:val="0036258C"/>
    <w:rsid w:val="00363AC3"/>
    <w:rsid w:val="00367237"/>
    <w:rsid w:val="0037077F"/>
    <w:rsid w:val="00372411"/>
    <w:rsid w:val="00373882"/>
    <w:rsid w:val="00382849"/>
    <w:rsid w:val="003843DB"/>
    <w:rsid w:val="00386F2E"/>
    <w:rsid w:val="00391300"/>
    <w:rsid w:val="00393761"/>
    <w:rsid w:val="00395525"/>
    <w:rsid w:val="00397D18"/>
    <w:rsid w:val="003A1B36"/>
    <w:rsid w:val="003A1B95"/>
    <w:rsid w:val="003A2056"/>
    <w:rsid w:val="003B1454"/>
    <w:rsid w:val="003B18B6"/>
    <w:rsid w:val="003C59E0"/>
    <w:rsid w:val="003C6C8D"/>
    <w:rsid w:val="003D4F95"/>
    <w:rsid w:val="003D5C6E"/>
    <w:rsid w:val="003D5F42"/>
    <w:rsid w:val="003D60A9"/>
    <w:rsid w:val="003D726C"/>
    <w:rsid w:val="003E16C3"/>
    <w:rsid w:val="003F3F00"/>
    <w:rsid w:val="003F4C97"/>
    <w:rsid w:val="003F5BD9"/>
    <w:rsid w:val="003F7A34"/>
    <w:rsid w:val="003F7FE6"/>
    <w:rsid w:val="00400193"/>
    <w:rsid w:val="00413C70"/>
    <w:rsid w:val="00413C93"/>
    <w:rsid w:val="004212E7"/>
    <w:rsid w:val="0042446D"/>
    <w:rsid w:val="0042563F"/>
    <w:rsid w:val="00427BF8"/>
    <w:rsid w:val="00431C02"/>
    <w:rsid w:val="00432B15"/>
    <w:rsid w:val="00437395"/>
    <w:rsid w:val="00445047"/>
    <w:rsid w:val="00446B6F"/>
    <w:rsid w:val="00451A79"/>
    <w:rsid w:val="00463E39"/>
    <w:rsid w:val="004657FC"/>
    <w:rsid w:val="00466D03"/>
    <w:rsid w:val="004733F6"/>
    <w:rsid w:val="00474E69"/>
    <w:rsid w:val="00490AF3"/>
    <w:rsid w:val="004918FA"/>
    <w:rsid w:val="0049465A"/>
    <w:rsid w:val="0049621B"/>
    <w:rsid w:val="004A4833"/>
    <w:rsid w:val="004A75A3"/>
    <w:rsid w:val="004B381A"/>
    <w:rsid w:val="004B6625"/>
    <w:rsid w:val="004C1895"/>
    <w:rsid w:val="004C6D40"/>
    <w:rsid w:val="004D0C49"/>
    <w:rsid w:val="004D2C09"/>
    <w:rsid w:val="004E4411"/>
    <w:rsid w:val="004F0C3C"/>
    <w:rsid w:val="004F2AC8"/>
    <w:rsid w:val="004F63FC"/>
    <w:rsid w:val="00505A92"/>
    <w:rsid w:val="005134BB"/>
    <w:rsid w:val="005203F1"/>
    <w:rsid w:val="00521BC3"/>
    <w:rsid w:val="00524721"/>
    <w:rsid w:val="00531743"/>
    <w:rsid w:val="00533632"/>
    <w:rsid w:val="00541E6E"/>
    <w:rsid w:val="0054251F"/>
    <w:rsid w:val="00543FFA"/>
    <w:rsid w:val="005508B0"/>
    <w:rsid w:val="005520D8"/>
    <w:rsid w:val="00553E19"/>
    <w:rsid w:val="00556CF1"/>
    <w:rsid w:val="0055716A"/>
    <w:rsid w:val="005649D0"/>
    <w:rsid w:val="005729AD"/>
    <w:rsid w:val="005762A7"/>
    <w:rsid w:val="005763E1"/>
    <w:rsid w:val="005867EC"/>
    <w:rsid w:val="005916D7"/>
    <w:rsid w:val="005922C7"/>
    <w:rsid w:val="00594743"/>
    <w:rsid w:val="00595AEC"/>
    <w:rsid w:val="005A19F2"/>
    <w:rsid w:val="005A2B1D"/>
    <w:rsid w:val="005A4680"/>
    <w:rsid w:val="005A698C"/>
    <w:rsid w:val="005B0D19"/>
    <w:rsid w:val="005C1E18"/>
    <w:rsid w:val="005C6631"/>
    <w:rsid w:val="005E0799"/>
    <w:rsid w:val="005F0BEC"/>
    <w:rsid w:val="005F5A80"/>
    <w:rsid w:val="006044FF"/>
    <w:rsid w:val="00607CC5"/>
    <w:rsid w:val="00615E5C"/>
    <w:rsid w:val="0061759C"/>
    <w:rsid w:val="00617934"/>
    <w:rsid w:val="00630D03"/>
    <w:rsid w:val="00633014"/>
    <w:rsid w:val="0063437B"/>
    <w:rsid w:val="00641C79"/>
    <w:rsid w:val="0065657F"/>
    <w:rsid w:val="00657D41"/>
    <w:rsid w:val="00660E51"/>
    <w:rsid w:val="00663999"/>
    <w:rsid w:val="006673CA"/>
    <w:rsid w:val="00673C26"/>
    <w:rsid w:val="006812AF"/>
    <w:rsid w:val="0068327D"/>
    <w:rsid w:val="00694AF0"/>
    <w:rsid w:val="006A0213"/>
    <w:rsid w:val="006A4686"/>
    <w:rsid w:val="006B0E9E"/>
    <w:rsid w:val="006B1AD5"/>
    <w:rsid w:val="006B3BED"/>
    <w:rsid w:val="006B5AE4"/>
    <w:rsid w:val="006C2CBC"/>
    <w:rsid w:val="006C567C"/>
    <w:rsid w:val="006D1507"/>
    <w:rsid w:val="006D3ED3"/>
    <w:rsid w:val="006D4054"/>
    <w:rsid w:val="006E02EC"/>
    <w:rsid w:val="006F3422"/>
    <w:rsid w:val="006F6D6B"/>
    <w:rsid w:val="00711EEC"/>
    <w:rsid w:val="00712DC6"/>
    <w:rsid w:val="007204CE"/>
    <w:rsid w:val="007211B1"/>
    <w:rsid w:val="0073223E"/>
    <w:rsid w:val="00733213"/>
    <w:rsid w:val="00741F80"/>
    <w:rsid w:val="00746187"/>
    <w:rsid w:val="0075282B"/>
    <w:rsid w:val="0075658E"/>
    <w:rsid w:val="00756ED3"/>
    <w:rsid w:val="0076254F"/>
    <w:rsid w:val="00765B99"/>
    <w:rsid w:val="00770EF8"/>
    <w:rsid w:val="007801F5"/>
    <w:rsid w:val="00783CA4"/>
    <w:rsid w:val="007842FB"/>
    <w:rsid w:val="00786124"/>
    <w:rsid w:val="007928E9"/>
    <w:rsid w:val="0079514B"/>
    <w:rsid w:val="007A2DC1"/>
    <w:rsid w:val="007C659C"/>
    <w:rsid w:val="007C7A53"/>
    <w:rsid w:val="007D3319"/>
    <w:rsid w:val="007D335D"/>
    <w:rsid w:val="007E3314"/>
    <w:rsid w:val="007E4B03"/>
    <w:rsid w:val="007F324B"/>
    <w:rsid w:val="00805400"/>
    <w:rsid w:val="0080553C"/>
    <w:rsid w:val="00805B46"/>
    <w:rsid w:val="00805F1C"/>
    <w:rsid w:val="00806AFF"/>
    <w:rsid w:val="00812B30"/>
    <w:rsid w:val="00815F98"/>
    <w:rsid w:val="0082426A"/>
    <w:rsid w:val="00825DC2"/>
    <w:rsid w:val="00834AD3"/>
    <w:rsid w:val="00834DF5"/>
    <w:rsid w:val="0084267F"/>
    <w:rsid w:val="00843795"/>
    <w:rsid w:val="008464E6"/>
    <w:rsid w:val="00847F0F"/>
    <w:rsid w:val="00852448"/>
    <w:rsid w:val="008565F7"/>
    <w:rsid w:val="0086760D"/>
    <w:rsid w:val="0088258A"/>
    <w:rsid w:val="00886332"/>
    <w:rsid w:val="00886A7D"/>
    <w:rsid w:val="0089219F"/>
    <w:rsid w:val="00894DFD"/>
    <w:rsid w:val="00895FF8"/>
    <w:rsid w:val="008A26D9"/>
    <w:rsid w:val="008A7B88"/>
    <w:rsid w:val="008B001E"/>
    <w:rsid w:val="008B5FBB"/>
    <w:rsid w:val="008C0C29"/>
    <w:rsid w:val="008D1458"/>
    <w:rsid w:val="008E2347"/>
    <w:rsid w:val="008F3019"/>
    <w:rsid w:val="008F3638"/>
    <w:rsid w:val="008F4441"/>
    <w:rsid w:val="008F6F31"/>
    <w:rsid w:val="008F74DF"/>
    <w:rsid w:val="009127BA"/>
    <w:rsid w:val="00913EFE"/>
    <w:rsid w:val="00915AA6"/>
    <w:rsid w:val="009227A6"/>
    <w:rsid w:val="00923638"/>
    <w:rsid w:val="009242B8"/>
    <w:rsid w:val="00924E2E"/>
    <w:rsid w:val="00933EC1"/>
    <w:rsid w:val="00941BEA"/>
    <w:rsid w:val="00942BA2"/>
    <w:rsid w:val="00950D8E"/>
    <w:rsid w:val="009530DB"/>
    <w:rsid w:val="00953676"/>
    <w:rsid w:val="0095512A"/>
    <w:rsid w:val="009705EE"/>
    <w:rsid w:val="009720FB"/>
    <w:rsid w:val="00974637"/>
    <w:rsid w:val="00977927"/>
    <w:rsid w:val="009808BB"/>
    <w:rsid w:val="0098135C"/>
    <w:rsid w:val="0098156A"/>
    <w:rsid w:val="0098188A"/>
    <w:rsid w:val="00985CF5"/>
    <w:rsid w:val="0098775E"/>
    <w:rsid w:val="00991BAC"/>
    <w:rsid w:val="009A5961"/>
    <w:rsid w:val="009A6EA0"/>
    <w:rsid w:val="009C1335"/>
    <w:rsid w:val="009C1AB2"/>
    <w:rsid w:val="009C1AFD"/>
    <w:rsid w:val="009C7251"/>
    <w:rsid w:val="009E0985"/>
    <w:rsid w:val="009E2E91"/>
    <w:rsid w:val="009E5A64"/>
    <w:rsid w:val="009F7A89"/>
    <w:rsid w:val="00A139F5"/>
    <w:rsid w:val="00A15F16"/>
    <w:rsid w:val="00A24587"/>
    <w:rsid w:val="00A30006"/>
    <w:rsid w:val="00A312EE"/>
    <w:rsid w:val="00A335AC"/>
    <w:rsid w:val="00A33DA9"/>
    <w:rsid w:val="00A365F4"/>
    <w:rsid w:val="00A37DBC"/>
    <w:rsid w:val="00A42544"/>
    <w:rsid w:val="00A47D80"/>
    <w:rsid w:val="00A53132"/>
    <w:rsid w:val="00A563F2"/>
    <w:rsid w:val="00A566E8"/>
    <w:rsid w:val="00A61128"/>
    <w:rsid w:val="00A67511"/>
    <w:rsid w:val="00A810F9"/>
    <w:rsid w:val="00A84958"/>
    <w:rsid w:val="00A86ECC"/>
    <w:rsid w:val="00A86FCC"/>
    <w:rsid w:val="00A94074"/>
    <w:rsid w:val="00AA710D"/>
    <w:rsid w:val="00AB14A0"/>
    <w:rsid w:val="00AB5DFF"/>
    <w:rsid w:val="00AB6D25"/>
    <w:rsid w:val="00AC3FCE"/>
    <w:rsid w:val="00AD40D1"/>
    <w:rsid w:val="00AE2D4B"/>
    <w:rsid w:val="00AE4F99"/>
    <w:rsid w:val="00AF3186"/>
    <w:rsid w:val="00AF4B1B"/>
    <w:rsid w:val="00B04B80"/>
    <w:rsid w:val="00B12859"/>
    <w:rsid w:val="00B1321E"/>
    <w:rsid w:val="00B14952"/>
    <w:rsid w:val="00B2507C"/>
    <w:rsid w:val="00B2764F"/>
    <w:rsid w:val="00B30ABB"/>
    <w:rsid w:val="00B31E5A"/>
    <w:rsid w:val="00B46AB0"/>
    <w:rsid w:val="00B521D5"/>
    <w:rsid w:val="00B64ED1"/>
    <w:rsid w:val="00B653AB"/>
    <w:rsid w:val="00B65F9E"/>
    <w:rsid w:val="00B66B19"/>
    <w:rsid w:val="00B72F9E"/>
    <w:rsid w:val="00B73F22"/>
    <w:rsid w:val="00B914E9"/>
    <w:rsid w:val="00B91519"/>
    <w:rsid w:val="00B956EE"/>
    <w:rsid w:val="00BA2BA1"/>
    <w:rsid w:val="00BB1508"/>
    <w:rsid w:val="00BB4F09"/>
    <w:rsid w:val="00BB6A91"/>
    <w:rsid w:val="00BB6CF2"/>
    <w:rsid w:val="00BB7C0E"/>
    <w:rsid w:val="00BC1A9C"/>
    <w:rsid w:val="00BC39B4"/>
    <w:rsid w:val="00BD2D71"/>
    <w:rsid w:val="00BD49AB"/>
    <w:rsid w:val="00BD4E33"/>
    <w:rsid w:val="00BE13B8"/>
    <w:rsid w:val="00BF1279"/>
    <w:rsid w:val="00BF300F"/>
    <w:rsid w:val="00BF53A8"/>
    <w:rsid w:val="00C030DE"/>
    <w:rsid w:val="00C034BC"/>
    <w:rsid w:val="00C06732"/>
    <w:rsid w:val="00C069DD"/>
    <w:rsid w:val="00C160DA"/>
    <w:rsid w:val="00C22105"/>
    <w:rsid w:val="00C244B6"/>
    <w:rsid w:val="00C3702F"/>
    <w:rsid w:val="00C37381"/>
    <w:rsid w:val="00C41F7D"/>
    <w:rsid w:val="00C42943"/>
    <w:rsid w:val="00C502EA"/>
    <w:rsid w:val="00C5094C"/>
    <w:rsid w:val="00C64A37"/>
    <w:rsid w:val="00C71415"/>
    <w:rsid w:val="00C7158E"/>
    <w:rsid w:val="00C71E0A"/>
    <w:rsid w:val="00C7250B"/>
    <w:rsid w:val="00C7346B"/>
    <w:rsid w:val="00C77C0E"/>
    <w:rsid w:val="00C91687"/>
    <w:rsid w:val="00C9209D"/>
    <w:rsid w:val="00C924A8"/>
    <w:rsid w:val="00C945FE"/>
    <w:rsid w:val="00C96FAA"/>
    <w:rsid w:val="00C97A04"/>
    <w:rsid w:val="00CA107B"/>
    <w:rsid w:val="00CA2132"/>
    <w:rsid w:val="00CA2D22"/>
    <w:rsid w:val="00CA484D"/>
    <w:rsid w:val="00CA4FB6"/>
    <w:rsid w:val="00CB41A7"/>
    <w:rsid w:val="00CC739E"/>
    <w:rsid w:val="00CD35A7"/>
    <w:rsid w:val="00CD58B7"/>
    <w:rsid w:val="00CF4099"/>
    <w:rsid w:val="00D00796"/>
    <w:rsid w:val="00D0492E"/>
    <w:rsid w:val="00D261A2"/>
    <w:rsid w:val="00D30555"/>
    <w:rsid w:val="00D338DC"/>
    <w:rsid w:val="00D33CF4"/>
    <w:rsid w:val="00D4156C"/>
    <w:rsid w:val="00D4555F"/>
    <w:rsid w:val="00D5107C"/>
    <w:rsid w:val="00D55758"/>
    <w:rsid w:val="00D616D2"/>
    <w:rsid w:val="00D63B5F"/>
    <w:rsid w:val="00D64203"/>
    <w:rsid w:val="00D65AF6"/>
    <w:rsid w:val="00D70EF7"/>
    <w:rsid w:val="00D8363D"/>
    <w:rsid w:val="00D8397C"/>
    <w:rsid w:val="00D85984"/>
    <w:rsid w:val="00D931B8"/>
    <w:rsid w:val="00D94EED"/>
    <w:rsid w:val="00D96026"/>
    <w:rsid w:val="00DA4463"/>
    <w:rsid w:val="00DA7C1C"/>
    <w:rsid w:val="00DB147A"/>
    <w:rsid w:val="00DB1B7A"/>
    <w:rsid w:val="00DB4CC6"/>
    <w:rsid w:val="00DC02DB"/>
    <w:rsid w:val="00DC6708"/>
    <w:rsid w:val="00DC7EC2"/>
    <w:rsid w:val="00E01436"/>
    <w:rsid w:val="00E045BD"/>
    <w:rsid w:val="00E107FB"/>
    <w:rsid w:val="00E17B77"/>
    <w:rsid w:val="00E23337"/>
    <w:rsid w:val="00E259EA"/>
    <w:rsid w:val="00E31ACC"/>
    <w:rsid w:val="00E32061"/>
    <w:rsid w:val="00E341FB"/>
    <w:rsid w:val="00E3783E"/>
    <w:rsid w:val="00E42FF9"/>
    <w:rsid w:val="00E43207"/>
    <w:rsid w:val="00E4714C"/>
    <w:rsid w:val="00E51AEB"/>
    <w:rsid w:val="00E522A7"/>
    <w:rsid w:val="00E54452"/>
    <w:rsid w:val="00E57D05"/>
    <w:rsid w:val="00E64FC0"/>
    <w:rsid w:val="00E664C5"/>
    <w:rsid w:val="00E671A2"/>
    <w:rsid w:val="00E73765"/>
    <w:rsid w:val="00E76D26"/>
    <w:rsid w:val="00E84408"/>
    <w:rsid w:val="00E96B43"/>
    <w:rsid w:val="00E973A9"/>
    <w:rsid w:val="00E97A00"/>
    <w:rsid w:val="00E97A12"/>
    <w:rsid w:val="00EA5042"/>
    <w:rsid w:val="00EB1390"/>
    <w:rsid w:val="00EB2C71"/>
    <w:rsid w:val="00EB4340"/>
    <w:rsid w:val="00EB4C27"/>
    <w:rsid w:val="00EB556D"/>
    <w:rsid w:val="00EB5A7D"/>
    <w:rsid w:val="00EB6F31"/>
    <w:rsid w:val="00ED55C0"/>
    <w:rsid w:val="00ED682B"/>
    <w:rsid w:val="00ED6C96"/>
    <w:rsid w:val="00EE144A"/>
    <w:rsid w:val="00EE1CE5"/>
    <w:rsid w:val="00EE41D5"/>
    <w:rsid w:val="00EE669E"/>
    <w:rsid w:val="00EE76E6"/>
    <w:rsid w:val="00F037A4"/>
    <w:rsid w:val="00F05B0E"/>
    <w:rsid w:val="00F06B26"/>
    <w:rsid w:val="00F07C01"/>
    <w:rsid w:val="00F14C10"/>
    <w:rsid w:val="00F27C8F"/>
    <w:rsid w:val="00F32749"/>
    <w:rsid w:val="00F37172"/>
    <w:rsid w:val="00F416C8"/>
    <w:rsid w:val="00F418D1"/>
    <w:rsid w:val="00F4477E"/>
    <w:rsid w:val="00F47038"/>
    <w:rsid w:val="00F47563"/>
    <w:rsid w:val="00F55E93"/>
    <w:rsid w:val="00F65C9A"/>
    <w:rsid w:val="00F670E8"/>
    <w:rsid w:val="00F67D8F"/>
    <w:rsid w:val="00F80042"/>
    <w:rsid w:val="00F802BE"/>
    <w:rsid w:val="00F82F36"/>
    <w:rsid w:val="00F85591"/>
    <w:rsid w:val="00F86024"/>
    <w:rsid w:val="00F8611A"/>
    <w:rsid w:val="00F94CCE"/>
    <w:rsid w:val="00FA4729"/>
    <w:rsid w:val="00FA5128"/>
    <w:rsid w:val="00FA5405"/>
    <w:rsid w:val="00FB42D4"/>
    <w:rsid w:val="00FB5906"/>
    <w:rsid w:val="00FB762F"/>
    <w:rsid w:val="00FC2AED"/>
    <w:rsid w:val="00FC553B"/>
    <w:rsid w:val="00FD4C0A"/>
    <w:rsid w:val="00FD5EA7"/>
    <w:rsid w:val="00FD670D"/>
    <w:rsid w:val="00FE7252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E5B06-4016-4203-93B0-C959723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customStyle="1" w:styleId="tlid-translation">
    <w:name w:val="tlid-translation"/>
    <w:basedOn w:val="Domylnaczcionkaakapitu"/>
    <w:rsid w:val="00A6751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7B88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Siatkatabelijasna10">
    <w:name w:val="Siatka tabeli — jasna1"/>
    <w:basedOn w:val="Standardowy"/>
    <w:uiPriority w:val="40"/>
    <w:rsid w:val="00765B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0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EC"/>
    <w:rPr>
      <w:rFonts w:ascii="Fira Sans" w:hAnsi="Fira San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65AF6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98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5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metainformacje/slownik-pojec/pojecia-stosowane-w-statystyce-publicznej/1526,pojecie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stat.gov.pl/metainformacje/slownik-pojec/pojecia-stosowane-w-statystyce-publicznej/1646,pojecie.htm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stat.gov.pl/metainformacje/slownik-pojec/pojecia-stosowane-w-statystyce-publicznej/1526,pojecie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stat.gov.pl/metainformacje/slownik-pojec/pojecia-stosowane-w-statystyce-publicznej/1646,pojecie.html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STAT\KULCZYCKAJ</Osoba>
    <NazwaPliku xmlns="8C029B3F-2CC4-4A59-AF0D-A90575FA3373">News release_Financial results of TFI in the first half 2021 EN GUS.DOCX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04AD-A0D4-4B98-BFC0-00A53A8E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BBAB6-5F41-42A6-ABC0-F188997497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82105227-E166-4FFB-8120-32EF5638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2017-11-07T13:05:00Z</cp:lastPrinted>
  <dcterms:created xsi:type="dcterms:W3CDTF">2021-10-08T07:02:00Z</dcterms:created>
  <dcterms:modified xsi:type="dcterms:W3CDTF">2021-10-18T11:24:00Z</dcterms:modified>
</cp:coreProperties>
</file>