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82A6A" w14:textId="77777777" w:rsidR="0098135C" w:rsidRPr="00C30BE8" w:rsidRDefault="00563DB2" w:rsidP="00EE02AE">
      <w:pPr>
        <w:pStyle w:val="tytuinformacji"/>
        <w:spacing w:after="600"/>
        <w:rPr>
          <w:shd w:val="clear" w:color="auto" w:fill="FFFFFF"/>
          <w:lang w:val="en-GB"/>
        </w:rPr>
      </w:pPr>
      <w:r w:rsidRPr="00C30BE8">
        <w:rPr>
          <w:noProof/>
          <w:color w:val="001D77"/>
          <w:lang w:eastAsia="pl-PL"/>
        </w:rPr>
        <mc:AlternateContent>
          <mc:Choice Requires="wps">
            <w:drawing>
              <wp:anchor distT="45720" distB="45720" distL="114300" distR="114300" simplePos="0" relativeHeight="251770880" behindDoc="0" locked="0" layoutInCell="1" allowOverlap="1" wp14:anchorId="75604AC6" wp14:editId="1BF57340">
                <wp:simplePos x="0" y="0"/>
                <wp:positionH relativeFrom="margin">
                  <wp:posOffset>0</wp:posOffset>
                </wp:positionH>
                <wp:positionV relativeFrom="paragraph">
                  <wp:posOffset>754380</wp:posOffset>
                </wp:positionV>
                <wp:extent cx="2381250" cy="1422400"/>
                <wp:effectExtent l="0" t="0" r="0" b="6350"/>
                <wp:wrapSquare wrapText="bothSides"/>
                <wp:docPr id="12"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22400"/>
                        </a:xfrm>
                        <a:prstGeom prst="roundRect">
                          <a:avLst/>
                        </a:prstGeom>
                        <a:solidFill>
                          <a:srgbClr val="001D77"/>
                        </a:solidFill>
                        <a:ln w="9525">
                          <a:noFill/>
                          <a:miter lim="800000"/>
                          <a:headEnd/>
                          <a:tailEnd/>
                        </a:ln>
                      </wps:spPr>
                      <wps:txbx>
                        <w:txbxContent>
                          <w:p w14:paraId="548CACD7" w14:textId="77777777" w:rsidR="00EE02AE" w:rsidRPr="00F800BC" w:rsidRDefault="009F7835" w:rsidP="009F7835">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Pr="00F800BC">
                              <w:rPr>
                                <w:rStyle w:val="IkonawskanikaZnak"/>
                                <w:lang w:val="en-GB"/>
                              </w:rPr>
                              <w:t xml:space="preserve"> </w:t>
                            </w:r>
                            <w:r w:rsidR="00F800BC" w:rsidRPr="00F800BC">
                              <w:rPr>
                                <w:rStyle w:val="WartowskanikaZnak"/>
                                <w:lang w:val="en-GB"/>
                              </w:rPr>
                              <w:t>54.</w:t>
                            </w:r>
                            <w:r w:rsidRPr="00F800BC">
                              <w:rPr>
                                <w:rStyle w:val="WartowskanikaZnak"/>
                                <w:lang w:val="en-GB"/>
                              </w:rPr>
                              <w:t>0%</w:t>
                            </w:r>
                          </w:p>
                          <w:p w14:paraId="33CF84CE" w14:textId="1E46631B" w:rsidR="00EE02AE" w:rsidRPr="00F800BC" w:rsidRDefault="00F800BC" w:rsidP="009F7835">
                            <w:pPr>
                              <w:pStyle w:val="Opiswskanika"/>
                              <w:rPr>
                                <w:sz w:val="18"/>
                                <w:szCs w:val="20"/>
                                <w:lang w:val="en-GB"/>
                              </w:rPr>
                            </w:pPr>
                            <w:r w:rsidRPr="00F800BC">
                              <w:rPr>
                                <w:lang w:val="en-GB"/>
                              </w:rPr>
                              <w:t xml:space="preserve">Decrease in the number of tourists </w:t>
                            </w:r>
                            <w:r w:rsidR="002F0AB9">
                              <w:rPr>
                                <w:lang w:val="en-GB"/>
                              </w:rPr>
                              <w:t>accommodated in</w:t>
                            </w:r>
                            <w:r w:rsidRPr="00F800BC">
                              <w:rPr>
                                <w:lang w:val="en-GB"/>
                              </w:rPr>
                              <w:t xml:space="preserve"> </w:t>
                            </w:r>
                            <w:r w:rsidR="002F0AB9">
                              <w:rPr>
                                <w:lang w:val="en-GB"/>
                              </w:rPr>
                              <w:t xml:space="preserve">accommodation </w:t>
                            </w:r>
                            <w:r w:rsidRPr="00F800BC">
                              <w:rPr>
                                <w:lang w:val="en-GB"/>
                              </w:rPr>
                              <w:t>establishments located in the 27 countries of the European</w:t>
                            </w:r>
                            <w:r w:rsidR="001D5403">
                              <w:rPr>
                                <w:lang w:val="en-GB"/>
                              </w:rPr>
                              <w:t xml:space="preserve"> Union in 2020 compared to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604AC6" id="Pole tekstowe 2" o:spid="_x0000_s1026" alt="Opis wskaźnika" style="position:absolute;margin-left:0;margin-top:59.4pt;width:187.5pt;height:11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" fillcolor="#001d77" stroked="f">
                <v:stroke joinstyle="miter"/>
                <v:textbox>
                  <w:txbxContent>
                    <w:p w14:paraId="548CACD7" w14:textId="77777777" w:rsidR="00EE02AE" w:rsidRPr="00F800BC" w:rsidRDefault="009F7835" w:rsidP="009F7835">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Pr="00F800BC">
                        <w:rPr>
                          <w:rStyle w:val="IkonawskanikaZnak"/>
                          <w:lang w:val="en-GB"/>
                        </w:rPr>
                        <w:t xml:space="preserve"> </w:t>
                      </w:r>
                      <w:r w:rsidR="00F800BC" w:rsidRPr="00F800BC">
                        <w:rPr>
                          <w:rStyle w:val="WartowskanikaZnak"/>
                          <w:lang w:val="en-GB"/>
                        </w:rPr>
                        <w:t>54.</w:t>
                      </w:r>
                      <w:r w:rsidRPr="00F800BC">
                        <w:rPr>
                          <w:rStyle w:val="WartowskanikaZnak"/>
                          <w:lang w:val="en-GB"/>
                        </w:rPr>
                        <w:t>0%</w:t>
                      </w:r>
                    </w:p>
                    <w:p w14:paraId="33CF84CE" w14:textId="1E46631B" w:rsidR="00EE02AE" w:rsidRPr="00F800BC" w:rsidRDefault="00F800BC" w:rsidP="009F7835">
                      <w:pPr>
                        <w:pStyle w:val="Opiswskanika"/>
                        <w:rPr>
                          <w:sz w:val="18"/>
                          <w:szCs w:val="20"/>
                          <w:lang w:val="en-GB"/>
                        </w:rPr>
                      </w:pPr>
                      <w:r w:rsidRPr="00F800BC">
                        <w:rPr>
                          <w:lang w:val="en-GB"/>
                        </w:rPr>
                        <w:t xml:space="preserve">Decrease in the number of tourists </w:t>
                      </w:r>
                      <w:r w:rsidR="002F0AB9">
                        <w:rPr>
                          <w:lang w:val="en-GB"/>
                        </w:rPr>
                        <w:t>accommodated in</w:t>
                      </w:r>
                      <w:r w:rsidRPr="00F800BC">
                        <w:rPr>
                          <w:lang w:val="en-GB"/>
                        </w:rPr>
                        <w:t xml:space="preserve"> </w:t>
                      </w:r>
                      <w:r w:rsidR="002F0AB9">
                        <w:rPr>
                          <w:lang w:val="en-GB"/>
                        </w:rPr>
                        <w:t xml:space="preserve">accommodation </w:t>
                      </w:r>
                      <w:r w:rsidRPr="00F800BC">
                        <w:rPr>
                          <w:lang w:val="en-GB"/>
                        </w:rPr>
                        <w:t>establishments located in the 27 countries of the European</w:t>
                      </w:r>
                      <w:r w:rsidR="001D5403">
                        <w:rPr>
                          <w:lang w:val="en-GB"/>
                        </w:rPr>
                        <w:t xml:space="preserve"> Union in 2020 compared to 2019</w:t>
                      </w:r>
                    </w:p>
                  </w:txbxContent>
                </v:textbox>
                <w10:wrap type="square" anchorx="margin"/>
              </v:roundrect>
            </w:pict>
          </mc:Fallback>
        </mc:AlternateContent>
      </w:r>
      <w:r w:rsidR="00622A84" w:rsidRPr="00C30BE8">
        <w:rPr>
          <w:shd w:val="clear" w:color="auto" w:fill="FFFFFF"/>
          <w:lang w:val="en-GB"/>
        </w:rPr>
        <w:t xml:space="preserve"> </w:t>
      </w:r>
      <w:r w:rsidR="00D664A5" w:rsidRPr="00C30BE8">
        <w:rPr>
          <w:shd w:val="clear" w:color="auto" w:fill="FFFFFF"/>
          <w:lang w:val="en-GB"/>
        </w:rPr>
        <w:t>Tourism in the European Union - data for 2020</w:t>
      </w:r>
    </w:p>
    <w:p w14:paraId="12EFD9C9" w14:textId="08A4B233" w:rsidR="00003437" w:rsidRPr="00C30BE8" w:rsidRDefault="008538F7" w:rsidP="00D664A5">
      <w:pPr>
        <w:pStyle w:val="LID"/>
        <w:spacing w:before="360"/>
        <w:rPr>
          <w:noProof w:val="0"/>
          <w:lang w:val="en-GB"/>
        </w:rPr>
      </w:pPr>
      <w:r>
        <w:rPr>
          <w:noProof w:val="0"/>
          <w:lang w:val="en-GB"/>
        </w:rPr>
        <w:br/>
      </w:r>
      <w:r w:rsidR="00D664A5" w:rsidRPr="00C30BE8">
        <w:rPr>
          <w:noProof w:val="0"/>
          <w:lang w:val="en-GB"/>
        </w:rPr>
        <w:t xml:space="preserve">In 2020, </w:t>
      </w:r>
      <w:r w:rsidR="002F0AB9" w:rsidRPr="004C22BE">
        <w:rPr>
          <w:noProof w:val="0"/>
          <w:lang w:val="en-GB"/>
        </w:rPr>
        <w:t xml:space="preserve">in tourist accommodation establishments located in the 27 countries of the European Union </w:t>
      </w:r>
      <w:r w:rsidR="00D664A5" w:rsidRPr="004C22BE">
        <w:rPr>
          <w:noProof w:val="0"/>
          <w:lang w:val="en-GB"/>
        </w:rPr>
        <w:t xml:space="preserve">462.7 million people </w:t>
      </w:r>
      <w:r w:rsidR="002F0AB9" w:rsidRPr="004C22BE">
        <w:rPr>
          <w:noProof w:val="0"/>
          <w:lang w:val="en-GB"/>
        </w:rPr>
        <w:t>were accommodated</w:t>
      </w:r>
      <w:r w:rsidR="00D664A5" w:rsidRPr="004C22BE">
        <w:rPr>
          <w:noProof w:val="0"/>
          <w:lang w:val="en-GB"/>
        </w:rPr>
        <w:t xml:space="preserve">, </w:t>
      </w:r>
      <w:r w:rsidR="002F0AB9" w:rsidRPr="004C22BE">
        <w:rPr>
          <w:noProof w:val="0"/>
          <w:lang w:val="en-GB"/>
        </w:rPr>
        <w:t>with</w:t>
      </w:r>
      <w:r w:rsidR="00D664A5" w:rsidRPr="004C22BE">
        <w:rPr>
          <w:noProof w:val="0"/>
          <w:lang w:val="en-GB"/>
        </w:rPr>
        <w:t xml:space="preserve"> 1.4 billion overnight stays</w:t>
      </w:r>
      <w:r w:rsidR="002F0AB9" w:rsidRPr="004C22BE">
        <w:rPr>
          <w:noProof w:val="0"/>
          <w:lang w:val="en-GB"/>
        </w:rPr>
        <w:t xml:space="preserve"> provided </w:t>
      </w:r>
      <w:r w:rsidR="00C30BE8" w:rsidRPr="004C22BE">
        <w:rPr>
          <w:noProof w:val="0"/>
          <w:lang w:val="en-GB"/>
        </w:rPr>
        <w:t>to</w:t>
      </w:r>
      <w:r w:rsidR="002F0AB9" w:rsidRPr="004C22BE">
        <w:rPr>
          <w:noProof w:val="0"/>
          <w:lang w:val="en-GB"/>
        </w:rPr>
        <w:t xml:space="preserve"> them</w:t>
      </w:r>
      <w:r w:rsidR="00D664A5" w:rsidRPr="004C22BE">
        <w:rPr>
          <w:noProof w:val="0"/>
          <w:lang w:val="en-GB"/>
        </w:rPr>
        <w:t>. Compared to 2019, both the number of tourists and the number of overnight stays provided to them decreased - by 54.0% and 50.9% respectively.</w:t>
      </w:r>
      <w:r w:rsidR="00360ABA" w:rsidRPr="004C22BE">
        <w:rPr>
          <w:noProof w:val="0"/>
          <w:lang w:val="en-GB"/>
        </w:rPr>
        <w:t xml:space="preserve"> </w:t>
      </w:r>
    </w:p>
    <w:p w14:paraId="315503E9" w14:textId="77777777" w:rsidR="008538F7" w:rsidRDefault="008538F7" w:rsidP="00C46F94">
      <w:pPr>
        <w:pStyle w:val="Tekstprzypisudolnego"/>
        <w:spacing w:after="120" w:line="288" w:lineRule="auto"/>
        <w:rPr>
          <w:i/>
          <w:sz w:val="19"/>
          <w:szCs w:val="19"/>
          <w:shd w:val="clear" w:color="auto" w:fill="FFFFFF"/>
          <w:lang w:val="en-GB"/>
        </w:rPr>
      </w:pPr>
    </w:p>
    <w:p w14:paraId="2E381B1C" w14:textId="77777777" w:rsidR="002F5C1F" w:rsidRPr="004C22BE" w:rsidRDefault="00D664A5" w:rsidP="00C46F94">
      <w:pPr>
        <w:pStyle w:val="Tekstprzypisudolnego"/>
        <w:spacing w:after="120" w:line="288" w:lineRule="auto"/>
        <w:rPr>
          <w:sz w:val="19"/>
          <w:szCs w:val="19"/>
          <w:shd w:val="clear" w:color="auto" w:fill="FFFFFF"/>
          <w:lang w:val="en-GB"/>
        </w:rPr>
      </w:pPr>
      <w:r w:rsidRPr="00C30BE8">
        <w:rPr>
          <w:i/>
          <w:sz w:val="19"/>
          <w:szCs w:val="19"/>
          <w:shd w:val="clear" w:color="auto" w:fill="FFFFFF"/>
          <w:lang w:val="en-GB"/>
        </w:rPr>
        <w:t>Under current legislation</w:t>
      </w:r>
      <w:r w:rsidR="007F4887">
        <w:rPr>
          <w:rStyle w:val="Odwoanieprzypisudolnego"/>
          <w:i/>
          <w:sz w:val="19"/>
          <w:szCs w:val="19"/>
          <w:shd w:val="clear" w:color="auto" w:fill="FFFFFF"/>
          <w:lang w:val="en-GB"/>
        </w:rPr>
        <w:footnoteReference w:id="1"/>
      </w:r>
      <w:r w:rsidRPr="00C30BE8">
        <w:rPr>
          <w:i/>
          <w:sz w:val="19"/>
          <w:szCs w:val="19"/>
          <w:shd w:val="clear" w:color="auto" w:fill="FFFFFF"/>
          <w:lang w:val="en-GB"/>
        </w:rPr>
        <w:t xml:space="preserve">, the </w:t>
      </w:r>
      <w:r w:rsidRPr="004C22BE">
        <w:rPr>
          <w:i/>
          <w:sz w:val="19"/>
          <w:szCs w:val="19"/>
          <w:shd w:val="clear" w:color="auto" w:fill="FFFFFF"/>
          <w:lang w:val="en-GB"/>
        </w:rPr>
        <w:t>scope of information provided by European Union (EU) member states to Eurostat includes at least all tourist accommodation establishments with 10 or more bed places. Transmission of data on establishments with 9 or fewer bed</w:t>
      </w:r>
      <w:r w:rsidR="00834220" w:rsidRPr="004C22BE">
        <w:rPr>
          <w:i/>
          <w:sz w:val="19"/>
          <w:szCs w:val="19"/>
          <w:shd w:val="clear" w:color="auto" w:fill="FFFFFF"/>
          <w:lang w:val="en-GB"/>
        </w:rPr>
        <w:t xml:space="preserve"> places</w:t>
      </w:r>
      <w:r w:rsidRPr="004C22BE">
        <w:rPr>
          <w:i/>
          <w:sz w:val="19"/>
          <w:szCs w:val="19"/>
          <w:shd w:val="clear" w:color="auto" w:fill="FFFFFF"/>
          <w:lang w:val="en-GB"/>
        </w:rPr>
        <w:t xml:space="preserve"> is not mandatory and not all countries provide such data. </w:t>
      </w:r>
      <w:r w:rsidR="0030349F" w:rsidRPr="004C22BE">
        <w:rPr>
          <w:i/>
          <w:sz w:val="19"/>
          <w:szCs w:val="19"/>
          <w:shd w:val="clear" w:color="auto" w:fill="FFFFFF"/>
          <w:lang w:val="en-GB"/>
        </w:rPr>
        <w:t>T</w:t>
      </w:r>
      <w:r w:rsidR="00834220" w:rsidRPr="004C22BE">
        <w:rPr>
          <w:i/>
          <w:sz w:val="19"/>
          <w:szCs w:val="19"/>
          <w:shd w:val="clear" w:color="auto" w:fill="FFFFFF"/>
          <w:lang w:val="en-GB"/>
        </w:rPr>
        <w:t>he release does not include t</w:t>
      </w:r>
      <w:r w:rsidRPr="004C22BE">
        <w:rPr>
          <w:i/>
          <w:sz w:val="19"/>
          <w:szCs w:val="19"/>
          <w:shd w:val="clear" w:color="auto" w:fill="FFFFFF"/>
          <w:lang w:val="en-GB"/>
        </w:rPr>
        <w:t>he United Kingdom due to the lack of data for that country in the Eurostat database.</w:t>
      </w:r>
      <w:r w:rsidR="000B6A2E" w:rsidRPr="004C22BE">
        <w:rPr>
          <w:sz w:val="19"/>
          <w:szCs w:val="19"/>
          <w:shd w:val="clear" w:color="auto" w:fill="FFFFFF"/>
          <w:lang w:val="en-GB"/>
        </w:rPr>
        <w:t xml:space="preserve"> </w:t>
      </w:r>
    </w:p>
    <w:p w14:paraId="3974D864" w14:textId="77777777" w:rsidR="00E10A2C" w:rsidRPr="00296B6F" w:rsidRDefault="00061B06" w:rsidP="007E6FDF">
      <w:pPr>
        <w:spacing w:line="276" w:lineRule="auto"/>
        <w:rPr>
          <w:szCs w:val="19"/>
          <w:shd w:val="clear" w:color="auto" w:fill="FFFFFF"/>
          <w:lang w:val="en-GB"/>
        </w:rPr>
      </w:pPr>
      <w:r w:rsidRPr="004C22BE">
        <w:rPr>
          <w:b/>
          <w:noProof/>
          <w:spacing w:val="-2"/>
          <w:szCs w:val="19"/>
          <w:lang w:eastAsia="pl-PL"/>
        </w:rPr>
        <mc:AlternateContent>
          <mc:Choice Requires="wps">
            <w:drawing>
              <wp:anchor distT="45720" distB="45720" distL="114300" distR="114300" simplePos="0" relativeHeight="251790336" behindDoc="1" locked="0" layoutInCell="1" allowOverlap="1" wp14:anchorId="60189210" wp14:editId="32531C24">
                <wp:simplePos x="0" y="0"/>
                <wp:positionH relativeFrom="column">
                  <wp:posOffset>5295355</wp:posOffset>
                </wp:positionH>
                <wp:positionV relativeFrom="paragraph">
                  <wp:posOffset>1407250</wp:posOffset>
                </wp:positionV>
                <wp:extent cx="1757680" cy="805180"/>
                <wp:effectExtent l="0" t="0" r="0" b="0"/>
                <wp:wrapTight wrapText="bothSides">
                  <wp:wrapPolygon edited="0">
                    <wp:start x="702" y="0"/>
                    <wp:lineTo x="702" y="20953"/>
                    <wp:lineTo x="20835" y="20953"/>
                    <wp:lineTo x="20835" y="0"/>
                    <wp:lineTo x="702"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805180"/>
                        </a:xfrm>
                        <a:prstGeom prst="rect">
                          <a:avLst/>
                        </a:prstGeom>
                        <a:noFill/>
                        <a:ln w="9525">
                          <a:noFill/>
                          <a:miter lim="800000"/>
                          <a:headEnd/>
                          <a:tailEnd/>
                        </a:ln>
                      </wps:spPr>
                      <wps:txbx>
                        <w:txbxContent>
                          <w:p w14:paraId="53963338" w14:textId="564564D1" w:rsidR="00061B06" w:rsidRPr="00495475" w:rsidRDefault="002517FC" w:rsidP="006042F9">
                            <w:pPr>
                              <w:pStyle w:val="tekstzboku"/>
                              <w:rPr>
                                <w:lang w:val="en-GB"/>
                              </w:rPr>
                            </w:pPr>
                            <w:r>
                              <w:rPr>
                                <w:lang w:val="en-GB"/>
                              </w:rPr>
                              <w:t>The n</w:t>
                            </w:r>
                            <w:r w:rsidR="00495475" w:rsidRPr="00495475">
                              <w:rPr>
                                <w:lang w:val="en-GB"/>
                              </w:rPr>
                              <w:t>umber of tourist accommodation establishments in 2020 down by 3.8% compared to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89210" id="_x0000_t202" coordsize="21600,21600" o:spt="202" path="m,l,21600r21600,l21600,xe">
                <v:stroke joinstyle="miter"/>
                <v:path gradientshapeok="t" o:connecttype="rect"/>
              </v:shapetype>
              <v:shape id="_x0000_s1027" type="#_x0000_t202" style="position:absolute;margin-left:416.95pt;margin-top:110.8pt;width:138.4pt;height:63.4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" filled="f" stroked="f">
                <v:textbox>
                  <w:txbxContent>
                    <w:p w14:paraId="53963338" w14:textId="564564D1" w:rsidR="00061B06" w:rsidRPr="00495475" w:rsidRDefault="002517FC" w:rsidP="006042F9">
                      <w:pPr>
                        <w:pStyle w:val="tekstzboku"/>
                        <w:rPr>
                          <w:lang w:val="en-GB"/>
                        </w:rPr>
                      </w:pPr>
                      <w:r>
                        <w:rPr>
                          <w:lang w:val="en-GB"/>
                        </w:rPr>
                        <w:t>The n</w:t>
                      </w:r>
                      <w:r w:rsidR="00495475" w:rsidRPr="00495475">
                        <w:rPr>
                          <w:lang w:val="en-GB"/>
                        </w:rPr>
                        <w:t>umber of tourist accommodation establishments in 2020 down by 3.8% compared to 2019</w:t>
                      </w:r>
                    </w:p>
                  </w:txbxContent>
                </v:textbox>
                <w10:wrap type="tight"/>
              </v:shape>
            </w:pict>
          </mc:Fallback>
        </mc:AlternateContent>
      </w:r>
      <w:r w:rsidR="00F800BC" w:rsidRPr="004C22BE">
        <w:rPr>
          <w:szCs w:val="19"/>
          <w:shd w:val="clear" w:color="auto" w:fill="FFFFFF"/>
          <w:lang w:val="en-GB"/>
        </w:rPr>
        <w:t xml:space="preserve">In 2020, tourism was one of the economic sectors directly affected by the COVID-19 pandemic. With the exception of the first two months of the year, the volume of tourist traffic and the </w:t>
      </w:r>
      <w:r w:rsidR="00296291" w:rsidRPr="004C22BE">
        <w:rPr>
          <w:szCs w:val="19"/>
          <w:shd w:val="clear" w:color="auto" w:fill="FFFFFF"/>
          <w:lang w:val="en-GB"/>
        </w:rPr>
        <w:t>occupancy</w:t>
      </w:r>
      <w:r w:rsidR="00F800BC" w:rsidRPr="004C22BE">
        <w:rPr>
          <w:szCs w:val="19"/>
          <w:shd w:val="clear" w:color="auto" w:fill="FFFFFF"/>
          <w:lang w:val="en-GB"/>
        </w:rPr>
        <w:t xml:space="preserve"> of tourist accommodation </w:t>
      </w:r>
      <w:r w:rsidR="00296291" w:rsidRPr="004C22BE">
        <w:rPr>
          <w:szCs w:val="19"/>
          <w:shd w:val="clear" w:color="auto" w:fill="FFFFFF"/>
          <w:lang w:val="en-GB"/>
        </w:rPr>
        <w:t xml:space="preserve">establishments </w:t>
      </w:r>
      <w:r w:rsidR="00F800BC" w:rsidRPr="004C22BE">
        <w:rPr>
          <w:szCs w:val="19"/>
          <w:shd w:val="clear" w:color="auto" w:fill="FFFFFF"/>
          <w:lang w:val="en-GB"/>
        </w:rPr>
        <w:t xml:space="preserve">in 2020 was determined primarily by mobility, border closures and restrictions on the availability of tourist accommodation, rather than seasonal factors (weather, holiday periods, school holidays, etc.) or tourists' willingness to travel, as in previous years. Due to the pandemic and the restrictions associated with it, there </w:t>
      </w:r>
      <w:r w:rsidR="00296291" w:rsidRPr="004C22BE">
        <w:rPr>
          <w:szCs w:val="19"/>
          <w:shd w:val="clear" w:color="auto" w:fill="FFFFFF"/>
          <w:lang w:val="en-GB"/>
        </w:rPr>
        <w:t>were</w:t>
      </w:r>
      <w:r w:rsidR="00F800BC" w:rsidRPr="004C22BE">
        <w:rPr>
          <w:szCs w:val="19"/>
          <w:shd w:val="clear" w:color="auto" w:fill="FFFFFF"/>
          <w:lang w:val="en-GB"/>
        </w:rPr>
        <w:t xml:space="preserve"> significant declines in the indicators characterising the accommodation </w:t>
      </w:r>
      <w:r w:rsidR="00296291" w:rsidRPr="004C22BE">
        <w:rPr>
          <w:szCs w:val="19"/>
          <w:shd w:val="clear" w:color="auto" w:fill="FFFFFF"/>
          <w:lang w:val="en-GB"/>
        </w:rPr>
        <w:t xml:space="preserve">establishments </w:t>
      </w:r>
      <w:r w:rsidR="00F800BC" w:rsidRPr="004C22BE">
        <w:rPr>
          <w:szCs w:val="19"/>
          <w:shd w:val="clear" w:color="auto" w:fill="FFFFFF"/>
          <w:lang w:val="en-GB"/>
        </w:rPr>
        <w:t xml:space="preserve">and </w:t>
      </w:r>
      <w:r w:rsidR="00346B2D" w:rsidRPr="004C22BE">
        <w:rPr>
          <w:szCs w:val="19"/>
          <w:shd w:val="clear" w:color="auto" w:fill="FFFFFF"/>
          <w:lang w:val="en-GB"/>
        </w:rPr>
        <w:t>their</w:t>
      </w:r>
      <w:r w:rsidR="00F800BC" w:rsidRPr="004C22BE">
        <w:rPr>
          <w:szCs w:val="19"/>
          <w:shd w:val="clear" w:color="auto" w:fill="FFFFFF"/>
          <w:lang w:val="en-GB"/>
        </w:rPr>
        <w:t xml:space="preserve"> </w:t>
      </w:r>
      <w:r w:rsidR="00296291" w:rsidRPr="00296B6F">
        <w:rPr>
          <w:szCs w:val="19"/>
          <w:shd w:val="clear" w:color="auto" w:fill="FFFFFF"/>
          <w:lang w:val="en-GB"/>
        </w:rPr>
        <w:t>occupancy</w:t>
      </w:r>
      <w:r w:rsidR="004327C9" w:rsidRPr="00296B6F">
        <w:rPr>
          <w:szCs w:val="19"/>
          <w:shd w:val="clear" w:color="auto" w:fill="FFFFFF"/>
          <w:lang w:val="en-GB"/>
        </w:rPr>
        <w:t>.</w:t>
      </w:r>
    </w:p>
    <w:p w14:paraId="529E384A" w14:textId="77777777" w:rsidR="00BC18CD" w:rsidRPr="004C22BE" w:rsidRDefault="00F800BC" w:rsidP="007E6FDF">
      <w:pPr>
        <w:spacing w:line="276" w:lineRule="auto"/>
        <w:rPr>
          <w:szCs w:val="19"/>
          <w:shd w:val="clear" w:color="auto" w:fill="FFFFFF"/>
          <w:lang w:val="en-GB"/>
        </w:rPr>
      </w:pPr>
      <w:r w:rsidRPr="00296B6F">
        <w:rPr>
          <w:szCs w:val="19"/>
          <w:shd w:val="clear" w:color="auto" w:fill="FFFFFF"/>
          <w:lang w:val="en-GB"/>
        </w:rPr>
        <w:t>According to estimates, in 2020 there were 594</w:t>
      </w:r>
      <w:r w:rsidRPr="004C22BE">
        <w:rPr>
          <w:szCs w:val="19"/>
          <w:shd w:val="clear" w:color="auto" w:fill="FFFFFF"/>
          <w:lang w:val="en-GB"/>
        </w:rPr>
        <w:t xml:space="preserve">.5 thousand tourist accommodation establishments in the 27 countries of the European Union, of which more than one third of the establishments (226.9 thousand) were located in Italy. In Poland, at the same time 10.3 thousand establishments were ready to </w:t>
      </w:r>
      <w:r w:rsidR="00577BCB" w:rsidRPr="004C22BE">
        <w:rPr>
          <w:szCs w:val="19"/>
          <w:shd w:val="clear" w:color="auto" w:fill="FFFFFF"/>
          <w:lang w:val="en-GB"/>
        </w:rPr>
        <w:t>accommodate</w:t>
      </w:r>
      <w:r w:rsidRPr="004C22BE">
        <w:rPr>
          <w:szCs w:val="19"/>
          <w:shd w:val="clear" w:color="auto" w:fill="FFFFFF"/>
          <w:lang w:val="en-GB"/>
        </w:rPr>
        <w:t xml:space="preserve"> tourists, and they accounted for 1.7% of all accommodation </w:t>
      </w:r>
      <w:r w:rsidR="00366B56" w:rsidRPr="004C22BE">
        <w:rPr>
          <w:szCs w:val="19"/>
          <w:shd w:val="clear" w:color="auto" w:fill="FFFFFF"/>
          <w:lang w:val="en-GB"/>
        </w:rPr>
        <w:t>establishments</w:t>
      </w:r>
      <w:r w:rsidRPr="004C22BE">
        <w:rPr>
          <w:szCs w:val="19"/>
          <w:shd w:val="clear" w:color="auto" w:fill="FFFFFF"/>
          <w:lang w:val="en-GB"/>
        </w:rPr>
        <w:t xml:space="preserve"> located in the EU.</w:t>
      </w:r>
      <w:r w:rsidR="00BC18CD" w:rsidRPr="004C22BE">
        <w:rPr>
          <w:szCs w:val="19"/>
          <w:shd w:val="clear" w:color="auto" w:fill="FFFFFF"/>
          <w:lang w:val="en-GB"/>
        </w:rPr>
        <w:t xml:space="preserve"> </w:t>
      </w:r>
    </w:p>
    <w:p w14:paraId="1AE23F0F" w14:textId="1EC75E13" w:rsidR="00F800BC" w:rsidRPr="004C22BE" w:rsidRDefault="0037249C" w:rsidP="007E6FDF">
      <w:pPr>
        <w:spacing w:line="276" w:lineRule="auto"/>
        <w:rPr>
          <w:szCs w:val="19"/>
          <w:shd w:val="clear" w:color="auto" w:fill="FFFFFF"/>
          <w:lang w:val="en-GB"/>
        </w:rPr>
      </w:pPr>
      <w:r w:rsidRPr="004C22BE">
        <w:rPr>
          <w:b/>
          <w:noProof/>
          <w:spacing w:val="-2"/>
          <w:szCs w:val="19"/>
          <w:lang w:eastAsia="pl-PL"/>
        </w:rPr>
        <mc:AlternateContent>
          <mc:Choice Requires="wps">
            <w:drawing>
              <wp:anchor distT="45720" distB="45720" distL="114300" distR="114300" simplePos="0" relativeHeight="251736064" behindDoc="1" locked="0" layoutInCell="1" allowOverlap="1" wp14:anchorId="3AB93F56" wp14:editId="396B6C44">
                <wp:simplePos x="0" y="0"/>
                <wp:positionH relativeFrom="rightMargin">
                  <wp:posOffset>189230</wp:posOffset>
                </wp:positionH>
                <wp:positionV relativeFrom="paragraph">
                  <wp:posOffset>688975</wp:posOffset>
                </wp:positionV>
                <wp:extent cx="1746885" cy="1164590"/>
                <wp:effectExtent l="0" t="0" r="0" b="0"/>
                <wp:wrapTight wrapText="bothSides">
                  <wp:wrapPolygon edited="0">
                    <wp:start x="707" y="0"/>
                    <wp:lineTo x="707" y="21200"/>
                    <wp:lineTo x="20728" y="21200"/>
                    <wp:lineTo x="20728" y="0"/>
                    <wp:lineTo x="707"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164590"/>
                        </a:xfrm>
                        <a:prstGeom prst="rect">
                          <a:avLst/>
                        </a:prstGeom>
                        <a:noFill/>
                        <a:ln w="9525">
                          <a:noFill/>
                          <a:miter lim="800000"/>
                          <a:headEnd/>
                          <a:tailEnd/>
                        </a:ln>
                      </wps:spPr>
                      <wps:txbx>
                        <w:txbxContent>
                          <w:p w14:paraId="2D7CEC41" w14:textId="1C9C6BBB" w:rsidR="00C2270F" w:rsidRPr="00495475" w:rsidRDefault="00495475" w:rsidP="00665EB0">
                            <w:pPr>
                              <w:spacing w:after="0"/>
                              <w:rPr>
                                <w:rFonts w:eastAsia="Times New Roman" w:cs="Times New Roman"/>
                                <w:bCs/>
                                <w:color w:val="001D77"/>
                                <w:sz w:val="18"/>
                                <w:szCs w:val="18"/>
                                <w:lang w:val="en-GB" w:eastAsia="pl-PL"/>
                              </w:rPr>
                            </w:pPr>
                            <w:r w:rsidRPr="00495475">
                              <w:rPr>
                                <w:rFonts w:eastAsia="Times New Roman" w:cs="Times New Roman"/>
                                <w:bCs/>
                                <w:color w:val="001D77"/>
                                <w:sz w:val="18"/>
                                <w:szCs w:val="18"/>
                                <w:lang w:val="en-GB" w:eastAsia="pl-PL"/>
                              </w:rPr>
                              <w:t>More than 60% of the total number of bed</w:t>
                            </w:r>
                            <w:r w:rsidR="002517FC">
                              <w:rPr>
                                <w:rFonts w:eastAsia="Times New Roman" w:cs="Times New Roman"/>
                                <w:bCs/>
                                <w:color w:val="001D77"/>
                                <w:sz w:val="18"/>
                                <w:szCs w:val="18"/>
                                <w:lang w:val="en-GB" w:eastAsia="pl-PL"/>
                              </w:rPr>
                              <w:t xml:space="preserve"> places</w:t>
                            </w:r>
                            <w:r w:rsidRPr="00495475">
                              <w:rPr>
                                <w:rFonts w:eastAsia="Times New Roman" w:cs="Times New Roman"/>
                                <w:bCs/>
                                <w:color w:val="001D77"/>
                                <w:sz w:val="18"/>
                                <w:szCs w:val="18"/>
                                <w:lang w:val="en-GB" w:eastAsia="pl-PL"/>
                              </w:rPr>
                              <w:t xml:space="preserve"> were offered by establishments located in four European Union member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93F56" id="Pole tekstowe 4" o:spid="_x0000_s1028" type="#_x0000_t202" style="position:absolute;margin-left:14.9pt;margin-top:54.25pt;width:137.55pt;height:91.7pt;z-index:-251580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" filled="f" stroked="f">
                <v:textbox>
                  <w:txbxContent>
                    <w:p w14:paraId="2D7CEC41" w14:textId="1C9C6BBB" w:rsidR="00C2270F" w:rsidRPr="00495475" w:rsidRDefault="00495475" w:rsidP="00665EB0">
                      <w:pPr>
                        <w:spacing w:after="0"/>
                        <w:rPr>
                          <w:rFonts w:eastAsia="Times New Roman" w:cs="Times New Roman"/>
                          <w:bCs/>
                          <w:color w:val="001D77"/>
                          <w:sz w:val="18"/>
                          <w:szCs w:val="18"/>
                          <w:lang w:val="en-GB" w:eastAsia="pl-PL"/>
                        </w:rPr>
                      </w:pPr>
                      <w:r w:rsidRPr="00495475">
                        <w:rPr>
                          <w:rFonts w:eastAsia="Times New Roman" w:cs="Times New Roman"/>
                          <w:bCs/>
                          <w:color w:val="001D77"/>
                          <w:sz w:val="18"/>
                          <w:szCs w:val="18"/>
                          <w:lang w:val="en-GB" w:eastAsia="pl-PL"/>
                        </w:rPr>
                        <w:t>More than 60% of the total number of bed</w:t>
                      </w:r>
                      <w:r w:rsidR="002517FC">
                        <w:rPr>
                          <w:rFonts w:eastAsia="Times New Roman" w:cs="Times New Roman"/>
                          <w:bCs/>
                          <w:color w:val="001D77"/>
                          <w:sz w:val="18"/>
                          <w:szCs w:val="18"/>
                          <w:lang w:val="en-GB" w:eastAsia="pl-PL"/>
                        </w:rPr>
                        <w:t xml:space="preserve"> places</w:t>
                      </w:r>
                      <w:r w:rsidRPr="00495475">
                        <w:rPr>
                          <w:rFonts w:eastAsia="Times New Roman" w:cs="Times New Roman"/>
                          <w:bCs/>
                          <w:color w:val="001D77"/>
                          <w:sz w:val="18"/>
                          <w:szCs w:val="18"/>
                          <w:lang w:val="en-GB" w:eastAsia="pl-PL"/>
                        </w:rPr>
                        <w:t xml:space="preserve"> were offered by establishments located in four European Union member states</w:t>
                      </w:r>
                    </w:p>
                  </w:txbxContent>
                </v:textbox>
                <w10:wrap type="tight" anchorx="margin"/>
              </v:shape>
            </w:pict>
          </mc:Fallback>
        </mc:AlternateContent>
      </w:r>
      <w:r w:rsidR="00F800BC" w:rsidRPr="004C22BE">
        <w:rPr>
          <w:szCs w:val="19"/>
          <w:shd w:val="clear" w:color="auto" w:fill="FFFFFF"/>
          <w:lang w:val="en-GB"/>
        </w:rPr>
        <w:t xml:space="preserve">The structure of EU accommodation establishments was dominated by </w:t>
      </w:r>
      <w:r w:rsidR="00DE36AB" w:rsidRPr="004C22BE">
        <w:rPr>
          <w:szCs w:val="19"/>
          <w:shd w:val="clear" w:color="auto" w:fill="FFFFFF"/>
          <w:lang w:val="en-GB"/>
        </w:rPr>
        <w:t>holiday</w:t>
      </w:r>
      <w:r w:rsidR="00F800BC" w:rsidRPr="004C22BE">
        <w:rPr>
          <w:szCs w:val="19"/>
          <w:shd w:val="clear" w:color="auto" w:fill="FFFFFF"/>
          <w:lang w:val="en-GB"/>
        </w:rPr>
        <w:t xml:space="preserve"> and other short-stay accommodation (NACE group 55.2), accounting f</w:t>
      </w:r>
      <w:r w:rsidR="007E6FDF">
        <w:rPr>
          <w:szCs w:val="19"/>
          <w:shd w:val="clear" w:color="auto" w:fill="FFFFFF"/>
          <w:lang w:val="en-GB"/>
        </w:rPr>
        <w:t>or 69.7% of all establishments.</w:t>
      </w:r>
      <w:r w:rsidR="007E6FDF">
        <w:rPr>
          <w:szCs w:val="19"/>
          <w:shd w:val="clear" w:color="auto" w:fill="FFFFFF"/>
          <w:lang w:val="en-GB"/>
        </w:rPr>
        <w:br/>
      </w:r>
      <w:r w:rsidR="00F800BC" w:rsidRPr="004C22BE">
        <w:rPr>
          <w:szCs w:val="19"/>
          <w:shd w:val="clear" w:color="auto" w:fill="FFFFFF"/>
          <w:lang w:val="en-GB"/>
        </w:rPr>
        <w:t xml:space="preserve">Hotels and similar accommodation (NACE group 55.1) accounted for 26.4% and camping </w:t>
      </w:r>
      <w:r w:rsidR="00C53002" w:rsidRPr="004C22BE">
        <w:rPr>
          <w:szCs w:val="19"/>
          <w:shd w:val="clear" w:color="auto" w:fill="FFFFFF"/>
          <w:lang w:val="en-GB"/>
        </w:rPr>
        <w:t>grounds</w:t>
      </w:r>
      <w:r w:rsidR="00F800BC" w:rsidRPr="004C22BE">
        <w:rPr>
          <w:szCs w:val="19"/>
          <w:shd w:val="clear" w:color="auto" w:fill="FFFFFF"/>
          <w:lang w:val="en-GB"/>
        </w:rPr>
        <w:t xml:space="preserve"> (NACE group 55.3) for 3.9%. </w:t>
      </w:r>
    </w:p>
    <w:p w14:paraId="7499E38F" w14:textId="0BCDA491" w:rsidR="00F800BC" w:rsidRPr="00296B6F" w:rsidRDefault="00F800BC" w:rsidP="007E6FDF">
      <w:pPr>
        <w:spacing w:line="276" w:lineRule="auto"/>
        <w:rPr>
          <w:shd w:val="clear" w:color="auto" w:fill="FFFFFF"/>
          <w:lang w:val="en-GB"/>
        </w:rPr>
      </w:pPr>
      <w:r w:rsidRPr="004C22BE">
        <w:rPr>
          <w:shd w:val="clear" w:color="auto" w:fill="FFFFFF"/>
          <w:lang w:val="en-GB"/>
        </w:rPr>
        <w:t>In 2020, tourist accommodation establishments offered 27.9 million bed</w:t>
      </w:r>
      <w:r w:rsidR="002517FC" w:rsidRPr="004C22BE">
        <w:rPr>
          <w:shd w:val="clear" w:color="auto" w:fill="FFFFFF"/>
          <w:lang w:val="en-GB"/>
        </w:rPr>
        <w:t xml:space="preserve"> places</w:t>
      </w:r>
      <w:r w:rsidRPr="004C22BE">
        <w:rPr>
          <w:shd w:val="clear" w:color="auto" w:fill="FFFFFF"/>
          <w:lang w:val="en-GB"/>
        </w:rPr>
        <w:t xml:space="preserve"> to tourists.  The largest number of bed</w:t>
      </w:r>
      <w:r w:rsidR="002517FC" w:rsidRPr="004C22BE">
        <w:rPr>
          <w:shd w:val="clear" w:color="auto" w:fill="FFFFFF"/>
          <w:lang w:val="en-GB"/>
        </w:rPr>
        <w:t xml:space="preserve"> places</w:t>
      </w:r>
      <w:r w:rsidRPr="004C22BE">
        <w:rPr>
          <w:shd w:val="clear" w:color="auto" w:fill="FFFFFF"/>
          <w:lang w:val="en-GB"/>
        </w:rPr>
        <w:t xml:space="preserve"> was in Italy and France (over 5 million each), followed by Spain and Germany (over 3 million each). The total number of bed places in these countries accounted for nearly two thirds of all </w:t>
      </w:r>
      <w:r w:rsidR="00A72D8D" w:rsidRPr="004C22BE">
        <w:rPr>
          <w:shd w:val="clear" w:color="auto" w:fill="FFFFFF"/>
          <w:lang w:val="en-GB"/>
        </w:rPr>
        <w:t xml:space="preserve">bed </w:t>
      </w:r>
      <w:r w:rsidRPr="004C22BE">
        <w:rPr>
          <w:shd w:val="clear" w:color="auto" w:fill="FFFFFF"/>
          <w:lang w:val="en-GB"/>
        </w:rPr>
        <w:t xml:space="preserve">places prepared for tourists in the EU in 2020. In Poland, tourist accommodation establishments </w:t>
      </w:r>
      <w:r w:rsidRPr="00296B6F">
        <w:rPr>
          <w:shd w:val="clear" w:color="auto" w:fill="FFFFFF"/>
          <w:lang w:val="en-GB"/>
        </w:rPr>
        <w:t xml:space="preserve">had 775.3 thousand </w:t>
      </w:r>
      <w:r w:rsidR="00A72D8D" w:rsidRPr="00296B6F">
        <w:rPr>
          <w:shd w:val="clear" w:color="auto" w:fill="FFFFFF"/>
          <w:lang w:val="en-GB"/>
        </w:rPr>
        <w:t xml:space="preserve">bed </w:t>
      </w:r>
      <w:r w:rsidRPr="00296B6F">
        <w:rPr>
          <w:shd w:val="clear" w:color="auto" w:fill="FFFFFF"/>
          <w:lang w:val="en-GB"/>
        </w:rPr>
        <w:t xml:space="preserve">places, which accounted for 2.8% of the total places prepared for tourists in EU countries. </w:t>
      </w:r>
    </w:p>
    <w:p w14:paraId="4EBBDF3B" w14:textId="24D2CC65" w:rsidR="0075223A" w:rsidRPr="004C22BE" w:rsidRDefault="00F800BC" w:rsidP="007E6FDF">
      <w:pPr>
        <w:spacing w:line="276" w:lineRule="auto"/>
        <w:rPr>
          <w:shd w:val="clear" w:color="auto" w:fill="FFFFFF"/>
          <w:lang w:val="en-GB"/>
        </w:rPr>
      </w:pPr>
      <w:r w:rsidRPr="00296B6F">
        <w:rPr>
          <w:shd w:val="clear" w:color="auto" w:fill="FFFFFF"/>
          <w:lang w:val="en-GB"/>
        </w:rPr>
        <w:t>Hotels and similar accommodation had 11.9 million bed places</w:t>
      </w:r>
      <w:r w:rsidRPr="004C22BE">
        <w:rPr>
          <w:shd w:val="clear" w:color="auto" w:fill="FFFFFF"/>
          <w:lang w:val="en-GB"/>
        </w:rPr>
        <w:t>, accounting for 42.6% of all places in the EU27 countries. More than 60% of them were located in Italy, Spain, Germany and France, where between 1.3 million and 2.2 million bed</w:t>
      </w:r>
      <w:r w:rsidR="006167BF" w:rsidRPr="004C22BE">
        <w:rPr>
          <w:shd w:val="clear" w:color="auto" w:fill="FFFFFF"/>
          <w:lang w:val="en-GB"/>
        </w:rPr>
        <w:t xml:space="preserve"> places </w:t>
      </w:r>
      <w:r w:rsidRPr="004C22BE">
        <w:rPr>
          <w:shd w:val="clear" w:color="auto" w:fill="FFFFFF"/>
          <w:lang w:val="en-GB"/>
        </w:rPr>
        <w:t>were prepared for tourists. In Poland, hotels and similar accommodation had 354.6 thousand bed</w:t>
      </w:r>
      <w:r w:rsidR="006167BF" w:rsidRPr="004C22BE">
        <w:rPr>
          <w:shd w:val="clear" w:color="auto" w:fill="FFFFFF"/>
          <w:lang w:val="en-GB"/>
        </w:rPr>
        <w:t xml:space="preserve"> places</w:t>
      </w:r>
      <w:r w:rsidRPr="004C22BE">
        <w:rPr>
          <w:shd w:val="clear" w:color="auto" w:fill="FFFFFF"/>
          <w:lang w:val="en-GB"/>
        </w:rPr>
        <w:t>, which accounted for 1.3% of the total number of bed</w:t>
      </w:r>
      <w:r w:rsidR="006167BF" w:rsidRPr="004C22BE">
        <w:rPr>
          <w:shd w:val="clear" w:color="auto" w:fill="FFFFFF"/>
          <w:lang w:val="en-GB"/>
        </w:rPr>
        <w:t xml:space="preserve"> place</w:t>
      </w:r>
      <w:r w:rsidRPr="004C22BE">
        <w:rPr>
          <w:shd w:val="clear" w:color="auto" w:fill="FFFFFF"/>
          <w:lang w:val="en-GB"/>
        </w:rPr>
        <w:t>s in the EU.</w:t>
      </w:r>
    </w:p>
    <w:p w14:paraId="186FC50F" w14:textId="1028A6E7" w:rsidR="00375403" w:rsidRPr="00C30BE8" w:rsidRDefault="008538F7" w:rsidP="008538F7">
      <w:pPr>
        <w:spacing w:line="288" w:lineRule="auto"/>
        <w:ind w:left="709" w:hanging="709"/>
        <w:rPr>
          <w:b/>
          <w:szCs w:val="19"/>
          <w:shd w:val="clear" w:color="auto" w:fill="FFFFFF"/>
          <w:lang w:val="en-GB"/>
        </w:rPr>
      </w:pPr>
      <w:r w:rsidRPr="004C22BE">
        <w:rPr>
          <w:b/>
          <w:noProof/>
          <w:sz w:val="18"/>
          <w:szCs w:val="18"/>
          <w:shd w:val="clear" w:color="auto" w:fill="FFFFFF"/>
          <w:lang w:eastAsia="pl-PL"/>
        </w:rPr>
        <w:lastRenderedPageBreak/>
        <mc:AlternateContent>
          <mc:Choice Requires="wps">
            <w:drawing>
              <wp:anchor distT="45720" distB="45720" distL="114300" distR="114300" simplePos="0" relativeHeight="251773952" behindDoc="0" locked="0" layoutInCell="1" allowOverlap="1" wp14:anchorId="56C75CFD" wp14:editId="1AB6F520">
                <wp:simplePos x="0" y="0"/>
                <wp:positionH relativeFrom="margin">
                  <wp:posOffset>-75928</wp:posOffset>
                </wp:positionH>
                <wp:positionV relativeFrom="paragraph">
                  <wp:posOffset>367484</wp:posOffset>
                </wp:positionV>
                <wp:extent cx="620395" cy="24003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40030"/>
                        </a:xfrm>
                        <a:prstGeom prst="rect">
                          <a:avLst/>
                        </a:prstGeom>
                        <a:noFill/>
                        <a:ln w="9525">
                          <a:noFill/>
                          <a:miter lim="800000"/>
                          <a:headEnd/>
                          <a:tailEnd/>
                        </a:ln>
                      </wps:spPr>
                      <wps:txbx>
                        <w:txbxContent>
                          <w:p w14:paraId="4D42F209" w14:textId="43F5B668" w:rsidR="009D1B6C" w:rsidRPr="009D1B6C" w:rsidRDefault="009D1B6C" w:rsidP="007E6FDF">
                            <w:pPr>
                              <w:spacing w:before="0" w:after="0"/>
                              <w:jc w:val="center"/>
                              <w:rPr>
                                <w:sz w:val="18"/>
                                <w:szCs w:val="18"/>
                              </w:rPr>
                            </w:pPr>
                            <w:r w:rsidRPr="009D1B6C">
                              <w:rPr>
                                <w:sz w:val="18"/>
                                <w:szCs w:val="18"/>
                              </w:rPr>
                              <w:t>m</w:t>
                            </w:r>
                            <w:r w:rsidR="00C53002">
                              <w:rPr>
                                <w:sz w:val="18"/>
                                <w:szCs w:val="18"/>
                              </w:rPr>
                              <w:t>illion</w:t>
                            </w:r>
                            <w:r w:rsidR="00296B6F">
                              <w:rPr>
                                <w:sz w:val="18"/>
                                <w:szCs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75CFD" id="_x0000_s1029" type="#_x0000_t202" style="position:absolute;left:0;text-align:left;margin-left:-6pt;margin-top:28.95pt;width:48.85pt;height:18.9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" filled="f" stroked="f">
                <v:textbox>
                  <w:txbxContent>
                    <w:p w14:paraId="4D42F209" w14:textId="43F5B668" w:rsidR="009D1B6C" w:rsidRPr="009D1B6C" w:rsidRDefault="009D1B6C" w:rsidP="007E6FDF">
                      <w:pPr>
                        <w:spacing w:before="0" w:after="0"/>
                        <w:jc w:val="center"/>
                        <w:rPr>
                          <w:sz w:val="18"/>
                          <w:szCs w:val="18"/>
                        </w:rPr>
                      </w:pPr>
                      <w:r w:rsidRPr="009D1B6C">
                        <w:rPr>
                          <w:sz w:val="18"/>
                          <w:szCs w:val="18"/>
                        </w:rPr>
                        <w:t>m</w:t>
                      </w:r>
                      <w:r w:rsidR="00C53002">
                        <w:rPr>
                          <w:sz w:val="18"/>
                          <w:szCs w:val="18"/>
                        </w:rPr>
                        <w:t>illion</w:t>
                      </w:r>
                      <w:r w:rsidR="00296B6F">
                        <w:rPr>
                          <w:sz w:val="18"/>
                          <w:szCs w:val="18"/>
                        </w:rPr>
                        <w:t>s</w:t>
                      </w:r>
                    </w:p>
                  </w:txbxContent>
                </v:textbox>
                <w10:wrap type="square" anchorx="margin"/>
              </v:shape>
            </w:pict>
          </mc:Fallback>
        </mc:AlternateContent>
      </w:r>
      <w:r w:rsidRPr="004C22BE">
        <w:rPr>
          <w:b/>
          <w:noProof/>
          <w:lang w:eastAsia="pl-PL"/>
        </w:rPr>
        <w:drawing>
          <wp:anchor distT="0" distB="0" distL="114300" distR="114300" simplePos="0" relativeHeight="251771904" behindDoc="0" locked="0" layoutInCell="1" allowOverlap="1" wp14:anchorId="7C053EA6" wp14:editId="5663706B">
            <wp:simplePos x="0" y="0"/>
            <wp:positionH relativeFrom="margin">
              <wp:align>left</wp:align>
            </wp:positionH>
            <wp:positionV relativeFrom="paragraph">
              <wp:posOffset>406310</wp:posOffset>
            </wp:positionV>
            <wp:extent cx="5122545" cy="2736850"/>
            <wp:effectExtent l="0" t="0" r="1905" b="6350"/>
            <wp:wrapTopAndBottom/>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C22BE" w:rsidRPr="004C22BE">
        <w:rPr>
          <w:b/>
          <w:lang w:val="en-GB"/>
        </w:rPr>
        <w:t>Chart 1.</w:t>
      </w:r>
      <w:r w:rsidR="00542ED0" w:rsidRPr="00C30BE8">
        <w:rPr>
          <w:lang w:val="en-GB"/>
        </w:rPr>
        <w:t xml:space="preserve"> </w:t>
      </w:r>
      <w:r w:rsidR="00C53002" w:rsidRPr="00C53002">
        <w:rPr>
          <w:b/>
          <w:szCs w:val="19"/>
          <w:shd w:val="clear" w:color="auto" w:fill="FFFFFF"/>
          <w:lang w:val="en-GB"/>
        </w:rPr>
        <w:t>Tourists accommodated in accommodation establishments located in the 27 countries of the European Union</w:t>
      </w:r>
    </w:p>
    <w:p w14:paraId="12E79623" w14:textId="392B0303" w:rsidR="007E6FDF" w:rsidRDefault="0075223A" w:rsidP="000B6A2E">
      <w:pPr>
        <w:spacing w:before="240" w:after="60" w:line="288" w:lineRule="auto"/>
        <w:rPr>
          <w:shd w:val="clear" w:color="auto" w:fill="FFFFFF"/>
          <w:lang w:val="en-GB"/>
        </w:rPr>
      </w:pPr>
      <w:r w:rsidRPr="004C22BE">
        <w:rPr>
          <w:szCs w:val="19"/>
          <w:shd w:val="clear" w:color="auto" w:fill="FFFFFF"/>
          <w:lang w:val="en-GB"/>
        </w:rPr>
        <w:t>More than 40% of the total number of bed</w:t>
      </w:r>
      <w:r w:rsidR="001C10CB" w:rsidRPr="004C22BE">
        <w:rPr>
          <w:szCs w:val="19"/>
          <w:shd w:val="clear" w:color="auto" w:fill="FFFFFF"/>
          <w:lang w:val="en-GB"/>
        </w:rPr>
        <w:t xml:space="preserve"> places </w:t>
      </w:r>
      <w:r w:rsidRPr="004C22BE">
        <w:rPr>
          <w:szCs w:val="19"/>
          <w:shd w:val="clear" w:color="auto" w:fill="FFFFFF"/>
          <w:lang w:val="en-GB"/>
        </w:rPr>
        <w:t xml:space="preserve">available in the EU were in </w:t>
      </w:r>
      <w:r w:rsidR="00366B56" w:rsidRPr="004C22BE">
        <w:rPr>
          <w:szCs w:val="19"/>
          <w:shd w:val="clear" w:color="auto" w:fill="FFFFFF"/>
          <w:lang w:val="en-GB"/>
        </w:rPr>
        <w:t>establishments</w:t>
      </w:r>
      <w:r w:rsidRPr="004C22BE">
        <w:rPr>
          <w:szCs w:val="19"/>
          <w:shd w:val="clear" w:color="auto" w:fill="FFFFFF"/>
          <w:lang w:val="en-GB"/>
        </w:rPr>
        <w:t xml:space="preserve"> located in coastal areas</w:t>
      </w:r>
      <w:r w:rsidR="00A843F6" w:rsidRPr="004C22BE">
        <w:rPr>
          <w:rStyle w:val="Odwoanieprzypisudolnego"/>
          <w:szCs w:val="19"/>
          <w:shd w:val="clear" w:color="auto" w:fill="FFFFFF"/>
          <w:lang w:val="en-GB"/>
        </w:rPr>
        <w:footnoteReference w:id="2"/>
      </w:r>
      <w:r w:rsidRPr="004C22BE">
        <w:rPr>
          <w:szCs w:val="19"/>
          <w:shd w:val="clear" w:color="auto" w:fill="FFFFFF"/>
          <w:lang w:val="en-GB"/>
        </w:rPr>
        <w:t>. In Poland, this share was 28.0%. The distribution of tourist accommodation by degree of urbanization</w:t>
      </w:r>
      <w:r w:rsidR="00A843F6" w:rsidRPr="004C22BE">
        <w:rPr>
          <w:rStyle w:val="Odwoanieprzypisudolnego"/>
          <w:szCs w:val="19"/>
          <w:shd w:val="clear" w:color="auto" w:fill="FFFFFF"/>
          <w:lang w:val="en-GB"/>
        </w:rPr>
        <w:footnoteReference w:id="3"/>
      </w:r>
      <w:r w:rsidRPr="004C22BE">
        <w:rPr>
          <w:szCs w:val="19"/>
          <w:shd w:val="clear" w:color="auto" w:fill="FFFFFF"/>
          <w:lang w:val="en-GB"/>
        </w:rPr>
        <w:t xml:space="preserve"> in the EU was as follows: in densely populated areas (cities) - 22.1%, medium populated areas (non-urban areas) - 34.0% and sparsely populated areas (rural areas) - 43.9%.</w:t>
      </w:r>
      <w:r w:rsidR="000439B9" w:rsidRPr="004C22BE">
        <w:rPr>
          <w:szCs w:val="19"/>
          <w:shd w:val="clear" w:color="auto" w:fill="FFFFFF"/>
          <w:lang w:val="en-GB"/>
        </w:rPr>
        <w:t xml:space="preserve"> </w:t>
      </w:r>
    </w:p>
    <w:p w14:paraId="59776D58" w14:textId="6A063C1B" w:rsidR="00B32ECD" w:rsidRDefault="007E6FDF" w:rsidP="007E6FDF">
      <w:pPr>
        <w:pStyle w:val="tytuwykresu"/>
        <w:spacing w:before="240" w:line="240" w:lineRule="auto"/>
        <w:ind w:right="720"/>
        <w:rPr>
          <w:lang w:val="en-GB" w:eastAsia="pl-PL"/>
        </w:rPr>
      </w:pPr>
      <w:r w:rsidRPr="009E0796">
        <w:rPr>
          <w:noProof/>
          <w:lang w:val="en-GB"/>
        </w:rPr>
        <mc:AlternateContent>
          <mc:Choice Requires="wps">
            <w:drawing>
              <wp:anchor distT="45720" distB="45720" distL="114300" distR="114300" simplePos="0" relativeHeight="251795456" behindDoc="0" locked="0" layoutInCell="1" allowOverlap="1" wp14:anchorId="3792629E" wp14:editId="135F8F53">
                <wp:simplePos x="0" y="0"/>
                <wp:positionH relativeFrom="page">
                  <wp:posOffset>2652757</wp:posOffset>
                </wp:positionH>
                <wp:positionV relativeFrom="paragraph">
                  <wp:posOffset>305435</wp:posOffset>
                </wp:positionV>
                <wp:extent cx="1795780" cy="238760"/>
                <wp:effectExtent l="0" t="0" r="0" b="8890"/>
                <wp:wrapSquare wrapText="bothSides"/>
                <wp:docPr id="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238760"/>
                        </a:xfrm>
                        <a:prstGeom prst="rect">
                          <a:avLst/>
                        </a:prstGeom>
                        <a:solidFill>
                          <a:srgbClr val="FFFFFF"/>
                        </a:solidFill>
                        <a:ln w="9525">
                          <a:noFill/>
                          <a:miter lim="800000"/>
                          <a:headEnd/>
                          <a:tailEnd/>
                        </a:ln>
                      </wps:spPr>
                      <wps:txbx>
                        <w:txbxContent>
                          <w:p w14:paraId="68B6B6EC" w14:textId="77777777" w:rsidR="009E0796" w:rsidRPr="009E0796" w:rsidRDefault="009E0796" w:rsidP="009E0796">
                            <w:pPr>
                              <w:spacing w:before="0" w:after="0"/>
                              <w:jc w:val="center"/>
                              <w:rPr>
                                <w:sz w:val="18"/>
                                <w:szCs w:val="18"/>
                              </w:rPr>
                            </w:pPr>
                            <w:proofErr w:type="spellStart"/>
                            <w:r w:rsidRPr="009E0796">
                              <w:rPr>
                                <w:sz w:val="18"/>
                                <w:szCs w:val="18"/>
                              </w:rPr>
                              <w:t>Average</w:t>
                            </w:r>
                            <w:proofErr w:type="spellEnd"/>
                            <w:r w:rsidRPr="009E0796">
                              <w:rPr>
                                <w:sz w:val="18"/>
                                <w:szCs w:val="18"/>
                              </w:rPr>
                              <w:t xml:space="preserve"> of EU </w:t>
                            </w:r>
                            <w:proofErr w:type="spellStart"/>
                            <w:r w:rsidRPr="009E0796">
                              <w:rPr>
                                <w:sz w:val="18"/>
                                <w:szCs w:val="18"/>
                              </w:rPr>
                              <w:t>member</w:t>
                            </w:r>
                            <w:proofErr w:type="spellEnd"/>
                            <w:r w:rsidRPr="009E0796">
                              <w:rPr>
                                <w:sz w:val="18"/>
                                <w:szCs w:val="18"/>
                              </w:rPr>
                              <w:t xml:space="preserve"> </w:t>
                            </w:r>
                            <w:proofErr w:type="spellStart"/>
                            <w:r w:rsidRPr="009E0796">
                              <w:rPr>
                                <w:sz w:val="18"/>
                                <w:szCs w:val="18"/>
                              </w:rPr>
                              <w:t>states</w:t>
                            </w:r>
                            <w:proofErr w:type="spellEnd"/>
                          </w:p>
                          <w:p w14:paraId="64910C96" w14:textId="046D1B23" w:rsidR="009E0796" w:rsidRPr="009E0796" w:rsidRDefault="009E0796" w:rsidP="009E0796">
                            <w:pPr>
                              <w:spacing w:before="0" w:after="0"/>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2629E" id="_x0000_s1030" type="#_x0000_t202" style="position:absolute;margin-left:208.9pt;margin-top:24.05pt;width:141.4pt;height:18.8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" stroked="f">
                <v:textbox>
                  <w:txbxContent>
                    <w:p w14:paraId="68B6B6EC" w14:textId="77777777" w:rsidR="009E0796" w:rsidRPr="009E0796" w:rsidRDefault="009E0796" w:rsidP="009E0796">
                      <w:pPr>
                        <w:spacing w:before="0" w:after="0"/>
                        <w:jc w:val="center"/>
                        <w:rPr>
                          <w:sz w:val="18"/>
                          <w:szCs w:val="18"/>
                        </w:rPr>
                      </w:pPr>
                      <w:proofErr w:type="spellStart"/>
                      <w:r w:rsidRPr="009E0796">
                        <w:rPr>
                          <w:sz w:val="18"/>
                          <w:szCs w:val="18"/>
                        </w:rPr>
                        <w:t>Average</w:t>
                      </w:r>
                      <w:proofErr w:type="spellEnd"/>
                      <w:r w:rsidRPr="009E0796">
                        <w:rPr>
                          <w:sz w:val="18"/>
                          <w:szCs w:val="18"/>
                        </w:rPr>
                        <w:t xml:space="preserve"> of EU </w:t>
                      </w:r>
                      <w:proofErr w:type="spellStart"/>
                      <w:r w:rsidRPr="009E0796">
                        <w:rPr>
                          <w:sz w:val="18"/>
                          <w:szCs w:val="18"/>
                        </w:rPr>
                        <w:t>member</w:t>
                      </w:r>
                      <w:proofErr w:type="spellEnd"/>
                      <w:r w:rsidRPr="009E0796">
                        <w:rPr>
                          <w:sz w:val="18"/>
                          <w:szCs w:val="18"/>
                        </w:rPr>
                        <w:t xml:space="preserve"> </w:t>
                      </w:r>
                      <w:proofErr w:type="spellStart"/>
                      <w:r w:rsidRPr="009E0796">
                        <w:rPr>
                          <w:sz w:val="18"/>
                          <w:szCs w:val="18"/>
                        </w:rPr>
                        <w:t>states</w:t>
                      </w:r>
                      <w:proofErr w:type="spellEnd"/>
                    </w:p>
                    <w:p w14:paraId="64910C96" w14:textId="046D1B23" w:rsidR="009E0796" w:rsidRPr="009E0796" w:rsidRDefault="009E0796" w:rsidP="009E0796">
                      <w:pPr>
                        <w:spacing w:before="0" w:after="0"/>
                        <w:jc w:val="center"/>
                        <w:rPr>
                          <w:sz w:val="18"/>
                          <w:szCs w:val="18"/>
                        </w:rPr>
                      </w:pPr>
                    </w:p>
                  </w:txbxContent>
                </v:textbox>
                <w10:wrap type="square" anchorx="page"/>
              </v:shape>
            </w:pict>
          </mc:Fallback>
        </mc:AlternateContent>
      </w:r>
      <w:r>
        <w:rPr>
          <w:noProof/>
          <w:sz w:val="19"/>
          <w:szCs w:val="19"/>
          <w:lang w:eastAsia="pl-PL"/>
        </w:rPr>
        <w:drawing>
          <wp:anchor distT="0" distB="0" distL="114300" distR="114300" simplePos="0" relativeHeight="251793408" behindDoc="0" locked="0" layoutInCell="1" allowOverlap="1" wp14:anchorId="02F1DCF5" wp14:editId="0C3CB4DF">
            <wp:simplePos x="0" y="0"/>
            <wp:positionH relativeFrom="margin">
              <wp:align>left</wp:align>
            </wp:positionH>
            <wp:positionV relativeFrom="paragraph">
              <wp:posOffset>263525</wp:posOffset>
            </wp:positionV>
            <wp:extent cx="5122545" cy="4533900"/>
            <wp:effectExtent l="0" t="0" r="1905" b="0"/>
            <wp:wrapTopAndBottom/>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0B551A">
        <w:rPr>
          <w:lang w:val="en-GB"/>
        </w:rPr>
        <w:t xml:space="preserve">Chart 2. </w:t>
      </w:r>
      <w:r w:rsidR="0075223A" w:rsidRPr="00C30BE8">
        <w:rPr>
          <w:lang w:val="en-GB" w:eastAsia="pl-PL"/>
        </w:rPr>
        <w:t>Share of foreign tourists in the total number of tourists in 2020</w:t>
      </w:r>
    </w:p>
    <w:p w14:paraId="55AA9E63" w14:textId="61DFF41B" w:rsidR="0075223A" w:rsidRPr="004C22BE" w:rsidRDefault="0075223A" w:rsidP="0075223A">
      <w:pPr>
        <w:pStyle w:val="Tekstprzypisudolnego"/>
        <w:spacing w:after="120" w:line="288" w:lineRule="auto"/>
        <w:rPr>
          <w:sz w:val="19"/>
          <w:szCs w:val="19"/>
          <w:shd w:val="clear" w:color="auto" w:fill="FFFFFF"/>
          <w:lang w:val="en-GB"/>
        </w:rPr>
      </w:pPr>
      <w:r w:rsidRPr="00C30BE8">
        <w:rPr>
          <w:sz w:val="19"/>
          <w:szCs w:val="19"/>
          <w:shd w:val="clear" w:color="auto" w:fill="FFFFFF"/>
          <w:lang w:val="en-GB"/>
        </w:rPr>
        <w:lastRenderedPageBreak/>
        <w:t xml:space="preserve">In </w:t>
      </w:r>
      <w:r w:rsidRPr="004C22BE">
        <w:rPr>
          <w:sz w:val="19"/>
          <w:szCs w:val="19"/>
          <w:shd w:val="clear" w:color="auto" w:fill="FFFFFF"/>
          <w:lang w:val="en-GB"/>
        </w:rPr>
        <w:t xml:space="preserve">2020, 462.7 million tourists </w:t>
      </w:r>
      <w:r w:rsidR="001D1FF8" w:rsidRPr="004C22BE">
        <w:rPr>
          <w:sz w:val="19"/>
          <w:szCs w:val="19"/>
          <w:shd w:val="clear" w:color="auto" w:fill="FFFFFF"/>
          <w:lang w:val="en-GB"/>
        </w:rPr>
        <w:t>were accommodated in</w:t>
      </w:r>
      <w:r w:rsidRPr="004C22BE">
        <w:rPr>
          <w:sz w:val="19"/>
          <w:szCs w:val="19"/>
          <w:shd w:val="clear" w:color="auto" w:fill="FFFFFF"/>
          <w:lang w:val="en-GB"/>
        </w:rPr>
        <w:t xml:space="preserve"> tourist accommodation establishments located in the 27 EU countries, 54.0% less than in 2019. Almost three quarters of tourists stayed overnight in hotels and similar accommodation. In Poland, 73.4% of tourists </w:t>
      </w:r>
      <w:r w:rsidR="001D1FF8" w:rsidRPr="004C22BE">
        <w:rPr>
          <w:sz w:val="19"/>
          <w:szCs w:val="19"/>
          <w:shd w:val="clear" w:color="auto" w:fill="FFFFFF"/>
          <w:lang w:val="en-GB"/>
        </w:rPr>
        <w:t xml:space="preserve">were accommodated </w:t>
      </w:r>
      <w:r w:rsidRPr="004C22BE">
        <w:rPr>
          <w:sz w:val="19"/>
          <w:szCs w:val="19"/>
          <w:shd w:val="clear" w:color="auto" w:fill="FFFFFF"/>
          <w:lang w:val="en-GB"/>
        </w:rPr>
        <w:t xml:space="preserve">in this type of </w:t>
      </w:r>
      <w:r w:rsidR="00366B56" w:rsidRPr="004C22BE">
        <w:rPr>
          <w:sz w:val="19"/>
          <w:szCs w:val="19"/>
          <w:shd w:val="clear" w:color="auto" w:fill="FFFFFF"/>
          <w:lang w:val="en-GB"/>
        </w:rPr>
        <w:t>establishments</w:t>
      </w:r>
      <w:r w:rsidRPr="004C22BE">
        <w:rPr>
          <w:sz w:val="19"/>
          <w:szCs w:val="19"/>
          <w:shd w:val="clear" w:color="auto" w:fill="FFFFFF"/>
          <w:lang w:val="en-GB"/>
        </w:rPr>
        <w:t xml:space="preserve">. Foreign tourists accounted for 25.0% of those </w:t>
      </w:r>
      <w:r w:rsidR="001D1FF8" w:rsidRPr="004C22BE">
        <w:rPr>
          <w:sz w:val="19"/>
          <w:szCs w:val="19"/>
          <w:shd w:val="clear" w:color="auto" w:fill="FFFFFF"/>
          <w:lang w:val="en-GB"/>
        </w:rPr>
        <w:t>accommodated</w:t>
      </w:r>
      <w:r w:rsidRPr="004C22BE">
        <w:rPr>
          <w:sz w:val="19"/>
          <w:szCs w:val="19"/>
          <w:shd w:val="clear" w:color="auto" w:fill="FFFFFF"/>
          <w:lang w:val="en-GB"/>
        </w:rPr>
        <w:t xml:space="preserve"> in accommodation establishments located in the 27 EU countries</w:t>
      </w:r>
      <w:r w:rsidR="001D1FF8" w:rsidRPr="004C22BE">
        <w:rPr>
          <w:sz w:val="19"/>
          <w:szCs w:val="19"/>
          <w:shd w:val="clear" w:color="auto" w:fill="FFFFFF"/>
          <w:lang w:val="en-GB"/>
        </w:rPr>
        <w:t xml:space="preserve"> in 2020</w:t>
      </w:r>
      <w:r w:rsidRPr="004C22BE">
        <w:rPr>
          <w:sz w:val="19"/>
          <w:szCs w:val="19"/>
          <w:shd w:val="clear" w:color="auto" w:fill="FFFFFF"/>
          <w:lang w:val="en-GB"/>
        </w:rPr>
        <w:t>. The highest share of foreign visitors in the total number of tourists was recorded in Luxembourg (80.1%), followed by Croatia (79.2%), and the lowest in Romania - 6.9%. In Poland</w:t>
      </w:r>
      <w:r w:rsidR="001D1FF8" w:rsidRPr="004C22BE">
        <w:rPr>
          <w:sz w:val="19"/>
          <w:szCs w:val="19"/>
          <w:shd w:val="clear" w:color="auto" w:fill="FFFFFF"/>
          <w:lang w:val="en-GB"/>
        </w:rPr>
        <w:t>,</w:t>
      </w:r>
      <w:r w:rsidRPr="004C22BE">
        <w:rPr>
          <w:sz w:val="19"/>
          <w:szCs w:val="19"/>
          <w:shd w:val="clear" w:color="auto" w:fill="FFFFFF"/>
          <w:lang w:val="en-GB"/>
        </w:rPr>
        <w:t xml:space="preserve"> the share of foreign tourists amounted to 12.7%.</w:t>
      </w:r>
    </w:p>
    <w:p w14:paraId="0D8B1881" w14:textId="49297282" w:rsidR="0075223A" w:rsidRPr="00C30BE8" w:rsidRDefault="00CB46BD" w:rsidP="0075223A">
      <w:pPr>
        <w:pStyle w:val="Tekstprzypisudolnego"/>
        <w:spacing w:after="120" w:line="288" w:lineRule="auto"/>
        <w:rPr>
          <w:shd w:val="clear" w:color="auto" w:fill="FFFFFF"/>
          <w:lang w:val="en-GB"/>
        </w:rPr>
      </w:pPr>
      <w:r>
        <w:rPr>
          <w:shd w:val="clear" w:color="auto" w:fill="FFFFFF"/>
          <w:lang w:val="en-GB"/>
        </w:rPr>
        <w:t>I</w:t>
      </w:r>
      <w:r w:rsidRPr="00C30BE8">
        <w:rPr>
          <w:shd w:val="clear" w:color="auto" w:fill="FFFFFF"/>
          <w:lang w:val="en-GB"/>
        </w:rPr>
        <w:t>n 2020</w:t>
      </w:r>
      <w:r w:rsidR="003A2248" w:rsidRPr="00C30BE8">
        <w:rPr>
          <w:b/>
          <w:noProof/>
          <w:spacing w:val="-2"/>
          <w:szCs w:val="19"/>
          <w:lang w:eastAsia="pl-PL"/>
        </w:rPr>
        <mc:AlternateContent>
          <mc:Choice Requires="wps">
            <w:drawing>
              <wp:anchor distT="45720" distB="45720" distL="114300" distR="114300" simplePos="0" relativeHeight="251753472" behindDoc="1" locked="0" layoutInCell="1" allowOverlap="1" wp14:anchorId="5662205C" wp14:editId="0B3A4A33">
                <wp:simplePos x="0" y="0"/>
                <wp:positionH relativeFrom="column">
                  <wp:posOffset>5301071</wp:posOffset>
                </wp:positionH>
                <wp:positionV relativeFrom="paragraph">
                  <wp:posOffset>44722</wp:posOffset>
                </wp:positionV>
                <wp:extent cx="1752600" cy="1191895"/>
                <wp:effectExtent l="0" t="0" r="0" b="0"/>
                <wp:wrapTight wrapText="bothSides">
                  <wp:wrapPolygon edited="0">
                    <wp:start x="704" y="0"/>
                    <wp:lineTo x="704" y="21059"/>
                    <wp:lineTo x="20661" y="21059"/>
                    <wp:lineTo x="20661" y="0"/>
                    <wp:lineTo x="704"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91895"/>
                        </a:xfrm>
                        <a:prstGeom prst="rect">
                          <a:avLst/>
                        </a:prstGeom>
                        <a:noFill/>
                        <a:ln w="9525">
                          <a:noFill/>
                          <a:miter lim="800000"/>
                          <a:headEnd/>
                          <a:tailEnd/>
                        </a:ln>
                      </wps:spPr>
                      <wps:txbx>
                        <w:txbxContent>
                          <w:p w14:paraId="2E33B649" w14:textId="40877ED8" w:rsidR="00C2270F" w:rsidRPr="00495475" w:rsidRDefault="00495475" w:rsidP="006042F9">
                            <w:pPr>
                              <w:pStyle w:val="tekstzboku"/>
                              <w:rPr>
                                <w:lang w:val="en-GB"/>
                              </w:rPr>
                            </w:pPr>
                            <w:r w:rsidRPr="00495475">
                              <w:rPr>
                                <w:lang w:val="en-GB"/>
                              </w:rPr>
                              <w:t xml:space="preserve">In 2020, 414.3 million overnight stays </w:t>
                            </w:r>
                            <w:r w:rsidR="00210A4C" w:rsidRPr="00495475">
                              <w:rPr>
                                <w:lang w:val="en-GB"/>
                              </w:rPr>
                              <w:t xml:space="preserve">were provided </w:t>
                            </w:r>
                            <w:r w:rsidR="00210A4C">
                              <w:rPr>
                                <w:lang w:val="en-GB"/>
                              </w:rPr>
                              <w:t>to</w:t>
                            </w:r>
                            <w:r w:rsidRPr="00495475">
                              <w:rPr>
                                <w:lang w:val="en-GB"/>
                              </w:rPr>
                              <w:t xml:space="preserve"> foreign tourists in tourist accommodation establishments </w:t>
                            </w:r>
                            <w:r w:rsidR="00EB3A19">
                              <w:rPr>
                                <w:lang w:val="en-GB"/>
                              </w:rPr>
                              <w:t>in</w:t>
                            </w:r>
                            <w:r w:rsidRPr="00495475">
                              <w:rPr>
                                <w:lang w:val="en-GB"/>
                              </w:rPr>
                              <w:t xml:space="preserve"> the 27 EU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2205C" id="Pole tekstowe 13" o:spid="_x0000_s1031" type="#_x0000_t202" style="position:absolute;margin-left:417.4pt;margin-top:3.5pt;width:138pt;height:93.8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" filled="f" stroked="f">
                <v:textbox>
                  <w:txbxContent>
                    <w:p w14:paraId="2E33B649" w14:textId="40877ED8" w:rsidR="00C2270F" w:rsidRPr="00495475" w:rsidRDefault="00495475" w:rsidP="006042F9">
                      <w:pPr>
                        <w:pStyle w:val="tekstzboku"/>
                        <w:rPr>
                          <w:lang w:val="en-GB"/>
                        </w:rPr>
                      </w:pPr>
                      <w:r w:rsidRPr="00495475">
                        <w:rPr>
                          <w:lang w:val="en-GB"/>
                        </w:rPr>
                        <w:t xml:space="preserve">In 2020, 414.3 million overnight stays </w:t>
                      </w:r>
                      <w:r w:rsidR="00210A4C" w:rsidRPr="00495475">
                        <w:rPr>
                          <w:lang w:val="en-GB"/>
                        </w:rPr>
                        <w:t xml:space="preserve">were provided </w:t>
                      </w:r>
                      <w:r w:rsidR="00210A4C">
                        <w:rPr>
                          <w:lang w:val="en-GB"/>
                        </w:rPr>
                        <w:t>to</w:t>
                      </w:r>
                      <w:r w:rsidRPr="00495475">
                        <w:rPr>
                          <w:lang w:val="en-GB"/>
                        </w:rPr>
                        <w:t xml:space="preserve"> foreign tourists in tourist accommodation establishments </w:t>
                      </w:r>
                      <w:r w:rsidR="00EB3A19">
                        <w:rPr>
                          <w:lang w:val="en-GB"/>
                        </w:rPr>
                        <w:t>in</w:t>
                      </w:r>
                      <w:r w:rsidRPr="00495475">
                        <w:rPr>
                          <w:lang w:val="en-GB"/>
                        </w:rPr>
                        <w:t xml:space="preserve"> the 27 EU countries</w:t>
                      </w:r>
                    </w:p>
                  </w:txbxContent>
                </v:textbox>
                <w10:wrap type="tight"/>
              </v:shape>
            </w:pict>
          </mc:Fallback>
        </mc:AlternateContent>
      </w:r>
      <w:r>
        <w:rPr>
          <w:shd w:val="clear" w:color="auto" w:fill="FFFFFF"/>
          <w:lang w:val="en-GB"/>
        </w:rPr>
        <w:t xml:space="preserve">, </w:t>
      </w:r>
      <w:r w:rsidRPr="00C30BE8">
        <w:rPr>
          <w:shd w:val="clear" w:color="auto" w:fill="FFFFFF"/>
          <w:lang w:val="en-GB"/>
        </w:rPr>
        <w:t xml:space="preserve">1414.2 </w:t>
      </w:r>
      <w:r w:rsidRPr="004C22BE">
        <w:rPr>
          <w:shd w:val="clear" w:color="auto" w:fill="FFFFFF"/>
          <w:lang w:val="en-GB"/>
        </w:rPr>
        <w:t>million overnight stays were provided to t</w:t>
      </w:r>
      <w:r w:rsidR="0075223A" w:rsidRPr="004C22BE">
        <w:rPr>
          <w:shd w:val="clear" w:color="auto" w:fill="FFFFFF"/>
          <w:lang w:val="en-GB"/>
        </w:rPr>
        <w:t xml:space="preserve">ourists </w:t>
      </w:r>
      <w:r w:rsidRPr="004C22BE">
        <w:rPr>
          <w:sz w:val="19"/>
          <w:szCs w:val="19"/>
          <w:shd w:val="clear" w:color="auto" w:fill="FFFFFF"/>
          <w:lang w:val="en-GB"/>
        </w:rPr>
        <w:t xml:space="preserve">accommodated in accommodation establishments </w:t>
      </w:r>
      <w:r w:rsidR="0075223A" w:rsidRPr="004C22BE">
        <w:rPr>
          <w:shd w:val="clear" w:color="auto" w:fill="FFFFFF"/>
          <w:lang w:val="en-GB"/>
        </w:rPr>
        <w:t xml:space="preserve">in the EU, 50.9% less than in 2019. Four countries accounted for more than half of the overnight stays provided in the 27 EU countries: Germany (18.4%), France (17.5%), Italy (14.4%) and Spain (10.2%). </w:t>
      </w:r>
      <w:r w:rsidRPr="004C22BE">
        <w:rPr>
          <w:shd w:val="clear" w:color="auto" w:fill="FFFFFF"/>
          <w:lang w:val="en-GB"/>
        </w:rPr>
        <w:t>Compared to 2019, t</w:t>
      </w:r>
      <w:r w:rsidR="0075223A" w:rsidRPr="004C22BE">
        <w:rPr>
          <w:shd w:val="clear" w:color="auto" w:fill="FFFFFF"/>
          <w:lang w:val="en-GB"/>
        </w:rPr>
        <w:t xml:space="preserve">he number of overnight stays provided decreased in all Member States, with Cyprus falling the most (by 78.8%), followed by Greece (by 74.0%) and Malta (by 70.3%). </w:t>
      </w:r>
    </w:p>
    <w:p w14:paraId="2C37CCDB" w14:textId="1B0B61A9" w:rsidR="00C3252D" w:rsidRPr="00372E82" w:rsidRDefault="00CB46BD" w:rsidP="009E0796">
      <w:pPr>
        <w:pStyle w:val="Tekstprzypisudolnego"/>
        <w:spacing w:after="120" w:line="288" w:lineRule="auto"/>
        <w:ind w:left="624" w:hanging="624"/>
        <w:rPr>
          <w:b/>
          <w:sz w:val="19"/>
          <w:szCs w:val="19"/>
          <w:lang w:val="en-GB" w:eastAsia="pl-PL"/>
        </w:rPr>
      </w:pPr>
      <w:r w:rsidRPr="00372E82">
        <w:rPr>
          <w:b/>
          <w:sz w:val="19"/>
          <w:szCs w:val="19"/>
          <w:lang w:val="en-GB" w:eastAsia="pl-PL"/>
        </w:rPr>
        <w:t xml:space="preserve">Map 1. </w:t>
      </w:r>
      <w:r w:rsidR="0090765F" w:rsidRPr="00372E82">
        <w:rPr>
          <w:b/>
          <w:sz w:val="19"/>
          <w:szCs w:val="19"/>
          <w:lang w:val="en-GB" w:eastAsia="pl-PL"/>
        </w:rPr>
        <w:t xml:space="preserve">Share of </w:t>
      </w:r>
      <w:r w:rsidR="0081020E" w:rsidRPr="00372E82">
        <w:rPr>
          <w:b/>
          <w:shd w:val="clear" w:color="auto" w:fill="FFFFFF"/>
          <w:lang w:val="en-GB"/>
        </w:rPr>
        <w:t xml:space="preserve">overnight stays </w:t>
      </w:r>
      <w:r w:rsidR="0081020E" w:rsidRPr="004C22BE">
        <w:rPr>
          <w:b/>
          <w:shd w:val="clear" w:color="auto" w:fill="FFFFFF"/>
          <w:lang w:val="en-GB"/>
        </w:rPr>
        <w:t xml:space="preserve">provided to </w:t>
      </w:r>
      <w:r w:rsidR="0090765F" w:rsidRPr="00372E82">
        <w:rPr>
          <w:b/>
          <w:sz w:val="19"/>
          <w:szCs w:val="19"/>
          <w:lang w:val="en-GB" w:eastAsia="pl-PL"/>
        </w:rPr>
        <w:t xml:space="preserve">foreign tourists in the total number of </w:t>
      </w:r>
      <w:r w:rsidR="0081020E" w:rsidRPr="00372E82">
        <w:rPr>
          <w:b/>
          <w:shd w:val="clear" w:color="auto" w:fill="FFFFFF"/>
          <w:lang w:val="en-GB"/>
        </w:rPr>
        <w:t xml:space="preserve">overnight stays </w:t>
      </w:r>
      <w:r w:rsidR="0090765F" w:rsidRPr="00372E82">
        <w:rPr>
          <w:b/>
          <w:sz w:val="19"/>
          <w:szCs w:val="19"/>
          <w:lang w:val="en-GB" w:eastAsia="pl-PL"/>
        </w:rPr>
        <w:t>in 2020 in the 27 countries of the European Union</w:t>
      </w:r>
    </w:p>
    <w:p w14:paraId="73BAA5AD" w14:textId="08AC90D8" w:rsidR="00C3252D" w:rsidRPr="00C30BE8" w:rsidRDefault="008E2C55" w:rsidP="00E47BB6">
      <w:pPr>
        <w:spacing w:before="0" w:after="100" w:afterAutospacing="1" w:line="288" w:lineRule="auto"/>
        <w:rPr>
          <w:shd w:val="clear" w:color="auto" w:fill="FFFFFF"/>
          <w:lang w:val="en-GB"/>
        </w:rPr>
      </w:pPr>
      <w:r>
        <w:rPr>
          <w:noProof/>
          <w:shd w:val="clear" w:color="auto" w:fill="FFFFFF"/>
          <w:lang w:eastAsia="pl-PL"/>
        </w:rPr>
        <w:drawing>
          <wp:inline distT="0" distB="0" distL="0" distR="0" wp14:anchorId="5F3D6012" wp14:editId="66E76041">
            <wp:extent cx="5047498" cy="4709170"/>
            <wp:effectExtent l="0" t="0" r="127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N_Udział noclegów udzielonych turystom zagranicznym w ogólnej liczbie 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7498" cy="4709170"/>
                    </a:xfrm>
                    <a:prstGeom prst="rect">
                      <a:avLst/>
                    </a:prstGeom>
                  </pic:spPr>
                </pic:pic>
              </a:graphicData>
            </a:graphic>
          </wp:inline>
        </w:drawing>
      </w:r>
    </w:p>
    <w:p w14:paraId="5A72DFEC" w14:textId="77777777" w:rsidR="00411445" w:rsidRPr="00C30BE8" w:rsidRDefault="00411445" w:rsidP="00411445">
      <w:pPr>
        <w:spacing w:before="100" w:beforeAutospacing="1" w:after="0" w:line="288" w:lineRule="auto"/>
        <w:rPr>
          <w:shd w:val="clear" w:color="auto" w:fill="FFFFFF"/>
          <w:lang w:val="en-GB"/>
        </w:rPr>
      </w:pPr>
    </w:p>
    <w:p w14:paraId="0405472A" w14:textId="6BBD6DA6" w:rsidR="00C3252D" w:rsidRPr="00C73EDB" w:rsidRDefault="00211D60" w:rsidP="00621690">
      <w:pPr>
        <w:spacing w:before="0" w:after="0" w:line="288" w:lineRule="auto"/>
        <w:rPr>
          <w:color w:val="FF0000"/>
          <w:shd w:val="clear" w:color="auto" w:fill="FFFFFF"/>
          <w:lang w:val="en-GB"/>
        </w:rPr>
      </w:pPr>
      <w:r w:rsidRPr="00C30BE8">
        <w:rPr>
          <w:shd w:val="clear" w:color="auto" w:fill="FFFFFF"/>
          <w:lang w:val="en-GB"/>
        </w:rPr>
        <w:t xml:space="preserve">In 2020, </w:t>
      </w:r>
      <w:r w:rsidRPr="00C86851">
        <w:rPr>
          <w:shd w:val="clear" w:color="auto" w:fill="FFFFFF"/>
          <w:lang w:val="en-GB"/>
        </w:rPr>
        <w:t xml:space="preserve">the highest number of </w:t>
      </w:r>
      <w:r w:rsidR="00A3440D" w:rsidRPr="00C86851">
        <w:rPr>
          <w:shd w:val="clear" w:color="auto" w:fill="FFFFFF"/>
          <w:lang w:val="en-GB"/>
        </w:rPr>
        <w:t>overnight stays</w:t>
      </w:r>
      <w:r w:rsidRPr="00C86851">
        <w:rPr>
          <w:shd w:val="clear" w:color="auto" w:fill="FFFFFF"/>
          <w:lang w:val="en-GB"/>
        </w:rPr>
        <w:t xml:space="preserve"> in the EU </w:t>
      </w:r>
      <w:r w:rsidR="00A3440D" w:rsidRPr="00C86851">
        <w:rPr>
          <w:shd w:val="clear" w:color="auto" w:fill="FFFFFF"/>
          <w:lang w:val="en-GB"/>
        </w:rPr>
        <w:t>was recorded</w:t>
      </w:r>
      <w:r w:rsidRPr="00C86851">
        <w:rPr>
          <w:shd w:val="clear" w:color="auto" w:fill="FFFFFF"/>
          <w:lang w:val="en-GB"/>
        </w:rPr>
        <w:t xml:space="preserve"> in hotels and similar </w:t>
      </w:r>
      <w:r w:rsidR="00A3440D" w:rsidRPr="00C86851">
        <w:rPr>
          <w:szCs w:val="19"/>
          <w:shd w:val="clear" w:color="auto" w:fill="FFFFFF"/>
          <w:lang w:val="en-GB"/>
        </w:rPr>
        <w:t>accommodation</w:t>
      </w:r>
      <w:r w:rsidR="00A3440D" w:rsidRPr="00C86851">
        <w:rPr>
          <w:shd w:val="clear" w:color="auto" w:fill="FFFFFF"/>
          <w:lang w:val="en-GB"/>
        </w:rPr>
        <w:t xml:space="preserve"> – </w:t>
      </w:r>
      <w:r w:rsidRPr="00C86851">
        <w:rPr>
          <w:shd w:val="clear" w:color="auto" w:fill="FFFFFF"/>
          <w:lang w:val="en-GB"/>
        </w:rPr>
        <w:t>791.2 million (55.9%)</w:t>
      </w:r>
      <w:r w:rsidR="00A3440D" w:rsidRPr="00C86851">
        <w:rPr>
          <w:shd w:val="clear" w:color="auto" w:fill="FFFFFF"/>
          <w:lang w:val="en-GB"/>
        </w:rPr>
        <w:t>,</w:t>
      </w:r>
      <w:r w:rsidRPr="00C86851">
        <w:rPr>
          <w:shd w:val="clear" w:color="auto" w:fill="FFFFFF"/>
          <w:lang w:val="en-GB"/>
        </w:rPr>
        <w:t xml:space="preserve"> and the lowest in camping </w:t>
      </w:r>
      <w:r w:rsidR="00A3440D" w:rsidRPr="00C86851">
        <w:rPr>
          <w:shd w:val="clear" w:color="auto" w:fill="FFFFFF"/>
          <w:lang w:val="en-GB"/>
        </w:rPr>
        <w:t>grounds – 253.6 million (17.9%)</w:t>
      </w:r>
      <w:r w:rsidRPr="00C86851">
        <w:rPr>
          <w:shd w:val="clear" w:color="auto" w:fill="FFFFFF"/>
          <w:lang w:val="en-GB"/>
        </w:rPr>
        <w:t xml:space="preserve">. On average, tourists stayed 3 nights. They stayed the longest in </w:t>
      </w:r>
      <w:r w:rsidR="00366B56" w:rsidRPr="00C86851">
        <w:rPr>
          <w:shd w:val="clear" w:color="auto" w:fill="FFFFFF"/>
          <w:lang w:val="en-GB"/>
        </w:rPr>
        <w:t>establishments</w:t>
      </w:r>
      <w:r w:rsidRPr="00C86851">
        <w:rPr>
          <w:shd w:val="clear" w:color="auto" w:fill="FFFFFF"/>
          <w:lang w:val="en-GB"/>
        </w:rPr>
        <w:t xml:space="preserve"> located in Croatia, followed by </w:t>
      </w:r>
      <w:r w:rsidRPr="00296B6F">
        <w:rPr>
          <w:shd w:val="clear" w:color="auto" w:fill="FFFFFF"/>
          <w:lang w:val="en-GB"/>
        </w:rPr>
        <w:t xml:space="preserve">Denmark - 5.8 and 4.6 </w:t>
      </w:r>
      <w:r w:rsidR="003F2738" w:rsidRPr="00296B6F">
        <w:rPr>
          <w:shd w:val="clear" w:color="auto" w:fill="FFFFFF"/>
          <w:lang w:val="en-GB"/>
        </w:rPr>
        <w:t>overnight stays</w:t>
      </w:r>
      <w:r w:rsidRPr="00296B6F">
        <w:rPr>
          <w:shd w:val="clear" w:color="auto" w:fill="FFFFFF"/>
          <w:lang w:val="en-GB"/>
        </w:rPr>
        <w:t xml:space="preserve"> respectively. In Poland, the length of</w:t>
      </w:r>
      <w:r w:rsidR="0090576B" w:rsidRPr="00296B6F">
        <w:rPr>
          <w:shd w:val="clear" w:color="auto" w:fill="FFFFFF"/>
          <w:lang w:val="en-GB"/>
        </w:rPr>
        <w:t xml:space="preserve"> a</w:t>
      </w:r>
      <w:r w:rsidRPr="00296B6F">
        <w:rPr>
          <w:shd w:val="clear" w:color="auto" w:fill="FFFFFF"/>
          <w:lang w:val="en-GB"/>
        </w:rPr>
        <w:t xml:space="preserve"> stay at tourist accommodation establishments was slightly shorter than the EU average</w:t>
      </w:r>
      <w:r w:rsidR="0090576B" w:rsidRPr="00296B6F">
        <w:rPr>
          <w:shd w:val="clear" w:color="auto" w:fill="FFFFFF"/>
          <w:lang w:val="en-GB"/>
        </w:rPr>
        <w:t xml:space="preserve"> and amounted to</w:t>
      </w:r>
      <w:r w:rsidRPr="00296B6F">
        <w:rPr>
          <w:shd w:val="clear" w:color="auto" w:fill="FFFFFF"/>
          <w:lang w:val="en-GB"/>
        </w:rPr>
        <w:t xml:space="preserve"> 2.9 nights</w:t>
      </w:r>
      <w:r w:rsidR="00C3252D" w:rsidRPr="00296B6F">
        <w:rPr>
          <w:shd w:val="clear" w:color="auto" w:fill="FFFFFF"/>
          <w:lang w:val="en-GB"/>
        </w:rPr>
        <w:t xml:space="preserve">. </w:t>
      </w:r>
    </w:p>
    <w:p w14:paraId="5987D559" w14:textId="110D0230" w:rsidR="00EB7BE5" w:rsidRPr="00C86851" w:rsidRDefault="007E6FDF" w:rsidP="007E6FDF">
      <w:pPr>
        <w:tabs>
          <w:tab w:val="left" w:pos="2268"/>
        </w:tabs>
        <w:spacing w:before="360" w:line="240" w:lineRule="auto"/>
        <w:ind w:left="709" w:hanging="709"/>
        <w:rPr>
          <w:sz w:val="16"/>
          <w:szCs w:val="16"/>
          <w:shd w:val="clear" w:color="auto" w:fill="FFFFFF"/>
          <w:lang w:val="en-GB"/>
        </w:rPr>
      </w:pPr>
      <w:r w:rsidRPr="00C30BE8">
        <w:rPr>
          <w:noProof/>
          <w:shd w:val="clear" w:color="auto" w:fill="FFFFFF"/>
          <w:lang w:eastAsia="pl-PL"/>
        </w:rPr>
        <w:lastRenderedPageBreak/>
        <mc:AlternateContent>
          <mc:Choice Requires="wps">
            <w:drawing>
              <wp:anchor distT="45720" distB="45720" distL="114300" distR="114300" simplePos="0" relativeHeight="251779072" behindDoc="0" locked="0" layoutInCell="1" allowOverlap="1" wp14:anchorId="1DA64EE6" wp14:editId="61CF1F15">
                <wp:simplePos x="0" y="0"/>
                <wp:positionH relativeFrom="column">
                  <wp:posOffset>25309</wp:posOffset>
                </wp:positionH>
                <wp:positionV relativeFrom="paragraph">
                  <wp:posOffset>214993</wp:posOffset>
                </wp:positionV>
                <wp:extent cx="759460" cy="280670"/>
                <wp:effectExtent l="0" t="0" r="0" b="5080"/>
                <wp:wrapSquare wrapText="bothSides"/>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80670"/>
                        </a:xfrm>
                        <a:prstGeom prst="rect">
                          <a:avLst/>
                        </a:prstGeom>
                        <a:noFill/>
                        <a:ln w="9525">
                          <a:noFill/>
                          <a:miter lim="800000"/>
                          <a:headEnd/>
                          <a:tailEnd/>
                        </a:ln>
                      </wps:spPr>
                      <wps:txbx>
                        <w:txbxContent>
                          <w:p w14:paraId="37B8CE59" w14:textId="587CDCC3" w:rsidR="00C00E8A" w:rsidRDefault="00C00E8A" w:rsidP="00C00E8A">
                            <w:pPr>
                              <w:spacing w:before="0" w:after="0"/>
                            </w:pPr>
                            <w:r>
                              <w:t>m</w:t>
                            </w:r>
                            <w:r w:rsidR="00E8484A">
                              <w:t>illion</w:t>
                            </w:r>
                            <w:r w:rsidR="00C86851">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64EE6" id="_x0000_s1032" type="#_x0000_t202" style="position:absolute;left:0;text-align:left;margin-left:2pt;margin-top:16.95pt;width:59.8pt;height:22.1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" filled="f" stroked="f">
                <v:textbox>
                  <w:txbxContent>
                    <w:p w14:paraId="37B8CE59" w14:textId="587CDCC3" w:rsidR="00C00E8A" w:rsidRDefault="00C00E8A" w:rsidP="00C00E8A">
                      <w:pPr>
                        <w:spacing w:before="0" w:after="0"/>
                      </w:pPr>
                      <w:r>
                        <w:t>m</w:t>
                      </w:r>
                      <w:r w:rsidR="00E8484A">
                        <w:t>illion</w:t>
                      </w:r>
                      <w:r w:rsidR="00C86851">
                        <w:t>s</w:t>
                      </w:r>
                    </w:p>
                  </w:txbxContent>
                </v:textbox>
                <w10:wrap type="square"/>
              </v:shape>
            </w:pict>
          </mc:Fallback>
        </mc:AlternateContent>
      </w:r>
      <w:r w:rsidRPr="00C30BE8">
        <w:rPr>
          <w:noProof/>
          <w:lang w:eastAsia="pl-PL"/>
        </w:rPr>
        <w:drawing>
          <wp:anchor distT="0" distB="0" distL="114300" distR="114300" simplePos="0" relativeHeight="251777024" behindDoc="0" locked="0" layoutInCell="1" allowOverlap="1" wp14:anchorId="3DB8D633" wp14:editId="77E69EF8">
            <wp:simplePos x="0" y="0"/>
            <wp:positionH relativeFrom="margin">
              <wp:align>left</wp:align>
            </wp:positionH>
            <wp:positionV relativeFrom="paragraph">
              <wp:posOffset>218530</wp:posOffset>
            </wp:positionV>
            <wp:extent cx="5116830" cy="2930525"/>
            <wp:effectExtent l="0" t="0" r="7620" b="3175"/>
            <wp:wrapTopAndBottom/>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C86851">
        <w:rPr>
          <w:b/>
          <w:szCs w:val="19"/>
          <w:shd w:val="clear" w:color="auto" w:fill="FFFFFF"/>
          <w:lang w:val="en-GB"/>
        </w:rPr>
        <w:t xml:space="preserve">Chart 3. </w:t>
      </w:r>
      <w:r w:rsidR="00336A4C" w:rsidRPr="00C86851">
        <w:rPr>
          <w:b/>
          <w:szCs w:val="19"/>
          <w:shd w:val="clear" w:color="auto" w:fill="FFFFFF"/>
          <w:lang w:val="en-GB"/>
        </w:rPr>
        <w:t xml:space="preserve">Number of overnight stays at </w:t>
      </w:r>
      <w:r w:rsidR="00C12F44" w:rsidRPr="00C86851">
        <w:rPr>
          <w:b/>
          <w:szCs w:val="19"/>
          <w:shd w:val="clear" w:color="auto" w:fill="FFFFFF"/>
          <w:lang w:val="en-GB"/>
        </w:rPr>
        <w:t xml:space="preserve">accommodation </w:t>
      </w:r>
      <w:r w:rsidR="00336A4C" w:rsidRPr="00C86851">
        <w:rPr>
          <w:b/>
          <w:szCs w:val="19"/>
          <w:shd w:val="clear" w:color="auto" w:fill="FFFFFF"/>
          <w:lang w:val="en-GB"/>
        </w:rPr>
        <w:t>establishments in the 27 EU countries</w:t>
      </w:r>
    </w:p>
    <w:p w14:paraId="4B108EEC" w14:textId="77777777" w:rsidR="00C2270F" w:rsidRPr="00C30BE8" w:rsidRDefault="00C2270F" w:rsidP="0081775E">
      <w:pPr>
        <w:pStyle w:val="Tekstprzypisudolnego"/>
        <w:rPr>
          <w:sz w:val="19"/>
          <w:szCs w:val="19"/>
          <w:shd w:val="clear" w:color="auto" w:fill="FFFFFF"/>
          <w:lang w:val="en-GB"/>
        </w:rPr>
      </w:pPr>
    </w:p>
    <w:p w14:paraId="5547DA89" w14:textId="77777777" w:rsidR="00C2270F" w:rsidRPr="00C30BE8" w:rsidRDefault="00C2270F" w:rsidP="0081775E">
      <w:pPr>
        <w:pStyle w:val="Tekstprzypisudolnego"/>
        <w:rPr>
          <w:sz w:val="19"/>
          <w:szCs w:val="19"/>
          <w:shd w:val="clear" w:color="auto" w:fill="FFFFFF"/>
          <w:lang w:val="en-GB"/>
        </w:rPr>
      </w:pPr>
    </w:p>
    <w:p w14:paraId="40979BB3" w14:textId="77777777" w:rsidR="001D07A8" w:rsidRPr="00C30BE8" w:rsidRDefault="001D07A8" w:rsidP="0081775E">
      <w:pPr>
        <w:pStyle w:val="Tekstprzypisudolnego"/>
        <w:rPr>
          <w:sz w:val="19"/>
          <w:szCs w:val="19"/>
          <w:shd w:val="clear" w:color="auto" w:fill="FFFFFF"/>
          <w:lang w:val="en-GB"/>
        </w:rPr>
      </w:pPr>
    </w:p>
    <w:p w14:paraId="133D0B61" w14:textId="77777777" w:rsidR="001D07A8" w:rsidRPr="00C30BE8" w:rsidRDefault="001D07A8" w:rsidP="0081775E">
      <w:pPr>
        <w:pStyle w:val="Tekstprzypisudolnego"/>
        <w:rPr>
          <w:sz w:val="19"/>
          <w:szCs w:val="19"/>
          <w:shd w:val="clear" w:color="auto" w:fill="FFFFFF"/>
          <w:lang w:val="en-GB"/>
        </w:rPr>
      </w:pPr>
    </w:p>
    <w:p w14:paraId="27EA4A8D" w14:textId="77777777" w:rsidR="00C051A8" w:rsidRPr="00C30BE8" w:rsidRDefault="00C051A8" w:rsidP="00E76D26">
      <w:pPr>
        <w:rPr>
          <w:lang w:val="en-GB"/>
        </w:rPr>
      </w:pPr>
    </w:p>
    <w:p w14:paraId="623AD38B" w14:textId="77777777" w:rsidR="00AF6A69" w:rsidRPr="00C30BE8" w:rsidRDefault="00AF6A69" w:rsidP="00E76D26">
      <w:pPr>
        <w:rPr>
          <w:lang w:val="en-GB"/>
        </w:rPr>
      </w:pPr>
    </w:p>
    <w:p w14:paraId="05D270EA" w14:textId="77777777" w:rsidR="00B32ECD" w:rsidRPr="00C30BE8" w:rsidRDefault="00B32ECD" w:rsidP="00E76D26">
      <w:pPr>
        <w:rPr>
          <w:lang w:val="en-GB"/>
        </w:rPr>
      </w:pPr>
    </w:p>
    <w:p w14:paraId="75426652" w14:textId="77777777" w:rsidR="00B32ECD" w:rsidRPr="00C30BE8" w:rsidRDefault="00B32ECD" w:rsidP="00E76D26">
      <w:pPr>
        <w:rPr>
          <w:lang w:val="en-GB"/>
        </w:rPr>
      </w:pPr>
    </w:p>
    <w:p w14:paraId="0F5C432A" w14:textId="77777777" w:rsidR="004976EE" w:rsidRPr="00C30BE8" w:rsidRDefault="004976EE" w:rsidP="00E76D26">
      <w:pPr>
        <w:rPr>
          <w:lang w:val="en-GB"/>
        </w:rPr>
      </w:pPr>
    </w:p>
    <w:p w14:paraId="618960F9" w14:textId="77777777" w:rsidR="004976EE" w:rsidRPr="00C30BE8" w:rsidRDefault="004976EE" w:rsidP="00E76D26">
      <w:pPr>
        <w:rPr>
          <w:lang w:val="en-GB"/>
        </w:rPr>
      </w:pPr>
    </w:p>
    <w:p w14:paraId="6E5A0B91" w14:textId="77777777" w:rsidR="00B32ECD" w:rsidRPr="00C30BE8" w:rsidRDefault="00B32ECD" w:rsidP="00E76D26">
      <w:pPr>
        <w:rPr>
          <w:lang w:val="en-GB"/>
        </w:rPr>
      </w:pPr>
    </w:p>
    <w:p w14:paraId="0F7AB516" w14:textId="77777777" w:rsidR="00083D0E" w:rsidRPr="00C30BE8" w:rsidRDefault="00083D0E" w:rsidP="0002119A">
      <w:pPr>
        <w:spacing w:line="240" w:lineRule="auto"/>
        <w:rPr>
          <w:b/>
          <w:spacing w:val="-2"/>
          <w:sz w:val="18"/>
          <w:shd w:val="clear" w:color="auto" w:fill="FFFFFF"/>
          <w:lang w:val="en-GB"/>
        </w:rPr>
      </w:pPr>
    </w:p>
    <w:p w14:paraId="7181C6C2" w14:textId="77777777" w:rsidR="00C3252D" w:rsidRPr="00C30BE8" w:rsidRDefault="00C3252D" w:rsidP="0002119A">
      <w:pPr>
        <w:spacing w:line="240" w:lineRule="auto"/>
        <w:rPr>
          <w:b/>
          <w:spacing w:val="-2"/>
          <w:sz w:val="18"/>
          <w:shd w:val="clear" w:color="auto" w:fill="FFFFFF"/>
          <w:lang w:val="en-GB"/>
        </w:rPr>
      </w:pPr>
    </w:p>
    <w:p w14:paraId="1AB30268" w14:textId="77777777" w:rsidR="00C3252D" w:rsidRPr="00C30BE8" w:rsidRDefault="00C3252D" w:rsidP="0002119A">
      <w:pPr>
        <w:spacing w:line="240" w:lineRule="auto"/>
        <w:rPr>
          <w:b/>
          <w:spacing w:val="-2"/>
          <w:sz w:val="18"/>
          <w:shd w:val="clear" w:color="auto" w:fill="FFFFFF"/>
          <w:lang w:val="en-GB"/>
        </w:rPr>
      </w:pPr>
    </w:p>
    <w:p w14:paraId="6070020E" w14:textId="77777777" w:rsidR="00C3252D" w:rsidRPr="00C30BE8" w:rsidRDefault="00C3252D" w:rsidP="0002119A">
      <w:pPr>
        <w:spacing w:line="240" w:lineRule="auto"/>
        <w:rPr>
          <w:b/>
          <w:spacing w:val="-2"/>
          <w:sz w:val="18"/>
          <w:shd w:val="clear" w:color="auto" w:fill="FFFFFF"/>
          <w:lang w:val="en-GB"/>
        </w:rPr>
      </w:pPr>
    </w:p>
    <w:p w14:paraId="440BCEB8" w14:textId="77777777" w:rsidR="00C3252D" w:rsidRPr="00C30BE8" w:rsidRDefault="00C3252D" w:rsidP="0002119A">
      <w:pPr>
        <w:spacing w:line="240" w:lineRule="auto"/>
        <w:rPr>
          <w:b/>
          <w:spacing w:val="-2"/>
          <w:sz w:val="18"/>
          <w:shd w:val="clear" w:color="auto" w:fill="FFFFFF"/>
          <w:lang w:val="en-GB"/>
        </w:rPr>
      </w:pPr>
    </w:p>
    <w:p w14:paraId="14063772" w14:textId="77777777" w:rsidR="00C3252D" w:rsidRPr="00C30BE8" w:rsidRDefault="00C3252D" w:rsidP="0002119A">
      <w:pPr>
        <w:spacing w:line="240" w:lineRule="auto"/>
        <w:rPr>
          <w:b/>
          <w:spacing w:val="-2"/>
          <w:sz w:val="18"/>
          <w:shd w:val="clear" w:color="auto" w:fill="FFFFFF"/>
          <w:lang w:val="en-GB"/>
        </w:rPr>
      </w:pPr>
    </w:p>
    <w:p w14:paraId="4D89D8A5" w14:textId="77777777" w:rsidR="00C3252D" w:rsidRPr="00C30BE8" w:rsidRDefault="00C3252D" w:rsidP="0002119A">
      <w:pPr>
        <w:spacing w:line="240" w:lineRule="auto"/>
        <w:rPr>
          <w:b/>
          <w:spacing w:val="-2"/>
          <w:sz w:val="18"/>
          <w:shd w:val="clear" w:color="auto" w:fill="FFFFFF"/>
          <w:lang w:val="en-GB"/>
        </w:rPr>
      </w:pPr>
    </w:p>
    <w:p w14:paraId="3C490FAD" w14:textId="77777777" w:rsidR="00C3252D" w:rsidRPr="00C30BE8" w:rsidRDefault="00C3252D" w:rsidP="0002119A">
      <w:pPr>
        <w:spacing w:line="240" w:lineRule="auto"/>
        <w:rPr>
          <w:b/>
          <w:spacing w:val="-2"/>
          <w:sz w:val="18"/>
          <w:shd w:val="clear" w:color="auto" w:fill="FFFFFF"/>
          <w:lang w:val="en-GB"/>
        </w:rPr>
      </w:pPr>
    </w:p>
    <w:p w14:paraId="59EB429A" w14:textId="77777777" w:rsidR="00411445" w:rsidRPr="00C30BE8" w:rsidRDefault="00411445" w:rsidP="0002119A">
      <w:pPr>
        <w:spacing w:line="240" w:lineRule="auto"/>
        <w:rPr>
          <w:b/>
          <w:spacing w:val="-2"/>
          <w:sz w:val="18"/>
          <w:shd w:val="clear" w:color="auto" w:fill="FFFFFF"/>
          <w:lang w:val="en-GB"/>
        </w:rPr>
      </w:pPr>
    </w:p>
    <w:p w14:paraId="3166F739" w14:textId="77777777" w:rsidR="00C3252D" w:rsidRPr="00C30BE8" w:rsidRDefault="00C3252D" w:rsidP="0002119A">
      <w:pPr>
        <w:spacing w:line="240" w:lineRule="auto"/>
        <w:rPr>
          <w:b/>
          <w:spacing w:val="-2"/>
          <w:sz w:val="18"/>
          <w:shd w:val="clear" w:color="auto" w:fill="FFFFFF"/>
          <w:lang w:val="en-GB"/>
        </w:rPr>
      </w:pPr>
    </w:p>
    <w:p w14:paraId="5627010D" w14:textId="77777777" w:rsidR="00083D0E" w:rsidRPr="00C30BE8" w:rsidRDefault="00083D0E" w:rsidP="00F802BE">
      <w:pPr>
        <w:rPr>
          <w:b/>
          <w:spacing w:val="-2"/>
          <w:sz w:val="18"/>
          <w:shd w:val="clear" w:color="auto" w:fill="FFFFFF"/>
          <w:lang w:val="en-GB"/>
        </w:rPr>
      </w:pPr>
    </w:p>
    <w:p w14:paraId="3160242B" w14:textId="4BFF8BA9" w:rsidR="00694AF0" w:rsidRPr="00C30BE8" w:rsidRDefault="00676181" w:rsidP="00E76D26">
      <w:pPr>
        <w:rPr>
          <w:lang w:val="en-GB"/>
        </w:rPr>
      </w:pPr>
      <w:r w:rsidRPr="00C30BE8">
        <w:rPr>
          <w:lang w:val="en-GB"/>
        </w:rPr>
        <w:t xml:space="preserve">The </w:t>
      </w:r>
      <w:r w:rsidR="005A4608">
        <w:rPr>
          <w:lang w:val="en-GB"/>
        </w:rPr>
        <w:t>news release</w:t>
      </w:r>
      <w:r w:rsidRPr="00C30BE8">
        <w:rPr>
          <w:lang w:val="en-GB"/>
        </w:rPr>
        <w:t xml:space="preserve"> was prepared on the basis of data from the Eurostat database (accessed on 11.02.2022</w:t>
      </w:r>
      <w:r w:rsidR="00EB108B" w:rsidRPr="00C30BE8">
        <w:rPr>
          <w:lang w:val="en-GB"/>
        </w:rPr>
        <w:t>).</w:t>
      </w:r>
    </w:p>
    <w:p w14:paraId="5058544C" w14:textId="1CCC8A3A" w:rsidR="00393BC6" w:rsidRPr="00095353" w:rsidRDefault="00095353" w:rsidP="00095353">
      <w:pPr>
        <w:rPr>
          <w:lang w:val="en-GB"/>
        </w:rPr>
        <w:sectPr w:rsidR="00393BC6" w:rsidRPr="0009535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AD7EB5">
        <w:rPr>
          <w:lang w:val="en-GB"/>
        </w:rPr>
        <w:t xml:space="preserve">When quoting Statistics Poland data, please provide information: “Source of data: Statistics Poland”, and when publishing calculations made on data published by Statistics Poland, please provide information: “Own study based on Statistics Poland data”.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C40A6" w:rsidRPr="00C30BE8" w14:paraId="6E7944BC" w14:textId="77777777" w:rsidTr="009D35A0">
        <w:trPr>
          <w:trHeight w:val="1626"/>
        </w:trPr>
        <w:tc>
          <w:tcPr>
            <w:tcW w:w="4926" w:type="dxa"/>
          </w:tcPr>
          <w:p w14:paraId="0C89E843" w14:textId="77777777" w:rsidR="00BC40A6" w:rsidRPr="00145E8D" w:rsidRDefault="00BC40A6" w:rsidP="00BC40A6">
            <w:pPr>
              <w:spacing w:before="0" w:after="0" w:line="276" w:lineRule="auto"/>
              <w:ind w:left="-108"/>
              <w:rPr>
                <w:rFonts w:cs="Arial"/>
                <w:color w:val="000000" w:themeColor="text1"/>
                <w:sz w:val="20"/>
                <w:lang w:val="en-GB"/>
              </w:rPr>
            </w:pPr>
            <w:r w:rsidRPr="00145E8D">
              <w:rPr>
                <w:rFonts w:cs="Arial"/>
                <w:color w:val="000000" w:themeColor="text1"/>
                <w:sz w:val="20"/>
                <w:lang w:val="en-GB"/>
              </w:rPr>
              <w:lastRenderedPageBreak/>
              <w:t>Prepared by:</w:t>
            </w:r>
          </w:p>
          <w:p w14:paraId="21A01D1F" w14:textId="77777777" w:rsidR="00BC40A6" w:rsidRPr="00145E8D" w:rsidRDefault="00252338" w:rsidP="00BC40A6">
            <w:pPr>
              <w:spacing w:before="0" w:line="288" w:lineRule="auto"/>
              <w:ind w:left="-108"/>
              <w:rPr>
                <w:rFonts w:cs="Arial"/>
                <w:b/>
                <w:color w:val="000000" w:themeColor="text1"/>
                <w:sz w:val="20"/>
                <w:lang w:val="en-GB"/>
              </w:rPr>
            </w:pPr>
            <w:hyperlink r:id="rId19" w:tgtFrame="_blank" w:history="1">
              <w:r w:rsidR="00BC40A6" w:rsidRPr="00145E8D">
                <w:rPr>
                  <w:b/>
                  <w:color w:val="000000" w:themeColor="text1"/>
                  <w:sz w:val="20"/>
                  <w:lang w:val="en-GB"/>
                </w:rPr>
                <w:t>Statistical Office in</w:t>
              </w:r>
            </w:hyperlink>
            <w:r w:rsidR="00BC40A6" w:rsidRPr="00145E8D">
              <w:rPr>
                <w:rFonts w:cs="Arial"/>
                <w:b/>
                <w:color w:val="000000" w:themeColor="text1"/>
                <w:sz w:val="20"/>
                <w:lang w:val="en-GB"/>
              </w:rPr>
              <w:t xml:space="preserve"> Rzeszów</w:t>
            </w:r>
          </w:p>
          <w:p w14:paraId="1689EC61" w14:textId="77777777" w:rsidR="00BC40A6" w:rsidRPr="00145E8D" w:rsidRDefault="00BC40A6" w:rsidP="00BC40A6">
            <w:pPr>
              <w:spacing w:before="0" w:after="0" w:line="276" w:lineRule="auto"/>
              <w:ind w:left="-108"/>
              <w:rPr>
                <w:rFonts w:cs="Arial"/>
                <w:b/>
                <w:color w:val="000000" w:themeColor="text1"/>
                <w:sz w:val="20"/>
                <w:lang w:val="en-GB"/>
              </w:rPr>
            </w:pPr>
            <w:r w:rsidRPr="00145E8D">
              <w:rPr>
                <w:rFonts w:cs="Arial"/>
                <w:b/>
                <w:color w:val="000000" w:themeColor="text1"/>
                <w:sz w:val="20"/>
                <w:lang w:val="en-GB"/>
              </w:rPr>
              <w:t>Director Marek Cierpiał-Wolan</w:t>
            </w:r>
          </w:p>
          <w:p w14:paraId="443E0EF8" w14:textId="77777777" w:rsidR="00BC40A6" w:rsidRPr="00145E8D" w:rsidRDefault="00BC40A6" w:rsidP="00BC40A6">
            <w:pPr>
              <w:pStyle w:val="Nagwek3"/>
              <w:spacing w:before="0" w:line="240" w:lineRule="auto"/>
              <w:ind w:left="-108"/>
              <w:outlineLvl w:val="2"/>
              <w:rPr>
                <w:rFonts w:ascii="Fira Sans" w:hAnsi="Fira Sans" w:cs="Arial"/>
                <w:color w:val="000000" w:themeColor="text1"/>
                <w:sz w:val="20"/>
                <w:lang w:val="en-GB"/>
              </w:rPr>
            </w:pPr>
            <w:r w:rsidRPr="00145E8D">
              <w:rPr>
                <w:rFonts w:ascii="Fira Sans" w:hAnsi="Fira Sans" w:cs="Arial"/>
                <w:color w:val="000000" w:themeColor="text1"/>
                <w:sz w:val="20"/>
                <w:lang w:val="en-GB"/>
              </w:rPr>
              <w:t xml:space="preserve">Office: tel. (+48 </w:t>
            </w:r>
            <w:r>
              <w:rPr>
                <w:rFonts w:ascii="Fira Sans" w:hAnsi="Fira Sans" w:cs="Arial"/>
                <w:color w:val="000000" w:themeColor="text1"/>
                <w:sz w:val="20"/>
                <w:lang w:val="en-GB"/>
              </w:rPr>
              <w:t>17</w:t>
            </w:r>
            <w:r w:rsidRPr="00145E8D">
              <w:rPr>
                <w:rFonts w:ascii="Fira Sans" w:hAnsi="Fira Sans" w:cs="Arial"/>
                <w:color w:val="000000" w:themeColor="text1"/>
                <w:sz w:val="20"/>
                <w:lang w:val="en-GB"/>
              </w:rPr>
              <w:t xml:space="preserve">) </w:t>
            </w:r>
            <w:r>
              <w:rPr>
                <w:rFonts w:ascii="Fira Sans" w:hAnsi="Fira Sans" w:cs="Arial"/>
                <w:color w:val="000000" w:themeColor="text1"/>
                <w:sz w:val="20"/>
                <w:lang w:val="en-GB"/>
              </w:rPr>
              <w:t>853 52 10</w:t>
            </w:r>
          </w:p>
          <w:p w14:paraId="25055E0F" w14:textId="1FFB737B" w:rsidR="00BC40A6" w:rsidRPr="00A3440D" w:rsidRDefault="00BC40A6" w:rsidP="00BC40A6">
            <w:pPr>
              <w:pStyle w:val="Nagwek3"/>
              <w:spacing w:before="0" w:after="120" w:line="240" w:lineRule="auto"/>
              <w:outlineLvl w:val="2"/>
              <w:rPr>
                <w:rFonts w:ascii="Fira Sans" w:hAnsi="Fira Sans" w:cs="Arial"/>
                <w:color w:val="000000" w:themeColor="text1"/>
                <w:sz w:val="20"/>
              </w:rPr>
            </w:pPr>
          </w:p>
        </w:tc>
        <w:tc>
          <w:tcPr>
            <w:tcW w:w="4927" w:type="dxa"/>
          </w:tcPr>
          <w:p w14:paraId="1BD10FBF" w14:textId="3588C805" w:rsidR="00BC40A6" w:rsidRPr="00145E8D" w:rsidRDefault="00BC40A6" w:rsidP="00BC40A6">
            <w:pPr>
              <w:spacing w:before="0" w:after="0" w:line="276" w:lineRule="auto"/>
              <w:rPr>
                <w:rFonts w:cs="Arial"/>
                <w:b/>
                <w:color w:val="000000" w:themeColor="text1"/>
                <w:sz w:val="20"/>
                <w:lang w:val="en-GB"/>
              </w:rPr>
            </w:pPr>
            <w:r w:rsidRPr="00145E8D">
              <w:rPr>
                <w:rFonts w:cs="Arial"/>
                <w:color w:val="000000" w:themeColor="text1"/>
                <w:sz w:val="20"/>
                <w:lang w:val="en-GB"/>
              </w:rPr>
              <w:t>Issued by:</w:t>
            </w:r>
            <w:r w:rsidRPr="00145E8D">
              <w:rPr>
                <w:rFonts w:cs="Arial"/>
                <w:color w:val="000000" w:themeColor="text1"/>
                <w:sz w:val="20"/>
                <w:lang w:val="en-GB"/>
              </w:rPr>
              <w:br/>
            </w:r>
            <w:r w:rsidRPr="00145E8D">
              <w:rPr>
                <w:rFonts w:cs="Arial"/>
                <w:b/>
                <w:color w:val="000000" w:themeColor="text1"/>
                <w:sz w:val="20"/>
                <w:lang w:val="en-GB"/>
              </w:rPr>
              <w:t>The Spoke</w:t>
            </w:r>
            <w:r w:rsidR="003F1734">
              <w:rPr>
                <w:rFonts w:cs="Arial"/>
                <w:b/>
                <w:color w:val="000000" w:themeColor="text1"/>
                <w:sz w:val="20"/>
                <w:lang w:val="en-GB"/>
              </w:rPr>
              <w:t>s</w:t>
            </w:r>
            <w:r w:rsidRPr="00145E8D">
              <w:rPr>
                <w:rFonts w:cs="Arial"/>
                <w:b/>
                <w:color w:val="000000" w:themeColor="text1"/>
                <w:sz w:val="20"/>
                <w:lang w:val="en-GB"/>
              </w:rPr>
              <w:t xml:space="preserve">person for the President </w:t>
            </w:r>
          </w:p>
          <w:p w14:paraId="3E55C916" w14:textId="77777777" w:rsidR="00BC40A6" w:rsidRPr="00145E8D" w:rsidRDefault="00BC40A6" w:rsidP="00BC40A6">
            <w:pPr>
              <w:spacing w:before="0" w:line="288" w:lineRule="auto"/>
              <w:rPr>
                <w:rFonts w:cs="Arial"/>
                <w:b/>
                <w:color w:val="000000" w:themeColor="text1"/>
                <w:sz w:val="20"/>
                <w:lang w:val="en-GB"/>
              </w:rPr>
            </w:pPr>
            <w:r w:rsidRPr="00145E8D">
              <w:rPr>
                <w:rFonts w:cs="Arial"/>
                <w:b/>
                <w:color w:val="000000" w:themeColor="text1"/>
                <w:sz w:val="20"/>
                <w:lang w:val="en-GB"/>
              </w:rPr>
              <w:t>of  Statistics Poland</w:t>
            </w:r>
          </w:p>
          <w:p w14:paraId="7C101B65" w14:textId="77777777" w:rsidR="00BC40A6" w:rsidRPr="00145E8D" w:rsidRDefault="00BC40A6" w:rsidP="00BC40A6">
            <w:pPr>
              <w:pStyle w:val="Nagwek3"/>
              <w:spacing w:before="0" w:line="240" w:lineRule="auto"/>
              <w:outlineLvl w:val="2"/>
              <w:rPr>
                <w:rFonts w:ascii="Fira Sans" w:hAnsi="Fira Sans" w:cs="Arial"/>
                <w:b/>
                <w:color w:val="000000" w:themeColor="text1"/>
                <w:sz w:val="20"/>
                <w:szCs w:val="28"/>
                <w:lang w:val="en-GB"/>
              </w:rPr>
            </w:pPr>
            <w:r w:rsidRPr="00145E8D">
              <w:rPr>
                <w:rFonts w:ascii="Fira Sans" w:hAnsi="Fira Sans" w:cs="Arial"/>
                <w:b/>
                <w:color w:val="000000" w:themeColor="text1"/>
                <w:sz w:val="20"/>
                <w:szCs w:val="28"/>
                <w:lang w:val="en-GB"/>
              </w:rPr>
              <w:t>Karolina</w:t>
            </w:r>
            <w:r w:rsidRPr="00145E8D">
              <w:rPr>
                <w:rFonts w:ascii="Fira Sans" w:hAnsi="Fira Sans" w:cs="Arial"/>
                <w:b/>
                <w:color w:val="auto"/>
                <w:sz w:val="20"/>
                <w:szCs w:val="28"/>
                <w:lang w:val="en-GB"/>
              </w:rPr>
              <w:t xml:space="preserve"> Banaszek</w:t>
            </w:r>
          </w:p>
          <w:p w14:paraId="10F7D9B2" w14:textId="77777777" w:rsidR="00BC40A6" w:rsidRPr="00145E8D" w:rsidRDefault="00BC40A6" w:rsidP="00BC40A6">
            <w:pPr>
              <w:pStyle w:val="Nagwek3"/>
              <w:spacing w:before="0" w:line="240" w:lineRule="auto"/>
              <w:outlineLvl w:val="2"/>
              <w:rPr>
                <w:rFonts w:ascii="Fira Sans" w:hAnsi="Fira Sans" w:cs="Arial"/>
                <w:color w:val="000000" w:themeColor="text1"/>
                <w:sz w:val="20"/>
                <w:lang w:val="en-GB"/>
              </w:rPr>
            </w:pPr>
            <w:r w:rsidRPr="00145E8D">
              <w:rPr>
                <w:rFonts w:ascii="Fira Sans" w:hAnsi="Fira Sans" w:cs="Arial"/>
                <w:color w:val="000000" w:themeColor="text1"/>
                <w:sz w:val="20"/>
                <w:lang w:val="en-GB"/>
              </w:rPr>
              <w:t>Mobile: (+48) 695 255</w:t>
            </w:r>
            <w:r>
              <w:rPr>
                <w:rFonts w:ascii="Fira Sans" w:hAnsi="Fira Sans" w:cs="Arial"/>
                <w:color w:val="000000" w:themeColor="text1"/>
                <w:sz w:val="20"/>
                <w:lang w:val="en-GB"/>
              </w:rPr>
              <w:t> </w:t>
            </w:r>
            <w:r w:rsidRPr="00145E8D">
              <w:rPr>
                <w:rFonts w:ascii="Fira Sans" w:hAnsi="Fira Sans" w:cs="Arial"/>
                <w:color w:val="000000" w:themeColor="text1"/>
                <w:sz w:val="20"/>
                <w:lang w:val="en-GB"/>
              </w:rPr>
              <w:t>011</w:t>
            </w:r>
          </w:p>
          <w:p w14:paraId="46A2CC02" w14:textId="77777777" w:rsidR="00BC40A6" w:rsidRPr="00C30BE8" w:rsidRDefault="00BC40A6" w:rsidP="00BC40A6">
            <w:pPr>
              <w:rPr>
                <w:sz w:val="18"/>
                <w:lang w:val="en-GB"/>
              </w:rPr>
            </w:pPr>
          </w:p>
        </w:tc>
      </w:tr>
      <w:tr w:rsidR="00776670" w:rsidRPr="00C30BE8" w14:paraId="76F0F5BB" w14:textId="77777777" w:rsidTr="009D35A0">
        <w:trPr>
          <w:trHeight w:val="418"/>
        </w:trPr>
        <w:tc>
          <w:tcPr>
            <w:tcW w:w="4926" w:type="dxa"/>
            <w:vMerge w:val="restart"/>
          </w:tcPr>
          <w:p w14:paraId="5E2AA73A" w14:textId="77777777" w:rsidR="00BC40A6" w:rsidRPr="00145E8D" w:rsidRDefault="00BC40A6" w:rsidP="00BC40A6">
            <w:pPr>
              <w:rPr>
                <w:b/>
                <w:sz w:val="20"/>
                <w:lang w:val="en-GB"/>
              </w:rPr>
            </w:pPr>
            <w:r w:rsidRPr="00145E8D">
              <w:rPr>
                <w:b/>
                <w:sz w:val="20"/>
                <w:lang w:val="en-GB"/>
              </w:rPr>
              <w:t>Press Office</w:t>
            </w:r>
          </w:p>
          <w:p w14:paraId="255E45B9" w14:textId="5B6E3B83" w:rsidR="00BC40A6" w:rsidRPr="00145E8D" w:rsidRDefault="00BC40A6" w:rsidP="00BC40A6">
            <w:pPr>
              <w:rPr>
                <w:sz w:val="20"/>
                <w:lang w:val="en-GB"/>
              </w:rPr>
            </w:pPr>
            <w:r w:rsidRPr="00145E8D">
              <w:rPr>
                <w:rFonts w:cs="Arial"/>
                <w:color w:val="000000" w:themeColor="text1"/>
                <w:sz w:val="20"/>
                <w:szCs w:val="24"/>
                <w:lang w:val="en-GB"/>
              </w:rPr>
              <w:t xml:space="preserve">Office: tel. (+48 22) </w:t>
            </w:r>
            <w:bookmarkStart w:id="0" w:name="_GoBack"/>
            <w:bookmarkEnd w:id="0"/>
            <w:r w:rsidRPr="00145E8D">
              <w:rPr>
                <w:sz w:val="20"/>
                <w:lang w:val="en-GB"/>
              </w:rPr>
              <w:t xml:space="preserve">608 38 04 </w:t>
            </w:r>
          </w:p>
          <w:p w14:paraId="43B7C62F" w14:textId="2CA58208" w:rsidR="00776670" w:rsidRPr="00C30BE8" w:rsidRDefault="00BC40A6" w:rsidP="00BC40A6">
            <w:pPr>
              <w:rPr>
                <w:sz w:val="18"/>
                <w:lang w:val="en-GB"/>
              </w:rPr>
            </w:pPr>
            <w:r w:rsidRPr="00145E8D">
              <w:rPr>
                <w:b/>
                <w:sz w:val="20"/>
                <w:lang w:val="en-GB"/>
              </w:rPr>
              <w:t>e-mail:</w:t>
            </w:r>
            <w:r w:rsidRPr="00145E8D">
              <w:rPr>
                <w:sz w:val="20"/>
                <w:lang w:val="en-GB"/>
              </w:rPr>
              <w:t xml:space="preserve"> </w:t>
            </w:r>
            <w:hyperlink r:id="rId20" w:history="1">
              <w:r w:rsidRPr="00145E8D">
                <w:rPr>
                  <w:rStyle w:val="Hipercze"/>
                  <w:rFonts w:cstheme="minorBidi"/>
                  <w:b/>
                  <w:color w:val="auto"/>
                  <w:sz w:val="20"/>
                  <w:lang w:val="en-GB"/>
                </w:rPr>
                <w:t>obslugaprasowa@stat.gov.pl</w:t>
              </w:r>
            </w:hyperlink>
          </w:p>
        </w:tc>
        <w:tc>
          <w:tcPr>
            <w:tcW w:w="4927" w:type="dxa"/>
            <w:vAlign w:val="center"/>
          </w:tcPr>
          <w:p w14:paraId="7C3ACDAA" w14:textId="77777777" w:rsidR="00776670" w:rsidRPr="00C30BE8" w:rsidRDefault="00776670" w:rsidP="009D35A0">
            <w:pPr>
              <w:ind w:firstLine="680"/>
              <w:rPr>
                <w:sz w:val="18"/>
                <w:lang w:val="en-GB"/>
              </w:rPr>
            </w:pPr>
            <w:r w:rsidRPr="00C30BE8">
              <w:rPr>
                <w:noProof/>
                <w:sz w:val="20"/>
                <w:lang w:eastAsia="pl-PL"/>
              </w:rPr>
              <w:drawing>
                <wp:anchor distT="0" distB="0" distL="114300" distR="114300" simplePos="0" relativeHeight="251781120" behindDoc="0" locked="0" layoutInCell="1" allowOverlap="1" wp14:anchorId="0FB2929A" wp14:editId="040A7295">
                  <wp:simplePos x="0" y="0"/>
                  <wp:positionH relativeFrom="column">
                    <wp:posOffset>78740</wp:posOffset>
                  </wp:positionH>
                  <wp:positionV relativeFrom="paragraph">
                    <wp:posOffset>21590</wp:posOffset>
                  </wp:positionV>
                  <wp:extent cx="251460" cy="251460"/>
                  <wp:effectExtent l="0" t="0" r="0" b="0"/>
                  <wp:wrapNone/>
                  <wp:docPr id="7" name="Obraz 7"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C30BE8">
              <w:rPr>
                <w:sz w:val="20"/>
                <w:lang w:val="en-GB"/>
              </w:rPr>
              <w:t>www.stat.gov.pl</w:t>
            </w:r>
            <w:r w:rsidRPr="00C30BE8">
              <w:rPr>
                <w:sz w:val="18"/>
                <w:lang w:val="en-GB"/>
              </w:rPr>
              <w:t xml:space="preserve">      </w:t>
            </w:r>
          </w:p>
        </w:tc>
      </w:tr>
      <w:tr w:rsidR="00776670" w:rsidRPr="00C30BE8" w14:paraId="297EA1C8" w14:textId="77777777" w:rsidTr="009D35A0">
        <w:trPr>
          <w:trHeight w:val="418"/>
        </w:trPr>
        <w:tc>
          <w:tcPr>
            <w:tcW w:w="4926" w:type="dxa"/>
            <w:vMerge/>
          </w:tcPr>
          <w:p w14:paraId="150FF442" w14:textId="77777777" w:rsidR="00776670" w:rsidRPr="00C30BE8" w:rsidRDefault="00776670" w:rsidP="009D35A0">
            <w:pPr>
              <w:rPr>
                <w:b/>
                <w:sz w:val="20"/>
                <w:lang w:val="en-GB"/>
              </w:rPr>
            </w:pPr>
          </w:p>
        </w:tc>
        <w:tc>
          <w:tcPr>
            <w:tcW w:w="4927" w:type="dxa"/>
            <w:vAlign w:val="center"/>
          </w:tcPr>
          <w:p w14:paraId="201A3C0E" w14:textId="77777777" w:rsidR="00776670" w:rsidRPr="00C30BE8" w:rsidRDefault="00776670" w:rsidP="009D35A0">
            <w:pPr>
              <w:ind w:firstLine="680"/>
              <w:rPr>
                <w:sz w:val="18"/>
                <w:lang w:val="en-GB"/>
              </w:rPr>
            </w:pPr>
            <w:r w:rsidRPr="00C30BE8">
              <w:rPr>
                <w:noProof/>
                <w:sz w:val="20"/>
                <w:lang w:eastAsia="pl-PL"/>
              </w:rPr>
              <w:drawing>
                <wp:anchor distT="0" distB="0" distL="114300" distR="114300" simplePos="0" relativeHeight="251782144" behindDoc="0" locked="0" layoutInCell="1" allowOverlap="1" wp14:anchorId="60D5492D" wp14:editId="1FDA71FB">
                  <wp:simplePos x="0" y="0"/>
                  <wp:positionH relativeFrom="column">
                    <wp:posOffset>78740</wp:posOffset>
                  </wp:positionH>
                  <wp:positionV relativeFrom="paragraph">
                    <wp:posOffset>21590</wp:posOffset>
                  </wp:positionV>
                  <wp:extent cx="251460" cy="251460"/>
                  <wp:effectExtent l="0" t="0" r="0" b="0"/>
                  <wp:wrapNone/>
                  <wp:docPr id="15" name="Obraz 15"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C30BE8">
              <w:rPr>
                <w:sz w:val="20"/>
                <w:lang w:val="en-GB"/>
              </w:rPr>
              <w:t>@GUS_STAT</w:t>
            </w:r>
            <w:r w:rsidRPr="00C30BE8">
              <w:rPr>
                <w:sz w:val="20"/>
                <w:lang w:val="en-GB" w:eastAsia="pl-PL"/>
              </w:rPr>
              <w:t xml:space="preserve"> </w:t>
            </w:r>
          </w:p>
        </w:tc>
      </w:tr>
      <w:tr w:rsidR="00776670" w:rsidRPr="00C30BE8" w14:paraId="21313F5B" w14:textId="77777777" w:rsidTr="009D35A0">
        <w:trPr>
          <w:trHeight w:val="476"/>
        </w:trPr>
        <w:tc>
          <w:tcPr>
            <w:tcW w:w="4926" w:type="dxa"/>
            <w:vMerge/>
          </w:tcPr>
          <w:p w14:paraId="7A112E13" w14:textId="77777777" w:rsidR="00776670" w:rsidRPr="00C30BE8" w:rsidRDefault="00776670" w:rsidP="009D35A0">
            <w:pPr>
              <w:rPr>
                <w:b/>
                <w:sz w:val="20"/>
                <w:lang w:val="en-GB"/>
              </w:rPr>
            </w:pPr>
          </w:p>
        </w:tc>
        <w:tc>
          <w:tcPr>
            <w:tcW w:w="4927" w:type="dxa"/>
          </w:tcPr>
          <w:p w14:paraId="0021867E" w14:textId="77777777" w:rsidR="00776670" w:rsidRPr="00C30BE8" w:rsidRDefault="00776670" w:rsidP="009D35A0">
            <w:pPr>
              <w:ind w:firstLine="680"/>
              <w:rPr>
                <w:sz w:val="18"/>
                <w:lang w:val="en-GB"/>
              </w:rPr>
            </w:pPr>
            <w:r w:rsidRPr="00C30BE8">
              <w:rPr>
                <w:noProof/>
                <w:sz w:val="20"/>
                <w:lang w:eastAsia="pl-PL"/>
              </w:rPr>
              <w:drawing>
                <wp:anchor distT="0" distB="0" distL="114300" distR="114300" simplePos="0" relativeHeight="251783168" behindDoc="0" locked="0" layoutInCell="1" allowOverlap="1" wp14:anchorId="51E0AC4B" wp14:editId="1A537856">
                  <wp:simplePos x="0" y="0"/>
                  <wp:positionH relativeFrom="column">
                    <wp:posOffset>80645</wp:posOffset>
                  </wp:positionH>
                  <wp:positionV relativeFrom="paragraph">
                    <wp:posOffset>13970</wp:posOffset>
                  </wp:positionV>
                  <wp:extent cx="251460" cy="251460"/>
                  <wp:effectExtent l="0" t="0" r="0" b="0"/>
                  <wp:wrapNone/>
                  <wp:docPr id="18" name="Obraz 1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C30BE8">
              <w:rPr>
                <w:sz w:val="20"/>
                <w:lang w:val="en-GB"/>
              </w:rPr>
              <w:t>@</w:t>
            </w:r>
            <w:proofErr w:type="spellStart"/>
            <w:r w:rsidRPr="00C30BE8">
              <w:rPr>
                <w:sz w:val="20"/>
                <w:lang w:val="en-GB"/>
              </w:rPr>
              <w:t>GlownyUrzadStatystyczny</w:t>
            </w:r>
            <w:proofErr w:type="spellEnd"/>
            <w:r w:rsidRPr="00C30BE8">
              <w:rPr>
                <w:sz w:val="20"/>
                <w:lang w:val="en-GB" w:eastAsia="pl-PL"/>
              </w:rPr>
              <w:t xml:space="preserve"> </w:t>
            </w:r>
          </w:p>
        </w:tc>
      </w:tr>
      <w:tr w:rsidR="00776670" w:rsidRPr="00C30BE8" w14:paraId="3D15288D" w14:textId="77777777" w:rsidTr="009D35A0">
        <w:trPr>
          <w:trHeight w:val="426"/>
        </w:trPr>
        <w:tc>
          <w:tcPr>
            <w:tcW w:w="4926" w:type="dxa"/>
          </w:tcPr>
          <w:p w14:paraId="795846A5" w14:textId="77777777" w:rsidR="00776670" w:rsidRPr="00C30BE8" w:rsidRDefault="00776670" w:rsidP="009D35A0">
            <w:pPr>
              <w:rPr>
                <w:b/>
                <w:sz w:val="20"/>
                <w:lang w:val="en-GB"/>
              </w:rPr>
            </w:pPr>
          </w:p>
        </w:tc>
        <w:tc>
          <w:tcPr>
            <w:tcW w:w="4927" w:type="dxa"/>
          </w:tcPr>
          <w:p w14:paraId="4A9B2632" w14:textId="77777777" w:rsidR="00776670" w:rsidRPr="00C30BE8" w:rsidRDefault="00776670" w:rsidP="009D35A0">
            <w:pPr>
              <w:ind w:firstLine="680"/>
              <w:rPr>
                <w:sz w:val="20"/>
                <w:lang w:val="en-GB" w:eastAsia="pl-PL"/>
              </w:rPr>
            </w:pPr>
            <w:r w:rsidRPr="00C30BE8">
              <w:rPr>
                <w:noProof/>
                <w:sz w:val="20"/>
                <w:lang w:eastAsia="pl-PL"/>
              </w:rPr>
              <w:drawing>
                <wp:anchor distT="0" distB="0" distL="114300" distR="114300" simplePos="0" relativeHeight="251784192" behindDoc="0" locked="0" layoutInCell="1" allowOverlap="1" wp14:anchorId="05D95F6C" wp14:editId="0F3C4008">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30BE8">
              <w:rPr>
                <w:sz w:val="20"/>
                <w:lang w:val="en-GB"/>
              </w:rPr>
              <w:t>gus_stat</w:t>
            </w:r>
            <w:proofErr w:type="spellEnd"/>
          </w:p>
        </w:tc>
      </w:tr>
      <w:tr w:rsidR="00776670" w:rsidRPr="00C30BE8" w14:paraId="5C3D6896" w14:textId="77777777" w:rsidTr="009D35A0">
        <w:trPr>
          <w:trHeight w:val="504"/>
        </w:trPr>
        <w:tc>
          <w:tcPr>
            <w:tcW w:w="4926" w:type="dxa"/>
          </w:tcPr>
          <w:p w14:paraId="6FC181A3" w14:textId="77777777" w:rsidR="00776670" w:rsidRPr="00C30BE8" w:rsidRDefault="00776670" w:rsidP="009D35A0">
            <w:pPr>
              <w:rPr>
                <w:b/>
                <w:sz w:val="20"/>
                <w:lang w:val="en-GB"/>
              </w:rPr>
            </w:pPr>
          </w:p>
        </w:tc>
        <w:tc>
          <w:tcPr>
            <w:tcW w:w="4927" w:type="dxa"/>
          </w:tcPr>
          <w:p w14:paraId="6D9730F0" w14:textId="77777777" w:rsidR="00776670" w:rsidRPr="00C30BE8" w:rsidRDefault="00776670" w:rsidP="009D35A0">
            <w:pPr>
              <w:ind w:firstLine="680"/>
              <w:rPr>
                <w:sz w:val="20"/>
                <w:lang w:val="en-GB" w:eastAsia="pl-PL"/>
              </w:rPr>
            </w:pPr>
            <w:r w:rsidRPr="00C30BE8">
              <w:rPr>
                <w:noProof/>
                <w:sz w:val="20"/>
                <w:lang w:eastAsia="pl-PL"/>
              </w:rPr>
              <w:drawing>
                <wp:anchor distT="0" distB="0" distL="114300" distR="114300" simplePos="0" relativeHeight="251785216" behindDoc="0" locked="0" layoutInCell="1" allowOverlap="1" wp14:anchorId="324B856D" wp14:editId="15711CA5">
                  <wp:simplePos x="0" y="0"/>
                  <wp:positionH relativeFrom="column">
                    <wp:posOffset>82550</wp:posOffset>
                  </wp:positionH>
                  <wp:positionV relativeFrom="paragraph">
                    <wp:posOffset>13970</wp:posOffset>
                  </wp:positionV>
                  <wp:extent cx="251460" cy="251460"/>
                  <wp:effectExtent l="0" t="0" r="0" b="0"/>
                  <wp:wrapNone/>
                  <wp:docPr id="19" name="Obraz 19"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30BE8">
              <w:rPr>
                <w:sz w:val="20"/>
                <w:lang w:val="en-GB"/>
              </w:rPr>
              <w:t>glownyurzadstatystycznygus</w:t>
            </w:r>
            <w:proofErr w:type="spellEnd"/>
          </w:p>
        </w:tc>
      </w:tr>
      <w:tr w:rsidR="00776670" w:rsidRPr="00C30BE8" w14:paraId="269DCDB1" w14:textId="77777777" w:rsidTr="009D35A0">
        <w:trPr>
          <w:trHeight w:val="1546"/>
        </w:trPr>
        <w:tc>
          <w:tcPr>
            <w:tcW w:w="4926" w:type="dxa"/>
          </w:tcPr>
          <w:p w14:paraId="3AE23702" w14:textId="77777777" w:rsidR="00776670" w:rsidRPr="00C30BE8" w:rsidRDefault="00776670" w:rsidP="009D35A0">
            <w:pPr>
              <w:rPr>
                <w:b/>
                <w:sz w:val="20"/>
                <w:lang w:val="en-GB"/>
              </w:rPr>
            </w:pPr>
          </w:p>
        </w:tc>
        <w:tc>
          <w:tcPr>
            <w:tcW w:w="4927" w:type="dxa"/>
          </w:tcPr>
          <w:p w14:paraId="13650C84" w14:textId="77777777" w:rsidR="00776670" w:rsidRPr="00C30BE8" w:rsidRDefault="00776670" w:rsidP="009D35A0">
            <w:pPr>
              <w:ind w:firstLine="680"/>
              <w:rPr>
                <w:sz w:val="20"/>
                <w:lang w:val="en-GB" w:eastAsia="pl-PL"/>
              </w:rPr>
            </w:pPr>
            <w:proofErr w:type="spellStart"/>
            <w:r w:rsidRPr="00C30BE8">
              <w:rPr>
                <w:sz w:val="20"/>
                <w:lang w:val="en-GB" w:eastAsia="pl-PL"/>
              </w:rPr>
              <w:t>glownyurzadstatystyczny</w:t>
            </w:r>
            <w:proofErr w:type="spellEnd"/>
            <w:r w:rsidRPr="00C30BE8">
              <w:rPr>
                <w:noProof/>
                <w:sz w:val="20"/>
                <w:lang w:eastAsia="pl-PL"/>
              </w:rPr>
              <w:drawing>
                <wp:anchor distT="0" distB="0" distL="114300" distR="114300" simplePos="0" relativeHeight="251786240" behindDoc="0" locked="0" layoutInCell="1" allowOverlap="1" wp14:anchorId="444D8D6D" wp14:editId="2F64A016">
                  <wp:simplePos x="0" y="0"/>
                  <wp:positionH relativeFrom="column">
                    <wp:posOffset>82550</wp:posOffset>
                  </wp:positionH>
                  <wp:positionV relativeFrom="paragraph">
                    <wp:posOffset>15240</wp:posOffset>
                  </wp:positionV>
                  <wp:extent cx="251460" cy="251460"/>
                  <wp:effectExtent l="0" t="0" r="0" b="0"/>
                  <wp:wrapNone/>
                  <wp:docPr id="20" name="Obraz 20"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776670" w:rsidRPr="00C30BE8" w14:paraId="725AC3D1" w14:textId="77777777" w:rsidTr="009D35A0">
        <w:trPr>
          <w:trHeight w:val="4114"/>
        </w:trPr>
        <w:tc>
          <w:tcPr>
            <w:tcW w:w="9853" w:type="dxa"/>
            <w:gridSpan w:val="2"/>
            <w:shd w:val="clear" w:color="auto" w:fill="D9D9D9" w:themeFill="background1" w:themeFillShade="D9"/>
          </w:tcPr>
          <w:p w14:paraId="54C853AC" w14:textId="77777777" w:rsidR="00BC40A6" w:rsidRPr="00976BED" w:rsidRDefault="00BC40A6" w:rsidP="00BC40A6">
            <w:pPr>
              <w:rPr>
                <w:b/>
                <w:lang w:val="en-GB"/>
              </w:rPr>
            </w:pPr>
            <w:r w:rsidRPr="00976BED">
              <w:rPr>
                <w:b/>
                <w:lang w:val="en-GB"/>
              </w:rPr>
              <w:t>Related information</w:t>
            </w:r>
          </w:p>
          <w:p w14:paraId="5C52290C" w14:textId="23E0B116" w:rsidR="00BC40A6" w:rsidRPr="00A3440D" w:rsidRDefault="00BC40A6" w:rsidP="00BC40A6">
            <w:pPr>
              <w:shd w:val="clear" w:color="auto" w:fill="D9D9D9"/>
              <w:rPr>
                <w:rStyle w:val="Hipercze"/>
              </w:rPr>
            </w:pPr>
            <w:r w:rsidRPr="00C30BE8">
              <w:rPr>
                <w:rStyle w:val="Hipercze"/>
                <w:shd w:val="clear" w:color="auto" w:fill="D9D9D9"/>
                <w:lang w:val="en-GB"/>
              </w:rPr>
              <w:fldChar w:fldCharType="begin"/>
            </w:r>
            <w:r w:rsidR="004A1B58">
              <w:rPr>
                <w:rStyle w:val="Hipercze"/>
                <w:shd w:val="clear" w:color="auto" w:fill="D9D9D9"/>
                <w:lang w:val="en-GB"/>
              </w:rPr>
              <w:instrText>HYPERLINK "https://stat.gov.pl/en/topics/culture-tourism-sport/tourism/tourism-in-2020,1,18.html" \o "Linko do opracowania pt...."</w:instrText>
            </w:r>
            <w:r w:rsidRPr="00C30BE8">
              <w:rPr>
                <w:rStyle w:val="Hipercze"/>
                <w:shd w:val="clear" w:color="auto" w:fill="D9D9D9"/>
                <w:lang w:val="en-GB"/>
              </w:rPr>
              <w:fldChar w:fldCharType="separate"/>
            </w:r>
            <w:proofErr w:type="spellStart"/>
            <w:r w:rsidRPr="00A3440D">
              <w:rPr>
                <w:rStyle w:val="Hipercze"/>
                <w:shd w:val="clear" w:color="auto" w:fill="D9D9D9"/>
              </w:rPr>
              <w:t>T</w:t>
            </w:r>
            <w:r w:rsidR="004A1B58">
              <w:rPr>
                <w:rStyle w:val="Hipercze"/>
                <w:shd w:val="clear" w:color="auto" w:fill="D9D9D9"/>
              </w:rPr>
              <w:t>ourism</w:t>
            </w:r>
            <w:proofErr w:type="spellEnd"/>
            <w:r w:rsidR="004A1B58">
              <w:rPr>
                <w:rStyle w:val="Hipercze"/>
                <w:shd w:val="clear" w:color="auto" w:fill="D9D9D9"/>
              </w:rPr>
              <w:t xml:space="preserve"> in </w:t>
            </w:r>
            <w:r w:rsidRPr="00A3440D">
              <w:rPr>
                <w:rStyle w:val="Hipercze"/>
              </w:rPr>
              <w:t>2020</w:t>
            </w:r>
          </w:p>
          <w:p w14:paraId="1B5CBFB1" w14:textId="56FD9756" w:rsidR="00BC40A6" w:rsidRPr="00976BED" w:rsidRDefault="00BC40A6" w:rsidP="00BC40A6">
            <w:pPr>
              <w:spacing w:before="360"/>
              <w:rPr>
                <w:b/>
                <w:color w:val="000000" w:themeColor="text1"/>
                <w:szCs w:val="24"/>
                <w:lang w:val="en-GB"/>
              </w:rPr>
            </w:pPr>
            <w:r w:rsidRPr="00C30BE8">
              <w:rPr>
                <w:rStyle w:val="Hipercze"/>
                <w:shd w:val="clear" w:color="auto" w:fill="D9D9D9"/>
                <w:lang w:val="en-GB"/>
              </w:rPr>
              <w:fldChar w:fldCharType="end"/>
            </w:r>
            <w:r w:rsidRPr="00976BED">
              <w:rPr>
                <w:b/>
                <w:color w:val="000000" w:themeColor="text1"/>
                <w:szCs w:val="24"/>
                <w:lang w:val="en-GB"/>
              </w:rPr>
              <w:t>Data available in databases</w:t>
            </w:r>
          </w:p>
          <w:p w14:paraId="5032AFE2" w14:textId="77777777" w:rsidR="00BC40A6" w:rsidRPr="00BC40A6" w:rsidRDefault="00252338" w:rsidP="00BC40A6">
            <w:pPr>
              <w:rPr>
                <w:rStyle w:val="Hipercze"/>
              </w:rPr>
            </w:pPr>
            <w:hyperlink r:id="rId27" w:history="1">
              <w:r w:rsidR="00BC40A6" w:rsidRPr="00BC40A6">
                <w:rPr>
                  <w:rStyle w:val="Hipercze"/>
                </w:rPr>
                <w:t>Eurostat database</w:t>
              </w:r>
            </w:hyperlink>
          </w:p>
          <w:p w14:paraId="43924EFD" w14:textId="77777777" w:rsidR="00BC40A6" w:rsidRPr="00BC40A6" w:rsidRDefault="00252338" w:rsidP="00BC40A6">
            <w:pPr>
              <w:rPr>
                <w:rStyle w:val="Hipercze"/>
              </w:rPr>
            </w:pPr>
            <w:hyperlink r:id="rId28" w:history="1">
              <w:proofErr w:type="spellStart"/>
              <w:r w:rsidR="00BC40A6" w:rsidRPr="00BC40A6">
                <w:rPr>
                  <w:rStyle w:val="Hipercze"/>
                </w:rPr>
                <w:t>Local</w:t>
              </w:r>
              <w:proofErr w:type="spellEnd"/>
              <w:r w:rsidR="00BC40A6" w:rsidRPr="00BC40A6">
                <w:rPr>
                  <w:rStyle w:val="Hipercze"/>
                </w:rPr>
                <w:t xml:space="preserve"> Data Bank</w:t>
              </w:r>
            </w:hyperlink>
          </w:p>
          <w:p w14:paraId="46AEA731" w14:textId="77777777" w:rsidR="00BC40A6" w:rsidRPr="00976BED" w:rsidRDefault="00BC40A6" w:rsidP="00BC40A6">
            <w:pPr>
              <w:spacing w:before="360"/>
              <w:rPr>
                <w:b/>
                <w:color w:val="000000" w:themeColor="text1"/>
                <w:szCs w:val="24"/>
                <w:lang w:val="en-GB"/>
              </w:rPr>
            </w:pPr>
            <w:r w:rsidRPr="00976BED">
              <w:rPr>
                <w:b/>
                <w:color w:val="000000" w:themeColor="text1"/>
                <w:szCs w:val="24"/>
                <w:lang w:val="en-GB"/>
              </w:rPr>
              <w:t>Terms used in official statistics</w:t>
            </w:r>
          </w:p>
          <w:p w14:paraId="3550E542" w14:textId="77777777" w:rsidR="00BC40A6" w:rsidRPr="00BC40A6" w:rsidRDefault="00BC40A6" w:rsidP="00BC40A6">
            <w:pPr>
              <w:rPr>
                <w:rStyle w:val="Hipercze"/>
              </w:rPr>
            </w:pPr>
            <w:r w:rsidRPr="00BC40A6">
              <w:rPr>
                <w:rStyle w:val="Hipercze"/>
              </w:rPr>
              <w:fldChar w:fldCharType="begin"/>
            </w:r>
            <w:r w:rsidRPr="00BC40A6">
              <w:rPr>
                <w:rStyle w:val="Hipercze"/>
              </w:rPr>
              <w:instrText xml:space="preserve"> HYPERLINK "https://stat.gov.pl/en/metainformations/glossary/terms-used-in-official-statistics/539,term.html" \o "Tourist" </w:instrText>
            </w:r>
            <w:r w:rsidRPr="00BC40A6">
              <w:rPr>
                <w:rStyle w:val="Hipercze"/>
              </w:rPr>
              <w:fldChar w:fldCharType="separate"/>
            </w:r>
            <w:proofErr w:type="spellStart"/>
            <w:r w:rsidRPr="00BC40A6">
              <w:rPr>
                <w:rStyle w:val="Hipercze"/>
              </w:rPr>
              <w:t>Tourist</w:t>
            </w:r>
            <w:proofErr w:type="spellEnd"/>
          </w:p>
          <w:p w14:paraId="7B77E260" w14:textId="77777777" w:rsidR="00BC40A6" w:rsidRPr="00BC40A6" w:rsidRDefault="00BC40A6" w:rsidP="00BC40A6">
            <w:pPr>
              <w:rPr>
                <w:rStyle w:val="Hipercze"/>
              </w:rPr>
            </w:pPr>
            <w:r w:rsidRPr="00BC40A6">
              <w:rPr>
                <w:rStyle w:val="Hipercze"/>
              </w:rPr>
              <w:fldChar w:fldCharType="end"/>
            </w:r>
            <w:r w:rsidRPr="00BC40A6">
              <w:rPr>
                <w:rStyle w:val="Hipercze"/>
              </w:rPr>
              <w:fldChar w:fldCharType="begin"/>
            </w:r>
            <w:r w:rsidRPr="00BC40A6">
              <w:rPr>
                <w:rStyle w:val="Hipercze"/>
              </w:rPr>
              <w:instrText xml:space="preserve"> HYPERLINK "https://stat.gov.pl/en/metainformations/glossary/terms-used-in-official-statistics/245,term.html" \o "Tourist accommodation establishment" </w:instrText>
            </w:r>
            <w:r w:rsidRPr="00BC40A6">
              <w:rPr>
                <w:rStyle w:val="Hipercze"/>
              </w:rPr>
              <w:fldChar w:fldCharType="separate"/>
            </w:r>
            <w:proofErr w:type="spellStart"/>
            <w:r w:rsidRPr="00BC40A6">
              <w:rPr>
                <w:rStyle w:val="Hipercze"/>
              </w:rPr>
              <w:t>Tourist</w:t>
            </w:r>
            <w:proofErr w:type="spellEnd"/>
            <w:r w:rsidRPr="00BC40A6">
              <w:rPr>
                <w:rStyle w:val="Hipercze"/>
              </w:rPr>
              <w:t xml:space="preserve"> </w:t>
            </w:r>
            <w:proofErr w:type="spellStart"/>
            <w:r w:rsidRPr="00BC40A6">
              <w:rPr>
                <w:rStyle w:val="Hipercze"/>
              </w:rPr>
              <w:t>accommodation</w:t>
            </w:r>
            <w:proofErr w:type="spellEnd"/>
            <w:r w:rsidRPr="00BC40A6">
              <w:rPr>
                <w:rStyle w:val="Hipercze"/>
              </w:rPr>
              <w:t xml:space="preserve"> establishment</w:t>
            </w:r>
          </w:p>
          <w:p w14:paraId="41346F11" w14:textId="77777777" w:rsidR="00BC40A6" w:rsidRPr="00BC40A6" w:rsidRDefault="00BC40A6" w:rsidP="00BC40A6">
            <w:pPr>
              <w:rPr>
                <w:rStyle w:val="Hipercze"/>
              </w:rPr>
            </w:pPr>
            <w:r w:rsidRPr="00BC40A6">
              <w:rPr>
                <w:rStyle w:val="Hipercze"/>
              </w:rPr>
              <w:fldChar w:fldCharType="end"/>
            </w:r>
            <w:r w:rsidRPr="00BC40A6">
              <w:rPr>
                <w:rStyle w:val="Hipercze"/>
              </w:rPr>
              <w:fldChar w:fldCharType="begin"/>
            </w:r>
            <w:r w:rsidRPr="00BC40A6">
              <w:rPr>
                <w:rStyle w:val="Hipercze"/>
              </w:rPr>
              <w:instrText xml:space="preserve"> HYPERLINK "https://stat.gov.pl/en/metainformations/glossary/terms-used-in-official-statistics/1231,term.html" \o "Bed places in tourist accommodation establishments." </w:instrText>
            </w:r>
            <w:r w:rsidRPr="00BC40A6">
              <w:rPr>
                <w:rStyle w:val="Hipercze"/>
              </w:rPr>
              <w:fldChar w:fldCharType="separate"/>
            </w:r>
            <w:r w:rsidRPr="00BC40A6">
              <w:rPr>
                <w:rStyle w:val="Hipercze"/>
              </w:rPr>
              <w:t xml:space="preserve">Bed </w:t>
            </w:r>
            <w:proofErr w:type="spellStart"/>
            <w:r w:rsidRPr="00BC40A6">
              <w:rPr>
                <w:rStyle w:val="Hipercze"/>
              </w:rPr>
              <w:t>places</w:t>
            </w:r>
            <w:proofErr w:type="spellEnd"/>
            <w:r w:rsidRPr="00BC40A6">
              <w:rPr>
                <w:rStyle w:val="Hipercze"/>
              </w:rPr>
              <w:t xml:space="preserve"> in </w:t>
            </w:r>
            <w:proofErr w:type="spellStart"/>
            <w:r w:rsidRPr="00BC40A6">
              <w:rPr>
                <w:rStyle w:val="Hipercze"/>
              </w:rPr>
              <w:t>tourist</w:t>
            </w:r>
            <w:proofErr w:type="spellEnd"/>
            <w:r w:rsidRPr="00BC40A6">
              <w:rPr>
                <w:rStyle w:val="Hipercze"/>
              </w:rPr>
              <w:t xml:space="preserve"> </w:t>
            </w:r>
            <w:proofErr w:type="spellStart"/>
            <w:r w:rsidRPr="00BC40A6">
              <w:rPr>
                <w:rStyle w:val="Hipercze"/>
              </w:rPr>
              <w:t>accommodation</w:t>
            </w:r>
            <w:proofErr w:type="spellEnd"/>
            <w:r w:rsidRPr="00BC40A6">
              <w:rPr>
                <w:rStyle w:val="Hipercze"/>
              </w:rPr>
              <w:t xml:space="preserve"> </w:t>
            </w:r>
            <w:proofErr w:type="spellStart"/>
            <w:r w:rsidRPr="00BC40A6">
              <w:rPr>
                <w:rStyle w:val="Hipercze"/>
              </w:rPr>
              <w:t>establishments</w:t>
            </w:r>
            <w:proofErr w:type="spellEnd"/>
          </w:p>
          <w:p w14:paraId="1395B220" w14:textId="77777777" w:rsidR="00BC40A6" w:rsidRPr="00BC40A6" w:rsidRDefault="00BC40A6" w:rsidP="00BC40A6">
            <w:pPr>
              <w:rPr>
                <w:rStyle w:val="Hipercze"/>
              </w:rPr>
            </w:pPr>
            <w:r w:rsidRPr="00BC40A6">
              <w:rPr>
                <w:rStyle w:val="Hipercze"/>
              </w:rPr>
              <w:fldChar w:fldCharType="end"/>
            </w:r>
            <w:r w:rsidRPr="00BC40A6">
              <w:rPr>
                <w:rStyle w:val="Hipercze"/>
              </w:rPr>
              <w:fldChar w:fldCharType="begin"/>
            </w:r>
            <w:r w:rsidRPr="00BC40A6">
              <w:rPr>
                <w:rStyle w:val="Hipercze"/>
              </w:rPr>
              <w:instrText xml:space="preserve"> HYPERLINK "https://stat.gov.pl/en/metainformations/glossary/terms-used-in-official-statistics/1233,term.html" \o "Nights spent (overnight stays) in tourist accommodation establishments." </w:instrText>
            </w:r>
            <w:r w:rsidRPr="00BC40A6">
              <w:rPr>
                <w:rStyle w:val="Hipercze"/>
              </w:rPr>
              <w:fldChar w:fldCharType="separate"/>
            </w:r>
            <w:proofErr w:type="spellStart"/>
            <w:r w:rsidRPr="00BC40A6">
              <w:rPr>
                <w:rStyle w:val="Hipercze"/>
              </w:rPr>
              <w:t>Nights</w:t>
            </w:r>
            <w:proofErr w:type="spellEnd"/>
            <w:r w:rsidRPr="00BC40A6">
              <w:rPr>
                <w:rStyle w:val="Hipercze"/>
              </w:rPr>
              <w:t xml:space="preserve"> </w:t>
            </w:r>
            <w:proofErr w:type="spellStart"/>
            <w:r w:rsidRPr="00BC40A6">
              <w:rPr>
                <w:rStyle w:val="Hipercze"/>
              </w:rPr>
              <w:t>spent</w:t>
            </w:r>
            <w:proofErr w:type="spellEnd"/>
            <w:r w:rsidRPr="00BC40A6">
              <w:rPr>
                <w:rStyle w:val="Hipercze"/>
              </w:rPr>
              <w:t xml:space="preserve"> (overnight </w:t>
            </w:r>
            <w:proofErr w:type="spellStart"/>
            <w:r w:rsidRPr="00BC40A6">
              <w:rPr>
                <w:rStyle w:val="Hipercze"/>
              </w:rPr>
              <w:t>stays</w:t>
            </w:r>
            <w:proofErr w:type="spellEnd"/>
            <w:r w:rsidRPr="00BC40A6">
              <w:rPr>
                <w:rStyle w:val="Hipercze"/>
              </w:rPr>
              <w:t xml:space="preserve">) in </w:t>
            </w:r>
            <w:proofErr w:type="spellStart"/>
            <w:r w:rsidRPr="00BC40A6">
              <w:rPr>
                <w:rStyle w:val="Hipercze"/>
              </w:rPr>
              <w:t>tourist</w:t>
            </w:r>
            <w:proofErr w:type="spellEnd"/>
            <w:r w:rsidRPr="00BC40A6">
              <w:rPr>
                <w:rStyle w:val="Hipercze"/>
              </w:rPr>
              <w:t xml:space="preserve"> </w:t>
            </w:r>
            <w:proofErr w:type="spellStart"/>
            <w:r w:rsidRPr="00BC40A6">
              <w:rPr>
                <w:rStyle w:val="Hipercze"/>
              </w:rPr>
              <w:t>accommodation</w:t>
            </w:r>
            <w:proofErr w:type="spellEnd"/>
            <w:r w:rsidRPr="00BC40A6">
              <w:rPr>
                <w:rStyle w:val="Hipercze"/>
              </w:rPr>
              <w:t xml:space="preserve"> </w:t>
            </w:r>
            <w:proofErr w:type="spellStart"/>
            <w:r w:rsidRPr="00BC40A6">
              <w:rPr>
                <w:rStyle w:val="Hipercze"/>
              </w:rPr>
              <w:t>establishments</w:t>
            </w:r>
            <w:proofErr w:type="spellEnd"/>
            <w:r w:rsidRPr="00BC40A6">
              <w:rPr>
                <w:rStyle w:val="Hipercze"/>
              </w:rPr>
              <w:t>.</w:t>
            </w:r>
          </w:p>
          <w:p w14:paraId="70DF2C05" w14:textId="77777777" w:rsidR="00BC40A6" w:rsidRPr="00BC40A6" w:rsidRDefault="00BC40A6" w:rsidP="00BC40A6">
            <w:pPr>
              <w:rPr>
                <w:rStyle w:val="Hipercze"/>
              </w:rPr>
            </w:pPr>
            <w:r w:rsidRPr="00BC40A6">
              <w:rPr>
                <w:rStyle w:val="Hipercze"/>
              </w:rPr>
              <w:fldChar w:fldCharType="end"/>
            </w:r>
            <w:r w:rsidRPr="00BC40A6">
              <w:rPr>
                <w:rStyle w:val="Hipercze"/>
              </w:rPr>
              <w:fldChar w:fldCharType="begin"/>
            </w:r>
            <w:r w:rsidRPr="00BC40A6">
              <w:rPr>
                <w:rStyle w:val="Hipercze"/>
              </w:rPr>
              <w:instrText xml:space="preserve"> HYPERLINK "https://stat.gov.pl/en/metainformations/glossary/terms-used-in-official-statistics/3487,term.html" \o "Duration of the stay" </w:instrText>
            </w:r>
            <w:r w:rsidRPr="00BC40A6">
              <w:rPr>
                <w:rStyle w:val="Hipercze"/>
              </w:rPr>
              <w:fldChar w:fldCharType="separate"/>
            </w:r>
            <w:proofErr w:type="spellStart"/>
            <w:r w:rsidRPr="00BC40A6">
              <w:rPr>
                <w:rStyle w:val="Hipercze"/>
              </w:rPr>
              <w:t>Duration</w:t>
            </w:r>
            <w:proofErr w:type="spellEnd"/>
            <w:r w:rsidRPr="00BC40A6">
              <w:rPr>
                <w:rStyle w:val="Hipercze"/>
              </w:rPr>
              <w:t xml:space="preserve"> of the stay</w:t>
            </w:r>
          </w:p>
          <w:p w14:paraId="5533F9CC" w14:textId="3CA8B713" w:rsidR="00776670" w:rsidRPr="00BC40A6" w:rsidRDefault="00BC40A6" w:rsidP="00BC40A6">
            <w:pPr>
              <w:rPr>
                <w:rStyle w:val="Hipercze"/>
              </w:rPr>
            </w:pPr>
            <w:r w:rsidRPr="00BC40A6">
              <w:rPr>
                <w:rStyle w:val="Hipercze"/>
              </w:rPr>
              <w:fldChar w:fldCharType="end"/>
            </w:r>
          </w:p>
          <w:p w14:paraId="4602F87A" w14:textId="52B09BB4" w:rsidR="00776670" w:rsidRPr="00C30BE8" w:rsidRDefault="00776670" w:rsidP="00BC40A6">
            <w:pPr>
              <w:rPr>
                <w:rStyle w:val="Hipercze"/>
                <w:lang w:val="en-GB"/>
              </w:rPr>
            </w:pPr>
          </w:p>
          <w:p w14:paraId="7B033356" w14:textId="77777777" w:rsidR="00776670" w:rsidRPr="00C30BE8" w:rsidRDefault="00776670" w:rsidP="009D35A0">
            <w:pPr>
              <w:rPr>
                <w:b/>
                <w:color w:val="000000" w:themeColor="text1"/>
                <w:szCs w:val="24"/>
                <w:lang w:val="en-GB"/>
              </w:rPr>
            </w:pPr>
          </w:p>
          <w:p w14:paraId="44D57456" w14:textId="77777777" w:rsidR="00776670" w:rsidRPr="00C30BE8" w:rsidRDefault="00776670" w:rsidP="009D35A0">
            <w:pPr>
              <w:rPr>
                <w:b/>
                <w:color w:val="000000" w:themeColor="text1"/>
                <w:szCs w:val="24"/>
                <w:lang w:val="en-GB"/>
              </w:rPr>
            </w:pPr>
          </w:p>
          <w:p w14:paraId="4BDCD817" w14:textId="77777777" w:rsidR="00776670" w:rsidRPr="00C30BE8" w:rsidRDefault="00776670" w:rsidP="009D35A0">
            <w:pPr>
              <w:rPr>
                <w:b/>
                <w:color w:val="000000" w:themeColor="text1"/>
                <w:szCs w:val="24"/>
                <w:lang w:val="en-GB"/>
              </w:rPr>
            </w:pPr>
          </w:p>
        </w:tc>
      </w:tr>
    </w:tbl>
    <w:p w14:paraId="1F17247C" w14:textId="77777777" w:rsidR="00276E3F" w:rsidRPr="00C30BE8" w:rsidRDefault="00276E3F" w:rsidP="00276E3F">
      <w:pPr>
        <w:rPr>
          <w:sz w:val="18"/>
          <w:lang w:val="en-GB"/>
        </w:rPr>
      </w:pPr>
    </w:p>
    <w:p w14:paraId="55DF70C1" w14:textId="77777777" w:rsidR="00776670" w:rsidRPr="00C30BE8" w:rsidRDefault="00776670" w:rsidP="00276E3F">
      <w:pPr>
        <w:rPr>
          <w:sz w:val="18"/>
          <w:lang w:val="en-GB"/>
        </w:rPr>
      </w:pPr>
    </w:p>
    <w:p w14:paraId="77F56F6E" w14:textId="77777777" w:rsidR="00776670" w:rsidRPr="00C30BE8" w:rsidRDefault="00776670" w:rsidP="00276E3F">
      <w:pPr>
        <w:rPr>
          <w:sz w:val="18"/>
          <w:lang w:val="en-GB"/>
        </w:rPr>
      </w:pPr>
    </w:p>
    <w:p w14:paraId="1DC0CE91" w14:textId="77777777" w:rsidR="00776670" w:rsidRPr="00C30BE8" w:rsidRDefault="00776670" w:rsidP="00276E3F">
      <w:pPr>
        <w:rPr>
          <w:sz w:val="18"/>
          <w:lang w:val="en-GB"/>
        </w:rPr>
      </w:pPr>
    </w:p>
    <w:p w14:paraId="08C1510B" w14:textId="77777777" w:rsidR="00776670" w:rsidRPr="00C30BE8" w:rsidRDefault="00776670" w:rsidP="00276E3F">
      <w:pPr>
        <w:rPr>
          <w:sz w:val="18"/>
          <w:lang w:val="en-GB"/>
        </w:rPr>
      </w:pPr>
    </w:p>
    <w:p w14:paraId="7B4EC798" w14:textId="77777777" w:rsidR="00276E3F" w:rsidRPr="00C30BE8" w:rsidRDefault="00276E3F" w:rsidP="00276E3F">
      <w:pPr>
        <w:rPr>
          <w:sz w:val="20"/>
          <w:lang w:val="en-GB"/>
        </w:rPr>
      </w:pPr>
    </w:p>
    <w:p w14:paraId="184BFFB1" w14:textId="77777777" w:rsidR="00276E3F" w:rsidRPr="00C30BE8" w:rsidRDefault="00276E3F" w:rsidP="00276E3F">
      <w:pPr>
        <w:rPr>
          <w:sz w:val="18"/>
          <w:lang w:val="en-GB"/>
        </w:rPr>
      </w:pPr>
    </w:p>
    <w:p w14:paraId="369CEB50" w14:textId="77777777" w:rsidR="00D261A2" w:rsidRPr="00C30BE8" w:rsidRDefault="00D261A2" w:rsidP="00276E3F">
      <w:pPr>
        <w:rPr>
          <w:sz w:val="18"/>
          <w:lang w:val="en-GB"/>
        </w:rPr>
      </w:pPr>
    </w:p>
    <w:sectPr w:rsidR="00D261A2" w:rsidRPr="00C30BE8"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9A21E" w14:textId="77777777" w:rsidR="00252338" w:rsidRDefault="00252338" w:rsidP="000662E2">
      <w:pPr>
        <w:spacing w:after="0" w:line="240" w:lineRule="auto"/>
      </w:pPr>
      <w:r>
        <w:separator/>
      </w:r>
    </w:p>
  </w:endnote>
  <w:endnote w:type="continuationSeparator" w:id="0">
    <w:p w14:paraId="3B55874B" w14:textId="77777777" w:rsidR="00252338" w:rsidRDefault="0025233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DE237B7B-0BB1-4882-AE37-78A77491AC62}"/>
    <w:embedBold r:id="rId2" w:fontKey="{13A91AB0-1A97-46E0-9FC1-CC56487FA903}"/>
    <w:embedItalic r:id="rId3" w:fontKey="{A27EAF40-9C6C-47D4-BE28-B57A3FEE96C8}"/>
  </w:font>
  <w:font w:name="Fira Sans">
    <w:panose1 w:val="020B0503050000020004"/>
    <w:charset w:val="EE"/>
    <w:family w:val="swiss"/>
    <w:pitch w:val="variable"/>
    <w:sig w:usb0="600002FF" w:usb1="02000001" w:usb2="00000000" w:usb3="00000000" w:csb0="0000019F" w:csb1="00000000"/>
    <w:embedRegular r:id="rId4" w:fontKey="{E62FBEC4-7D50-4164-90F3-A535BAB96DBB}"/>
    <w:embedBold r:id="rId5" w:fontKey="{48A226A0-6470-4655-9883-27AD8A0857C5}"/>
    <w:embedItalic r:id="rId6" w:fontKey="{C25A0247-09CE-4DA0-A51D-96845BA73508}"/>
  </w:font>
  <w:font w:name="Fira Sans SemiBold">
    <w:panose1 w:val="020B0603050000020004"/>
    <w:charset w:val="EE"/>
    <w:family w:val="swiss"/>
    <w:pitch w:val="variable"/>
    <w:sig w:usb0="600002FF" w:usb1="02000001" w:usb2="00000000" w:usb3="00000000" w:csb0="0000019F" w:csb1="00000000"/>
    <w:embedRegular r:id="rId7" w:fontKey="{08B592D6-5E44-4BE3-AA79-7646A3E77336}"/>
  </w:font>
  <w:font w:name="Fira Sans Medium">
    <w:panose1 w:val="020B0603050000020004"/>
    <w:charset w:val="EE"/>
    <w:family w:val="swiss"/>
    <w:pitch w:val="variable"/>
    <w:sig w:usb0="600002FF" w:usb1="02000001" w:usb2="00000000" w:usb3="00000000" w:csb0="0000019F" w:csb1="00000000"/>
    <w:embedRegular r:id="rId8" w:fontKey="{BA8A6D09-1D67-43F2-AA6C-61367F424990}"/>
    <w:embedItalic r:id="rId9" w:fontKey="{149FA6A3-7875-47AE-A698-F9544813EBBB}"/>
  </w:font>
  <w:font w:name="Segoe UI">
    <w:panose1 w:val="020B0502040204020203"/>
    <w:charset w:val="EE"/>
    <w:family w:val="swiss"/>
    <w:pitch w:val="variable"/>
    <w:sig w:usb0="E4002EFF" w:usb1="C000E47F" w:usb2="00000009" w:usb3="00000000" w:csb0="000001FF" w:csb1="00000000"/>
    <w:embedRegular r:id="rId10" w:fontKey="{19F5E5A1-1F5C-4C40-8068-8FF25E9E3C7C}"/>
  </w:font>
  <w:font w:name="Fira Sans Extra Condensed SemiB">
    <w:panose1 w:val="020B0603050000020004"/>
    <w:charset w:val="EE"/>
    <w:family w:val="swiss"/>
    <w:pitch w:val="variable"/>
    <w:sig w:usb0="600002FF" w:usb1="00000001" w:usb2="00000000" w:usb3="00000000" w:csb0="0000019F" w:csb1="00000000"/>
    <w:embedRegular r:id="rId11" w:fontKey="{41B09A11-FA74-4617-83FE-83886CDF35B3}"/>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391768"/>
      <w:docPartObj>
        <w:docPartGallery w:val="Page Numbers (Bottom of Page)"/>
        <w:docPartUnique/>
      </w:docPartObj>
    </w:sdtPr>
    <w:sdtEndPr/>
    <w:sdtContent>
      <w:p w14:paraId="5893F904" w14:textId="77777777" w:rsidR="00393BC6" w:rsidRDefault="00393BC6" w:rsidP="003B18B6">
        <w:pPr>
          <w:pStyle w:val="Stopka"/>
          <w:jc w:val="center"/>
        </w:pPr>
        <w:r>
          <w:fldChar w:fldCharType="begin"/>
        </w:r>
        <w:r>
          <w:instrText>PAGE   \* MERGEFORMAT</w:instrText>
        </w:r>
        <w:r>
          <w:fldChar w:fldCharType="separate"/>
        </w:r>
        <w:r w:rsidR="004A1B58">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34714"/>
      <w:docPartObj>
        <w:docPartGallery w:val="Page Numbers (Bottom of Page)"/>
        <w:docPartUnique/>
      </w:docPartObj>
    </w:sdtPr>
    <w:sdtEndPr/>
    <w:sdtContent>
      <w:p w14:paraId="2177DC5E" w14:textId="77777777" w:rsidR="00393BC6" w:rsidRDefault="00393BC6" w:rsidP="003B18B6">
        <w:pPr>
          <w:pStyle w:val="Stopka"/>
          <w:jc w:val="center"/>
        </w:pPr>
        <w:r>
          <w:fldChar w:fldCharType="begin"/>
        </w:r>
        <w:r>
          <w:instrText>PAGE   \* MERGEFORMAT</w:instrText>
        </w:r>
        <w:r>
          <w:fldChar w:fldCharType="separate"/>
        </w:r>
        <w:r w:rsidR="004A1B58">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4773F9C" w14:textId="77777777" w:rsidR="00C2270F" w:rsidRDefault="00C2270F" w:rsidP="003B18B6">
        <w:pPr>
          <w:pStyle w:val="Stopka"/>
          <w:jc w:val="center"/>
        </w:pPr>
        <w:r>
          <w:fldChar w:fldCharType="begin"/>
        </w:r>
        <w:r>
          <w:instrText>PAGE   \* MERGEFORMAT</w:instrText>
        </w:r>
        <w:r>
          <w:fldChar w:fldCharType="separate"/>
        </w:r>
        <w:r w:rsidR="004A1B58">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516DD" w14:textId="77777777" w:rsidR="00252338" w:rsidRDefault="00252338" w:rsidP="000662E2">
      <w:pPr>
        <w:spacing w:after="0" w:line="240" w:lineRule="auto"/>
      </w:pPr>
      <w:r>
        <w:separator/>
      </w:r>
    </w:p>
  </w:footnote>
  <w:footnote w:type="continuationSeparator" w:id="0">
    <w:p w14:paraId="79D741D1" w14:textId="77777777" w:rsidR="00252338" w:rsidRDefault="00252338" w:rsidP="000662E2">
      <w:pPr>
        <w:spacing w:after="0" w:line="240" w:lineRule="auto"/>
      </w:pPr>
      <w:r>
        <w:continuationSeparator/>
      </w:r>
    </w:p>
  </w:footnote>
  <w:footnote w:id="1">
    <w:p w14:paraId="469F5161" w14:textId="4DE09DDE" w:rsidR="007F4887" w:rsidRPr="007F4887" w:rsidRDefault="007F4887">
      <w:pPr>
        <w:pStyle w:val="Tekstprzypisudolnego"/>
        <w:rPr>
          <w:lang w:val="en-GB"/>
        </w:rPr>
      </w:pPr>
      <w:r w:rsidRPr="008538F7">
        <w:rPr>
          <w:rStyle w:val="Odwoanieprzypisudolnego"/>
          <w:sz w:val="18"/>
          <w:szCs w:val="18"/>
        </w:rPr>
        <w:footnoteRef/>
      </w:r>
      <w:r w:rsidRPr="008538F7">
        <w:rPr>
          <w:sz w:val="18"/>
          <w:szCs w:val="18"/>
          <w:lang w:val="en-GB"/>
        </w:rPr>
        <w:t xml:space="preserve"> </w:t>
      </w:r>
      <w:hyperlink r:id="rId1" w:history="1">
        <w:r w:rsidR="004A1B58" w:rsidRPr="00EE02AE">
          <w:rPr>
            <w:rStyle w:val="Hipercze"/>
            <w:rFonts w:cstheme="minorBidi"/>
            <w:sz w:val="19"/>
            <w:szCs w:val="19"/>
          </w:rPr>
          <w:t>https://eur-lex.europa.eu/LexUriServ/LexUriServ.do?uri=OJ:L:2011:192:0017:0032:PL:PDF</w:t>
        </w:r>
      </w:hyperlink>
    </w:p>
  </w:footnote>
  <w:footnote w:id="2">
    <w:p w14:paraId="6901DC37" w14:textId="77777777" w:rsidR="00A843F6" w:rsidRPr="00A843F6" w:rsidRDefault="00A843F6">
      <w:pPr>
        <w:pStyle w:val="Tekstprzypisudolnego"/>
        <w:rPr>
          <w:lang w:val="en-GB"/>
        </w:rPr>
      </w:pPr>
      <w:r>
        <w:rPr>
          <w:rStyle w:val="Odwoanieprzypisudolnego"/>
        </w:rPr>
        <w:footnoteRef/>
      </w:r>
      <w:r w:rsidRPr="00A843F6">
        <w:rPr>
          <w:lang w:val="en-GB"/>
        </w:rPr>
        <w:t xml:space="preserve"> </w:t>
      </w:r>
      <w:hyperlink r:id="rId2" w:history="1">
        <w:r w:rsidRPr="00A843F6">
          <w:rPr>
            <w:rStyle w:val="Hipercze"/>
            <w:sz w:val="18"/>
            <w:szCs w:val="18"/>
            <w:shd w:val="clear" w:color="auto" w:fill="FFFFFF"/>
            <w:lang w:val="en-GB"/>
          </w:rPr>
          <w:t>https://ec.europa.eu/eurostat/web/coastal-island-outermost-regions/methodology</w:t>
        </w:r>
      </w:hyperlink>
    </w:p>
  </w:footnote>
  <w:footnote w:id="3">
    <w:p w14:paraId="076A0BFE" w14:textId="77777777" w:rsidR="00A843F6" w:rsidRPr="00A843F6" w:rsidRDefault="00A843F6">
      <w:pPr>
        <w:pStyle w:val="Tekstprzypisudolnego"/>
        <w:rPr>
          <w:lang w:val="en-GB"/>
        </w:rPr>
      </w:pPr>
      <w:r>
        <w:rPr>
          <w:rStyle w:val="Odwoanieprzypisudolnego"/>
        </w:rPr>
        <w:footnoteRef/>
      </w:r>
      <w:r w:rsidRPr="00A843F6">
        <w:rPr>
          <w:lang w:val="en-GB"/>
        </w:rPr>
        <w:t xml:space="preserve"> </w:t>
      </w:r>
      <w:hyperlink r:id="rId3" w:history="1">
        <w:r w:rsidRPr="00A843F6">
          <w:rPr>
            <w:rStyle w:val="Hipercze"/>
            <w:sz w:val="18"/>
            <w:szCs w:val="18"/>
            <w:shd w:val="clear" w:color="auto" w:fill="FFFFFF"/>
            <w:lang w:val="en-GB"/>
          </w:rPr>
          <w:t>https://ec.europa.eu/eurostat/web/degree-of-urbanisation/background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822C" w14:textId="77777777" w:rsidR="00393BC6" w:rsidRDefault="00393BC6">
    <w:pPr>
      <w:pStyle w:val="Nagwek"/>
    </w:pPr>
    <w:r>
      <w:rPr>
        <w:noProof/>
        <w:lang w:eastAsia="pl-PL"/>
      </w:rPr>
      <mc:AlternateContent>
        <mc:Choice Requires="wps">
          <w:drawing>
            <wp:anchor distT="0" distB="0" distL="114300" distR="114300" simplePos="0" relativeHeight="251673600" behindDoc="1" locked="0" layoutInCell="1" allowOverlap="1" wp14:anchorId="39B26395" wp14:editId="0BA311DD">
              <wp:simplePos x="0" y="0"/>
              <wp:positionH relativeFrom="column">
                <wp:posOffset>5214620</wp:posOffset>
              </wp:positionH>
              <wp:positionV relativeFrom="paragraph">
                <wp:posOffset>-178435</wp:posOffset>
              </wp:positionV>
              <wp:extent cx="1874520" cy="22680295"/>
              <wp:effectExtent l="0" t="0" r="0" b="8255"/>
              <wp:wrapNone/>
              <wp:docPr id="11" name="Prostokąt 11"/>
              <wp:cNvGraphicFramePr/>
              <a:graphic xmlns:a="http://schemas.openxmlformats.org/drawingml/2006/main">
                <a:graphicData uri="http://schemas.microsoft.com/office/word/2010/wordprocessingShape">
                  <wps:wsp>
                    <wps:cNvSpPr/>
                    <wps:spPr>
                      <a:xfrm>
                        <a:off x="0" y="0"/>
                        <a:ext cx="1874520" cy="2268029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0DA71" id="Prostokąt 11" o:spid="_x0000_s1026" style="position:absolute;margin-left:410.6pt;margin-top:-14.05pt;width:147.6pt;height:178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" fillcolor="#f2f2f2" stroked="f" strokeweight="1pt"/>
          </w:pict>
        </mc:Fallback>
      </mc:AlternateContent>
    </w:r>
  </w:p>
  <w:p w14:paraId="18D2B677" w14:textId="77777777" w:rsidR="00393BC6" w:rsidRDefault="00393BC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BF15C" w14:textId="63A4E110" w:rsidR="00393BC6" w:rsidRDefault="00F8209B">
    <w:pPr>
      <w:pStyle w:val="Nagwek"/>
      <w:rPr>
        <w:noProof/>
        <w:lang w:eastAsia="pl-PL"/>
      </w:rPr>
    </w:pPr>
    <w:r>
      <w:rPr>
        <w:noProof/>
        <w:shd w:val="clear" w:color="auto" w:fill="FFFFFF"/>
        <w:lang w:eastAsia="pl-PL"/>
      </w:rPr>
      <w:drawing>
        <wp:anchor distT="0" distB="0" distL="114300" distR="114300" simplePos="0" relativeHeight="251678720" behindDoc="0" locked="0" layoutInCell="1" allowOverlap="1" wp14:anchorId="3A6E3835" wp14:editId="0138FD83">
          <wp:simplePos x="0" y="0"/>
          <wp:positionH relativeFrom="margin">
            <wp:align>left</wp:align>
          </wp:positionH>
          <wp:positionV relativeFrom="paragraph">
            <wp:posOffset>151493</wp:posOffset>
          </wp:positionV>
          <wp:extent cx="1838325" cy="696595"/>
          <wp:effectExtent l="0" t="0" r="9525" b="0"/>
          <wp:wrapSquare wrapText="bothSides"/>
          <wp:docPr id="6" name="Obraz 6"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BC6">
      <w:rPr>
        <w:noProof/>
        <w:lang w:eastAsia="pl-PL"/>
      </w:rPr>
      <mc:AlternateContent>
        <mc:Choice Requires="wps">
          <w:drawing>
            <wp:anchor distT="0" distB="0" distL="114300" distR="114300" simplePos="0" relativeHeight="251674624" behindDoc="1" locked="0" layoutInCell="1" allowOverlap="1" wp14:anchorId="09F110BF" wp14:editId="001C317A">
              <wp:simplePos x="0" y="0"/>
              <wp:positionH relativeFrom="column">
                <wp:posOffset>5224780</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1" name="Prostokąt 21"/>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79A3C" id="Prostokąt 21" o:spid="_x0000_s1026" style="position:absolute;margin-left:411.4pt;margin-top:40.3pt;width:147.4pt;height:180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Ow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" fillcolor="#f2f2f2" stroked="f" strokeweight="1pt">
              <w10:wrap type="tight"/>
            </v:rect>
          </w:pict>
        </mc:Fallback>
      </mc:AlternateContent>
    </w:r>
    <w:r w:rsidR="00393BC6" w:rsidRPr="00F37172">
      <w:rPr>
        <w:noProof/>
        <w:lang w:eastAsia="pl-PL"/>
      </w:rPr>
      <mc:AlternateContent>
        <mc:Choice Requires="wps">
          <w:drawing>
            <wp:anchor distT="0" distB="0" distL="114300" distR="114300" simplePos="0" relativeHeight="251675648" behindDoc="0" locked="0" layoutInCell="1" allowOverlap="1" wp14:anchorId="54A2D0BD" wp14:editId="21354056">
              <wp:simplePos x="0" y="0"/>
              <wp:positionH relativeFrom="column">
                <wp:posOffset>5036820</wp:posOffset>
              </wp:positionH>
              <wp:positionV relativeFrom="paragraph">
                <wp:posOffset>198755</wp:posOffset>
              </wp:positionV>
              <wp:extent cx="2060575" cy="357505"/>
              <wp:effectExtent l="0" t="0" r="0" b="4445"/>
              <wp:wrapNone/>
              <wp:docPr id="22"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1D89D4B5" w14:textId="02239C6F" w:rsidR="00393BC6" w:rsidRPr="003C6C8D" w:rsidRDefault="00BC40E7" w:rsidP="005E30F1">
                          <w:pPr>
                            <w:spacing w:before="0" w:after="0" w:line="240" w:lineRule="auto"/>
                            <w:ind w:left="227"/>
                            <w:jc w:val="center"/>
                            <w:rPr>
                              <w:rFonts w:ascii="Fira Sans SemiBold" w:hAnsi="Fira Sans SemiBold"/>
                            </w:rPr>
                          </w:pPr>
                          <w:r w:rsidRPr="00CD0869">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D0BD" id="Schemat blokowy: opóźnienie 6" o:spid="_x0000_s1033" style="position:absolute;margin-left:396.6pt;margin-top:15.65pt;width:162.25pt;height:28.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AcHQPIDwYA&#10;AE4rAAAOAAAAAAAAAAAAAAAAAC4CAABkcnMvZTJvRG9jLnhtbFBLAQItABQABgAIAAAAIQAwTwz1&#10;3gAAAAoBAAAPAAAAAAAAAAAAAAAAAGkIAABkcnMvZG93bnJldi54bWxQSwUGAAAAAAQABADzAAAA&#10;d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D89D4B5" w14:textId="02239C6F" w:rsidR="00393BC6" w:rsidRPr="003C6C8D" w:rsidRDefault="00BC40E7" w:rsidP="005E30F1">
                    <w:pPr>
                      <w:spacing w:before="0" w:after="0" w:line="240" w:lineRule="auto"/>
                      <w:ind w:left="227"/>
                      <w:jc w:val="center"/>
                      <w:rPr>
                        <w:rFonts w:ascii="Fira Sans SemiBold" w:hAnsi="Fira Sans SemiBold"/>
                      </w:rPr>
                    </w:pPr>
                    <w:r w:rsidRPr="00CD0869">
                      <w:rPr>
                        <w:rFonts w:ascii="Fira Sans SemiBold" w:hAnsi="Fira Sans SemiBold"/>
                      </w:rPr>
                      <w:t>NEWS RELEASES</w:t>
                    </w:r>
                  </w:p>
                </w:txbxContent>
              </v:textbox>
            </v:shape>
          </w:pict>
        </mc:Fallback>
      </mc:AlternateContent>
    </w:r>
  </w:p>
  <w:p w14:paraId="13B71810" w14:textId="77777777" w:rsidR="00261DC1" w:rsidRDefault="00261DC1">
    <w:pPr>
      <w:pStyle w:val="Nagwek"/>
      <w:rPr>
        <w:noProof/>
        <w:lang w:eastAsia="pl-PL"/>
      </w:rPr>
    </w:pPr>
  </w:p>
  <w:p w14:paraId="7222D5C8" w14:textId="77777777" w:rsidR="00261DC1" w:rsidRDefault="00261DC1">
    <w:pPr>
      <w:pStyle w:val="Nagwek"/>
      <w:rPr>
        <w:noProof/>
        <w:lang w:eastAsia="pl-PL"/>
      </w:rPr>
    </w:pPr>
  </w:p>
  <w:p w14:paraId="3D70594C" w14:textId="77777777" w:rsidR="00393BC6" w:rsidRDefault="00393BC6">
    <w:pPr>
      <w:pStyle w:val="Nagwek"/>
      <w:rPr>
        <w:noProof/>
        <w:lang w:eastAsia="pl-PL"/>
      </w:rPr>
    </w:pPr>
    <w:r w:rsidRPr="00F37172">
      <w:rPr>
        <w:noProof/>
        <w:lang w:eastAsia="pl-PL"/>
      </w:rPr>
      <mc:AlternateContent>
        <mc:Choice Requires="wps">
          <w:drawing>
            <wp:anchor distT="45720" distB="45720" distL="114300" distR="114300" simplePos="0" relativeHeight="251676672" behindDoc="0" locked="0" layoutInCell="1" allowOverlap="1" wp14:anchorId="4AECE984" wp14:editId="7DC7449E">
              <wp:simplePos x="0" y="0"/>
              <wp:positionH relativeFrom="column">
                <wp:posOffset>5219700</wp:posOffset>
              </wp:positionH>
              <wp:positionV relativeFrom="paragraph">
                <wp:posOffset>266065</wp:posOffset>
              </wp:positionV>
              <wp:extent cx="1432293" cy="336589"/>
              <wp:effectExtent l="0" t="0" r="0" b="6350"/>
              <wp:wrapNone/>
              <wp:docPr id="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2B72BCC" w14:textId="55860074" w:rsidR="00393BC6" w:rsidRPr="00C97596" w:rsidRDefault="001B1BAE" w:rsidP="00F37172">
                          <w:pPr>
                            <w:jc w:val="both"/>
                            <w:rPr>
                              <w:rFonts w:ascii="Fira Sans SemiBold" w:hAnsi="Fira Sans SemiBold"/>
                              <w:color w:val="001D77"/>
                            </w:rPr>
                          </w:pPr>
                          <w:r>
                            <w:rPr>
                              <w:rFonts w:ascii="Fira Sans SemiBold" w:hAnsi="Fira Sans SemiBold"/>
                              <w:color w:val="001D77"/>
                            </w:rPr>
                            <w:t>28</w:t>
                          </w:r>
                          <w:r w:rsidR="00393BC6">
                            <w:rPr>
                              <w:rFonts w:ascii="Fira Sans SemiBold" w:hAnsi="Fira Sans SemiBold"/>
                              <w:color w:val="001D77"/>
                            </w:rPr>
                            <w:t>.02.2022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CE984" id="_x0000_t202" coordsize="21600,21600" o:spt="202" path="m,l,21600r21600,l21600,xe">
              <v:stroke joinstyle="miter"/>
              <v:path gradientshapeok="t" o:connecttype="rect"/>
            </v:shapetype>
            <v:shape id="_x0000_s1034" type="#_x0000_t202" style="position:absolute;margin-left:411pt;margin-top:20.95pt;width:112.8pt;height:2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anBR&#10;QRECAAD/AwAADgAAAAAAAAAAAAAAAAAuAgAAZHJzL2Uyb0RvYy54bWxQSwECLQAUAAYACAAAACEA&#10;a2dxHd4AAAAKAQAADwAAAAAAAAAAAAAAAABrBAAAZHJzL2Rvd25yZXYueG1sUEsFBgAAAAAEAAQA&#10;8wAAAHYFAAAAAA==&#10;" filled="f" stroked="f">
              <v:textbox>
                <w:txbxContent>
                  <w:p w14:paraId="02B72BCC" w14:textId="55860074" w:rsidR="00393BC6" w:rsidRPr="00C97596" w:rsidRDefault="001B1BAE" w:rsidP="00F37172">
                    <w:pPr>
                      <w:jc w:val="both"/>
                      <w:rPr>
                        <w:rFonts w:ascii="Fira Sans SemiBold" w:hAnsi="Fira Sans SemiBold"/>
                        <w:color w:val="001D77"/>
                      </w:rPr>
                    </w:pPr>
                    <w:r>
                      <w:rPr>
                        <w:rFonts w:ascii="Fira Sans SemiBold" w:hAnsi="Fira Sans SemiBold"/>
                        <w:color w:val="001D77"/>
                      </w:rPr>
                      <w:t>28</w:t>
                    </w:r>
                    <w:r w:rsidR="00393BC6">
                      <w:rPr>
                        <w:rFonts w:ascii="Fira Sans SemiBold" w:hAnsi="Fira Sans SemiBold"/>
                        <w:color w:val="001D77"/>
                      </w:rPr>
                      <w:t>.02.2022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50824" w14:textId="77777777" w:rsidR="00C2270F" w:rsidRDefault="00C2270F">
    <w:pPr>
      <w:pStyle w:val="Nagwek"/>
    </w:pPr>
  </w:p>
  <w:p w14:paraId="14362B91" w14:textId="77777777" w:rsidR="00C2270F" w:rsidRDefault="00C227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6pt;visibility:visible;mso-wrap-style:square" o:bullet="t">
        <v:imagedata r:id="rId1" o:title=""/>
      </v:shape>
    </w:pict>
  </w:numPicBullet>
  <w:numPicBullet w:numPicBulletId="1">
    <w:pict>
      <v:shape id="_x0000_i1029" type="#_x0000_t75" style="width:123.6pt;height:126pt;visibility:visible;mso-wrap-style:square" o:bullet="t">
        <v:imagedata r:id="rId2" o:title=""/>
      </v:shape>
    </w:pict>
  </w:numPicBullet>
  <w:abstractNum w:abstractNumId="0" w15:restartNumberingAfterBreak="0">
    <w:nsid w:val="003B117A"/>
    <w:multiLevelType w:val="hybridMultilevel"/>
    <w:tmpl w:val="75E8A3AC"/>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3746B54"/>
    <w:multiLevelType w:val="hybridMultilevel"/>
    <w:tmpl w:val="CEA4EAFE"/>
    <w:lvl w:ilvl="0" w:tplc="7A2A1096">
      <w:start w:val="1"/>
      <w:numFmt w:val="decimal"/>
      <w:suff w:val="space"/>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4F1AAA"/>
    <w:multiLevelType w:val="hybridMultilevel"/>
    <w:tmpl w:val="247C1F22"/>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776594"/>
    <w:multiLevelType w:val="hybridMultilevel"/>
    <w:tmpl w:val="FB045898"/>
    <w:lvl w:ilvl="0" w:tplc="46C2F4BE">
      <w:start w:val="1"/>
      <w:numFmt w:val="decimal"/>
      <w:suff w:val="space"/>
      <w:lvlText w:val="Wykres %1."/>
      <w:lvlJc w:val="left"/>
      <w:pPr>
        <w:ind w:left="720" w:hanging="360"/>
      </w:pPr>
      <w:rPr>
        <w:rFonts w:hint="default"/>
        <w:b/>
        <w:i w:val="0"/>
        <w:caps w:val="0"/>
        <w:strike w:val="0"/>
        <w:dstrike w:val="0"/>
        <w:vanish w:val="0"/>
        <w:color w:val="auto"/>
        <w:sz w:val="19"/>
        <w:szCs w:val="19"/>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4003A66"/>
    <w:multiLevelType w:val="hybridMultilevel"/>
    <w:tmpl w:val="C18801F2"/>
    <w:lvl w:ilvl="0" w:tplc="18A24D96">
      <w:start w:val="1"/>
      <w:numFmt w:val="decimal"/>
      <w:lvlText w:val="Mapa %1."/>
      <w:lvlJc w:val="left"/>
      <w:pPr>
        <w:ind w:left="720" w:hanging="360"/>
      </w:pPr>
      <w:rPr>
        <w:rFonts w:hint="default"/>
        <w:b/>
        <w:i w:val="0"/>
        <w:caps w:val="0"/>
        <w:strike w:val="0"/>
        <w:dstrike w:val="0"/>
        <w:vanish w:val="0"/>
        <w:spacing w:val="0"/>
        <w:kern w:val="0"/>
        <w:position w:val="0"/>
        <w:sz w:val="19"/>
        <w:szCs w:val="19"/>
        <w:vertAlign w:val="baseli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6A8"/>
    <w:rsid w:val="00003437"/>
    <w:rsid w:val="0000526B"/>
    <w:rsid w:val="0000709F"/>
    <w:rsid w:val="000108B8"/>
    <w:rsid w:val="00011F1B"/>
    <w:rsid w:val="000152F5"/>
    <w:rsid w:val="0002119A"/>
    <w:rsid w:val="000222C4"/>
    <w:rsid w:val="000319C7"/>
    <w:rsid w:val="00037034"/>
    <w:rsid w:val="000403A7"/>
    <w:rsid w:val="000404D1"/>
    <w:rsid w:val="0004350B"/>
    <w:rsid w:val="000439B9"/>
    <w:rsid w:val="0004582E"/>
    <w:rsid w:val="000470AA"/>
    <w:rsid w:val="0005102D"/>
    <w:rsid w:val="000573FB"/>
    <w:rsid w:val="00057C16"/>
    <w:rsid w:val="00057CA1"/>
    <w:rsid w:val="00061B06"/>
    <w:rsid w:val="000662E2"/>
    <w:rsid w:val="00066883"/>
    <w:rsid w:val="00070A0E"/>
    <w:rsid w:val="00074DD8"/>
    <w:rsid w:val="00075759"/>
    <w:rsid w:val="0007623C"/>
    <w:rsid w:val="000806F7"/>
    <w:rsid w:val="00083D0E"/>
    <w:rsid w:val="00090A94"/>
    <w:rsid w:val="00095353"/>
    <w:rsid w:val="00097840"/>
    <w:rsid w:val="000B0727"/>
    <w:rsid w:val="000B551A"/>
    <w:rsid w:val="000B6A2E"/>
    <w:rsid w:val="000B7F4A"/>
    <w:rsid w:val="000C135D"/>
    <w:rsid w:val="000C514F"/>
    <w:rsid w:val="000C592A"/>
    <w:rsid w:val="000D0C82"/>
    <w:rsid w:val="000D1D43"/>
    <w:rsid w:val="000D225C"/>
    <w:rsid w:val="000D2A5C"/>
    <w:rsid w:val="000E0918"/>
    <w:rsid w:val="000E491B"/>
    <w:rsid w:val="000E79A9"/>
    <w:rsid w:val="000F38BE"/>
    <w:rsid w:val="001011C3"/>
    <w:rsid w:val="00103425"/>
    <w:rsid w:val="001046C3"/>
    <w:rsid w:val="00104F0B"/>
    <w:rsid w:val="00106CD6"/>
    <w:rsid w:val="00110D87"/>
    <w:rsid w:val="00114DB9"/>
    <w:rsid w:val="00116087"/>
    <w:rsid w:val="00120357"/>
    <w:rsid w:val="00130296"/>
    <w:rsid w:val="00131BCF"/>
    <w:rsid w:val="00131C04"/>
    <w:rsid w:val="00135687"/>
    <w:rsid w:val="00136736"/>
    <w:rsid w:val="00137488"/>
    <w:rsid w:val="00141FF8"/>
    <w:rsid w:val="001423B6"/>
    <w:rsid w:val="00142FFD"/>
    <w:rsid w:val="001448A7"/>
    <w:rsid w:val="00146621"/>
    <w:rsid w:val="001507D2"/>
    <w:rsid w:val="00160175"/>
    <w:rsid w:val="001617E3"/>
    <w:rsid w:val="00161D36"/>
    <w:rsid w:val="00162325"/>
    <w:rsid w:val="001665AD"/>
    <w:rsid w:val="0017112C"/>
    <w:rsid w:val="001914FF"/>
    <w:rsid w:val="00193C68"/>
    <w:rsid w:val="001951DA"/>
    <w:rsid w:val="001966D3"/>
    <w:rsid w:val="001A1450"/>
    <w:rsid w:val="001A2655"/>
    <w:rsid w:val="001A79E8"/>
    <w:rsid w:val="001B1BAE"/>
    <w:rsid w:val="001B5259"/>
    <w:rsid w:val="001C08FE"/>
    <w:rsid w:val="001C09FA"/>
    <w:rsid w:val="001C10CB"/>
    <w:rsid w:val="001C11BC"/>
    <w:rsid w:val="001C17D9"/>
    <w:rsid w:val="001C3269"/>
    <w:rsid w:val="001D07A8"/>
    <w:rsid w:val="001D10DF"/>
    <w:rsid w:val="001D1DB4"/>
    <w:rsid w:val="001D1FF8"/>
    <w:rsid w:val="001D5403"/>
    <w:rsid w:val="001D61ED"/>
    <w:rsid w:val="001E34ED"/>
    <w:rsid w:val="00210A4C"/>
    <w:rsid w:val="00211D60"/>
    <w:rsid w:val="00233702"/>
    <w:rsid w:val="0023412F"/>
    <w:rsid w:val="00243D3D"/>
    <w:rsid w:val="002508AC"/>
    <w:rsid w:val="002517FC"/>
    <w:rsid w:val="00252338"/>
    <w:rsid w:val="002574F9"/>
    <w:rsid w:val="00261DC1"/>
    <w:rsid w:val="00262B61"/>
    <w:rsid w:val="00263E08"/>
    <w:rsid w:val="00263E59"/>
    <w:rsid w:val="00267003"/>
    <w:rsid w:val="002763F8"/>
    <w:rsid w:val="00276811"/>
    <w:rsid w:val="00276E3F"/>
    <w:rsid w:val="00277C73"/>
    <w:rsid w:val="00282699"/>
    <w:rsid w:val="00284736"/>
    <w:rsid w:val="00290729"/>
    <w:rsid w:val="0029085B"/>
    <w:rsid w:val="002908FA"/>
    <w:rsid w:val="002926DF"/>
    <w:rsid w:val="00295BC0"/>
    <w:rsid w:val="00296291"/>
    <w:rsid w:val="00296697"/>
    <w:rsid w:val="00296B6F"/>
    <w:rsid w:val="002B0472"/>
    <w:rsid w:val="002B567A"/>
    <w:rsid w:val="002B63FB"/>
    <w:rsid w:val="002B6B12"/>
    <w:rsid w:val="002C3895"/>
    <w:rsid w:val="002C416C"/>
    <w:rsid w:val="002C44CF"/>
    <w:rsid w:val="002C7094"/>
    <w:rsid w:val="002D5935"/>
    <w:rsid w:val="002E317F"/>
    <w:rsid w:val="002E6140"/>
    <w:rsid w:val="002E6985"/>
    <w:rsid w:val="002E71B6"/>
    <w:rsid w:val="002F0AB9"/>
    <w:rsid w:val="002F5C1F"/>
    <w:rsid w:val="002F621D"/>
    <w:rsid w:val="002F77C8"/>
    <w:rsid w:val="002F789F"/>
    <w:rsid w:val="0030349F"/>
    <w:rsid w:val="003039F4"/>
    <w:rsid w:val="003046AB"/>
    <w:rsid w:val="00304F22"/>
    <w:rsid w:val="00306C7C"/>
    <w:rsid w:val="003070DA"/>
    <w:rsid w:val="00317F4D"/>
    <w:rsid w:val="003204C0"/>
    <w:rsid w:val="00322EDD"/>
    <w:rsid w:val="003309FA"/>
    <w:rsid w:val="00330BC1"/>
    <w:rsid w:val="00332320"/>
    <w:rsid w:val="0033506A"/>
    <w:rsid w:val="00336A4C"/>
    <w:rsid w:val="00344FFE"/>
    <w:rsid w:val="00346B2D"/>
    <w:rsid w:val="00347D72"/>
    <w:rsid w:val="00353F45"/>
    <w:rsid w:val="003557BD"/>
    <w:rsid w:val="00357611"/>
    <w:rsid w:val="00360ABA"/>
    <w:rsid w:val="00363B72"/>
    <w:rsid w:val="00365352"/>
    <w:rsid w:val="00366B56"/>
    <w:rsid w:val="00367237"/>
    <w:rsid w:val="0037077F"/>
    <w:rsid w:val="00371D01"/>
    <w:rsid w:val="00372411"/>
    <w:rsid w:val="0037249C"/>
    <w:rsid w:val="00372E82"/>
    <w:rsid w:val="00373882"/>
    <w:rsid w:val="00373FAC"/>
    <w:rsid w:val="00375403"/>
    <w:rsid w:val="00383B21"/>
    <w:rsid w:val="003843DB"/>
    <w:rsid w:val="00386553"/>
    <w:rsid w:val="003934AF"/>
    <w:rsid w:val="00393761"/>
    <w:rsid w:val="00393BC6"/>
    <w:rsid w:val="00394E26"/>
    <w:rsid w:val="00396691"/>
    <w:rsid w:val="003973A8"/>
    <w:rsid w:val="00397D18"/>
    <w:rsid w:val="003A1B36"/>
    <w:rsid w:val="003A2248"/>
    <w:rsid w:val="003A6C26"/>
    <w:rsid w:val="003B001E"/>
    <w:rsid w:val="003B024D"/>
    <w:rsid w:val="003B1454"/>
    <w:rsid w:val="003B18B6"/>
    <w:rsid w:val="003C161B"/>
    <w:rsid w:val="003C37BA"/>
    <w:rsid w:val="003C59E0"/>
    <w:rsid w:val="003C699F"/>
    <w:rsid w:val="003C6C8D"/>
    <w:rsid w:val="003D051A"/>
    <w:rsid w:val="003D1A95"/>
    <w:rsid w:val="003D2656"/>
    <w:rsid w:val="003D4F95"/>
    <w:rsid w:val="003D5F42"/>
    <w:rsid w:val="003D60A9"/>
    <w:rsid w:val="003D6203"/>
    <w:rsid w:val="003F1734"/>
    <w:rsid w:val="003F2738"/>
    <w:rsid w:val="003F4C97"/>
    <w:rsid w:val="003F5E86"/>
    <w:rsid w:val="003F666D"/>
    <w:rsid w:val="003F7FE6"/>
    <w:rsid w:val="00400193"/>
    <w:rsid w:val="00405AD0"/>
    <w:rsid w:val="00411445"/>
    <w:rsid w:val="00416F2C"/>
    <w:rsid w:val="004212E7"/>
    <w:rsid w:val="00423C88"/>
    <w:rsid w:val="0042446D"/>
    <w:rsid w:val="0042766E"/>
    <w:rsid w:val="00427BF8"/>
    <w:rsid w:val="00431301"/>
    <w:rsid w:val="00431C02"/>
    <w:rsid w:val="004327C9"/>
    <w:rsid w:val="00437395"/>
    <w:rsid w:val="00445047"/>
    <w:rsid w:val="00447129"/>
    <w:rsid w:val="00450D85"/>
    <w:rsid w:val="004529FB"/>
    <w:rsid w:val="00453D63"/>
    <w:rsid w:val="0046011C"/>
    <w:rsid w:val="00463E39"/>
    <w:rsid w:val="004657FC"/>
    <w:rsid w:val="0046619C"/>
    <w:rsid w:val="004733F6"/>
    <w:rsid w:val="00474E69"/>
    <w:rsid w:val="00480112"/>
    <w:rsid w:val="004806B9"/>
    <w:rsid w:val="00481565"/>
    <w:rsid w:val="00483ABC"/>
    <w:rsid w:val="00486664"/>
    <w:rsid w:val="004871F5"/>
    <w:rsid w:val="00495475"/>
    <w:rsid w:val="0049621B"/>
    <w:rsid w:val="004976EE"/>
    <w:rsid w:val="004A1B58"/>
    <w:rsid w:val="004A59AE"/>
    <w:rsid w:val="004B264D"/>
    <w:rsid w:val="004B696C"/>
    <w:rsid w:val="004B7713"/>
    <w:rsid w:val="004C1895"/>
    <w:rsid w:val="004C22BE"/>
    <w:rsid w:val="004C43E9"/>
    <w:rsid w:val="004C49F5"/>
    <w:rsid w:val="004C6D40"/>
    <w:rsid w:val="004C7858"/>
    <w:rsid w:val="004D3587"/>
    <w:rsid w:val="004E6AA8"/>
    <w:rsid w:val="004F0C3C"/>
    <w:rsid w:val="004F63FC"/>
    <w:rsid w:val="00503771"/>
    <w:rsid w:val="00505A92"/>
    <w:rsid w:val="00505CCD"/>
    <w:rsid w:val="00506FD5"/>
    <w:rsid w:val="00507AE0"/>
    <w:rsid w:val="00512201"/>
    <w:rsid w:val="005203F1"/>
    <w:rsid w:val="00521BC3"/>
    <w:rsid w:val="00524CEE"/>
    <w:rsid w:val="00533632"/>
    <w:rsid w:val="00534801"/>
    <w:rsid w:val="00537A67"/>
    <w:rsid w:val="00540C5C"/>
    <w:rsid w:val="00541E6E"/>
    <w:rsid w:val="0054251F"/>
    <w:rsid w:val="00542ED0"/>
    <w:rsid w:val="00546E05"/>
    <w:rsid w:val="005520D8"/>
    <w:rsid w:val="00556CF1"/>
    <w:rsid w:val="0056244C"/>
    <w:rsid w:val="005631EF"/>
    <w:rsid w:val="00563DB2"/>
    <w:rsid w:val="005762A7"/>
    <w:rsid w:val="00577BCB"/>
    <w:rsid w:val="005916D7"/>
    <w:rsid w:val="0059427F"/>
    <w:rsid w:val="005A2913"/>
    <w:rsid w:val="005A4608"/>
    <w:rsid w:val="005A5843"/>
    <w:rsid w:val="005A698C"/>
    <w:rsid w:val="005B5895"/>
    <w:rsid w:val="005C082F"/>
    <w:rsid w:val="005C7BB0"/>
    <w:rsid w:val="005C7D23"/>
    <w:rsid w:val="005D1215"/>
    <w:rsid w:val="005D163E"/>
    <w:rsid w:val="005D40CB"/>
    <w:rsid w:val="005E0799"/>
    <w:rsid w:val="005E30F1"/>
    <w:rsid w:val="005E4996"/>
    <w:rsid w:val="005E4F0C"/>
    <w:rsid w:val="005E5F89"/>
    <w:rsid w:val="005F2730"/>
    <w:rsid w:val="005F5A80"/>
    <w:rsid w:val="005F6421"/>
    <w:rsid w:val="005F6CAC"/>
    <w:rsid w:val="005F7FE4"/>
    <w:rsid w:val="00600EFC"/>
    <w:rsid w:val="006042F9"/>
    <w:rsid w:val="006044FF"/>
    <w:rsid w:val="00607CC5"/>
    <w:rsid w:val="00610A13"/>
    <w:rsid w:val="00610A9F"/>
    <w:rsid w:val="006125F9"/>
    <w:rsid w:val="006153CF"/>
    <w:rsid w:val="006167BF"/>
    <w:rsid w:val="00621690"/>
    <w:rsid w:val="0062222D"/>
    <w:rsid w:val="00622A84"/>
    <w:rsid w:val="00626F01"/>
    <w:rsid w:val="00627C17"/>
    <w:rsid w:val="00633014"/>
    <w:rsid w:val="0063437B"/>
    <w:rsid w:val="00665EB0"/>
    <w:rsid w:val="006673CA"/>
    <w:rsid w:val="00673C26"/>
    <w:rsid w:val="0067434D"/>
    <w:rsid w:val="00674DE5"/>
    <w:rsid w:val="0067520C"/>
    <w:rsid w:val="006756D6"/>
    <w:rsid w:val="00676181"/>
    <w:rsid w:val="006766E8"/>
    <w:rsid w:val="006812AF"/>
    <w:rsid w:val="0068327D"/>
    <w:rsid w:val="00691534"/>
    <w:rsid w:val="00694AF0"/>
    <w:rsid w:val="00696C73"/>
    <w:rsid w:val="006A4686"/>
    <w:rsid w:val="006B0369"/>
    <w:rsid w:val="006B0E9E"/>
    <w:rsid w:val="006B24D6"/>
    <w:rsid w:val="006B24E6"/>
    <w:rsid w:val="006B43FD"/>
    <w:rsid w:val="006B5AE4"/>
    <w:rsid w:val="006B6358"/>
    <w:rsid w:val="006B7844"/>
    <w:rsid w:val="006C3F0A"/>
    <w:rsid w:val="006C6056"/>
    <w:rsid w:val="006D1507"/>
    <w:rsid w:val="006D4054"/>
    <w:rsid w:val="006D596D"/>
    <w:rsid w:val="006E02EC"/>
    <w:rsid w:val="006E73E6"/>
    <w:rsid w:val="006F7575"/>
    <w:rsid w:val="007007D2"/>
    <w:rsid w:val="00700A07"/>
    <w:rsid w:val="00701A28"/>
    <w:rsid w:val="0071140F"/>
    <w:rsid w:val="007170D0"/>
    <w:rsid w:val="007211B1"/>
    <w:rsid w:val="00725E93"/>
    <w:rsid w:val="007277DA"/>
    <w:rsid w:val="0073440E"/>
    <w:rsid w:val="00735D0B"/>
    <w:rsid w:val="007424A8"/>
    <w:rsid w:val="00746187"/>
    <w:rsid w:val="0075223A"/>
    <w:rsid w:val="00757443"/>
    <w:rsid w:val="007614F5"/>
    <w:rsid w:val="0076254F"/>
    <w:rsid w:val="00764DBF"/>
    <w:rsid w:val="00776670"/>
    <w:rsid w:val="007801F5"/>
    <w:rsid w:val="00783CA4"/>
    <w:rsid w:val="007842FB"/>
    <w:rsid w:val="00786124"/>
    <w:rsid w:val="0079514B"/>
    <w:rsid w:val="00795252"/>
    <w:rsid w:val="007A2394"/>
    <w:rsid w:val="007A2DC1"/>
    <w:rsid w:val="007A67B8"/>
    <w:rsid w:val="007B007F"/>
    <w:rsid w:val="007B150F"/>
    <w:rsid w:val="007C0A78"/>
    <w:rsid w:val="007C3122"/>
    <w:rsid w:val="007C547B"/>
    <w:rsid w:val="007D14C4"/>
    <w:rsid w:val="007D1FC1"/>
    <w:rsid w:val="007D3319"/>
    <w:rsid w:val="007D335D"/>
    <w:rsid w:val="007E1440"/>
    <w:rsid w:val="007E3314"/>
    <w:rsid w:val="007E4B03"/>
    <w:rsid w:val="007E6FDF"/>
    <w:rsid w:val="007F1693"/>
    <w:rsid w:val="007F324B"/>
    <w:rsid w:val="007F4887"/>
    <w:rsid w:val="0080553C"/>
    <w:rsid w:val="00805B46"/>
    <w:rsid w:val="00807616"/>
    <w:rsid w:val="0081020E"/>
    <w:rsid w:val="00811946"/>
    <w:rsid w:val="00811E76"/>
    <w:rsid w:val="00812760"/>
    <w:rsid w:val="00813614"/>
    <w:rsid w:val="0081775E"/>
    <w:rsid w:val="008177DE"/>
    <w:rsid w:val="00825DC2"/>
    <w:rsid w:val="008312C1"/>
    <w:rsid w:val="00834220"/>
    <w:rsid w:val="00834AD3"/>
    <w:rsid w:val="00843147"/>
    <w:rsid w:val="00843795"/>
    <w:rsid w:val="008447F2"/>
    <w:rsid w:val="00847F0F"/>
    <w:rsid w:val="00852448"/>
    <w:rsid w:val="008538F7"/>
    <w:rsid w:val="0086520B"/>
    <w:rsid w:val="00865CF3"/>
    <w:rsid w:val="0087036C"/>
    <w:rsid w:val="008726C6"/>
    <w:rsid w:val="00877F6C"/>
    <w:rsid w:val="0088258A"/>
    <w:rsid w:val="008847E5"/>
    <w:rsid w:val="00886332"/>
    <w:rsid w:val="0089448A"/>
    <w:rsid w:val="00894C9E"/>
    <w:rsid w:val="00897877"/>
    <w:rsid w:val="008A26D9"/>
    <w:rsid w:val="008A3BF1"/>
    <w:rsid w:val="008A7B5B"/>
    <w:rsid w:val="008C0C29"/>
    <w:rsid w:val="008D5A49"/>
    <w:rsid w:val="008D76BC"/>
    <w:rsid w:val="008E18EB"/>
    <w:rsid w:val="008E2C55"/>
    <w:rsid w:val="008E4196"/>
    <w:rsid w:val="008E555C"/>
    <w:rsid w:val="008E5EB9"/>
    <w:rsid w:val="008E5F29"/>
    <w:rsid w:val="008E7DBA"/>
    <w:rsid w:val="008F05AD"/>
    <w:rsid w:val="008F0829"/>
    <w:rsid w:val="008F19E2"/>
    <w:rsid w:val="008F3638"/>
    <w:rsid w:val="008F4441"/>
    <w:rsid w:val="008F47D0"/>
    <w:rsid w:val="008F6B20"/>
    <w:rsid w:val="008F6F31"/>
    <w:rsid w:val="008F74DF"/>
    <w:rsid w:val="00901D6D"/>
    <w:rsid w:val="0090576B"/>
    <w:rsid w:val="009057A9"/>
    <w:rsid w:val="0090765F"/>
    <w:rsid w:val="009127BA"/>
    <w:rsid w:val="009227A6"/>
    <w:rsid w:val="00930CFC"/>
    <w:rsid w:val="00933EC1"/>
    <w:rsid w:val="0093454C"/>
    <w:rsid w:val="0093620A"/>
    <w:rsid w:val="0094572B"/>
    <w:rsid w:val="009530DB"/>
    <w:rsid w:val="00953676"/>
    <w:rsid w:val="00956F30"/>
    <w:rsid w:val="00963EB8"/>
    <w:rsid w:val="009705EE"/>
    <w:rsid w:val="00976E4D"/>
    <w:rsid w:val="00977927"/>
    <w:rsid w:val="009806DD"/>
    <w:rsid w:val="0098135C"/>
    <w:rsid w:val="0098156A"/>
    <w:rsid w:val="00982A97"/>
    <w:rsid w:val="00985FD8"/>
    <w:rsid w:val="009860E5"/>
    <w:rsid w:val="00986325"/>
    <w:rsid w:val="009873D6"/>
    <w:rsid w:val="00991BAC"/>
    <w:rsid w:val="00995B6F"/>
    <w:rsid w:val="009972E0"/>
    <w:rsid w:val="009A5073"/>
    <w:rsid w:val="009A6912"/>
    <w:rsid w:val="009A6EA0"/>
    <w:rsid w:val="009C1335"/>
    <w:rsid w:val="009C1AB2"/>
    <w:rsid w:val="009C1BB0"/>
    <w:rsid w:val="009C701A"/>
    <w:rsid w:val="009C7251"/>
    <w:rsid w:val="009D005A"/>
    <w:rsid w:val="009D1B6C"/>
    <w:rsid w:val="009E057D"/>
    <w:rsid w:val="009E0796"/>
    <w:rsid w:val="009E2E91"/>
    <w:rsid w:val="009F3D8F"/>
    <w:rsid w:val="009F6EBE"/>
    <w:rsid w:val="009F7835"/>
    <w:rsid w:val="00A04D16"/>
    <w:rsid w:val="00A05CC0"/>
    <w:rsid w:val="00A12625"/>
    <w:rsid w:val="00A139F5"/>
    <w:rsid w:val="00A2232A"/>
    <w:rsid w:val="00A270E6"/>
    <w:rsid w:val="00A3196F"/>
    <w:rsid w:val="00A3440D"/>
    <w:rsid w:val="00A365F4"/>
    <w:rsid w:val="00A4235B"/>
    <w:rsid w:val="00A43485"/>
    <w:rsid w:val="00A44097"/>
    <w:rsid w:val="00A47D80"/>
    <w:rsid w:val="00A53132"/>
    <w:rsid w:val="00A54B0F"/>
    <w:rsid w:val="00A563F2"/>
    <w:rsid w:val="00A566E8"/>
    <w:rsid w:val="00A634AE"/>
    <w:rsid w:val="00A67349"/>
    <w:rsid w:val="00A72D8D"/>
    <w:rsid w:val="00A80A19"/>
    <w:rsid w:val="00A80D43"/>
    <w:rsid w:val="00A810F9"/>
    <w:rsid w:val="00A83363"/>
    <w:rsid w:val="00A843F6"/>
    <w:rsid w:val="00A86ECC"/>
    <w:rsid w:val="00A86FCC"/>
    <w:rsid w:val="00A9084F"/>
    <w:rsid w:val="00AA710D"/>
    <w:rsid w:val="00AA7A1E"/>
    <w:rsid w:val="00AB1319"/>
    <w:rsid w:val="00AB64F3"/>
    <w:rsid w:val="00AB6D25"/>
    <w:rsid w:val="00AC0EFD"/>
    <w:rsid w:val="00AC20C9"/>
    <w:rsid w:val="00AC3CE1"/>
    <w:rsid w:val="00AC4904"/>
    <w:rsid w:val="00AD3130"/>
    <w:rsid w:val="00AD487E"/>
    <w:rsid w:val="00AE2D4B"/>
    <w:rsid w:val="00AE4F99"/>
    <w:rsid w:val="00AE6E8D"/>
    <w:rsid w:val="00AE7F66"/>
    <w:rsid w:val="00AF6A69"/>
    <w:rsid w:val="00B064BD"/>
    <w:rsid w:val="00B11B69"/>
    <w:rsid w:val="00B135BC"/>
    <w:rsid w:val="00B14952"/>
    <w:rsid w:val="00B17158"/>
    <w:rsid w:val="00B238E0"/>
    <w:rsid w:val="00B3019C"/>
    <w:rsid w:val="00B31E5A"/>
    <w:rsid w:val="00B32ECD"/>
    <w:rsid w:val="00B33CD6"/>
    <w:rsid w:val="00B34283"/>
    <w:rsid w:val="00B34E94"/>
    <w:rsid w:val="00B45325"/>
    <w:rsid w:val="00B62F86"/>
    <w:rsid w:val="00B63DC0"/>
    <w:rsid w:val="00B653AB"/>
    <w:rsid w:val="00B65F9E"/>
    <w:rsid w:val="00B66B0E"/>
    <w:rsid w:val="00B66B19"/>
    <w:rsid w:val="00B72CDD"/>
    <w:rsid w:val="00B75D98"/>
    <w:rsid w:val="00B82A26"/>
    <w:rsid w:val="00B83984"/>
    <w:rsid w:val="00B914E9"/>
    <w:rsid w:val="00B91AE6"/>
    <w:rsid w:val="00B93DA6"/>
    <w:rsid w:val="00B956EE"/>
    <w:rsid w:val="00BA25A5"/>
    <w:rsid w:val="00BA2BA1"/>
    <w:rsid w:val="00BA3447"/>
    <w:rsid w:val="00BA3562"/>
    <w:rsid w:val="00BA7BB3"/>
    <w:rsid w:val="00BB4F09"/>
    <w:rsid w:val="00BC10EA"/>
    <w:rsid w:val="00BC18CD"/>
    <w:rsid w:val="00BC40A6"/>
    <w:rsid w:val="00BC40E7"/>
    <w:rsid w:val="00BC6AD3"/>
    <w:rsid w:val="00BD41AD"/>
    <w:rsid w:val="00BD4E33"/>
    <w:rsid w:val="00BF0392"/>
    <w:rsid w:val="00BF33BF"/>
    <w:rsid w:val="00C00E8A"/>
    <w:rsid w:val="00C030DE"/>
    <w:rsid w:val="00C040C6"/>
    <w:rsid w:val="00C051A8"/>
    <w:rsid w:val="00C12CAB"/>
    <w:rsid w:val="00C12F44"/>
    <w:rsid w:val="00C155B5"/>
    <w:rsid w:val="00C176F1"/>
    <w:rsid w:val="00C20214"/>
    <w:rsid w:val="00C22105"/>
    <w:rsid w:val="00C2270F"/>
    <w:rsid w:val="00C244B6"/>
    <w:rsid w:val="00C27BF1"/>
    <w:rsid w:val="00C30BE8"/>
    <w:rsid w:val="00C3252D"/>
    <w:rsid w:val="00C3702F"/>
    <w:rsid w:val="00C431C4"/>
    <w:rsid w:val="00C4415B"/>
    <w:rsid w:val="00C4500A"/>
    <w:rsid w:val="00C46F94"/>
    <w:rsid w:val="00C53002"/>
    <w:rsid w:val="00C55C80"/>
    <w:rsid w:val="00C576D8"/>
    <w:rsid w:val="00C6451E"/>
    <w:rsid w:val="00C64A37"/>
    <w:rsid w:val="00C67397"/>
    <w:rsid w:val="00C709B1"/>
    <w:rsid w:val="00C7158E"/>
    <w:rsid w:val="00C7241D"/>
    <w:rsid w:val="00C7250B"/>
    <w:rsid w:val="00C7346B"/>
    <w:rsid w:val="00C73EDB"/>
    <w:rsid w:val="00C77C0E"/>
    <w:rsid w:val="00C86851"/>
    <w:rsid w:val="00C90C96"/>
    <w:rsid w:val="00C91687"/>
    <w:rsid w:val="00C918F8"/>
    <w:rsid w:val="00C924A8"/>
    <w:rsid w:val="00C9329E"/>
    <w:rsid w:val="00C945FE"/>
    <w:rsid w:val="00C94941"/>
    <w:rsid w:val="00C95A8C"/>
    <w:rsid w:val="00C96FAA"/>
    <w:rsid w:val="00C97A04"/>
    <w:rsid w:val="00CA0230"/>
    <w:rsid w:val="00CA107B"/>
    <w:rsid w:val="00CA484D"/>
    <w:rsid w:val="00CA4FB6"/>
    <w:rsid w:val="00CB2F90"/>
    <w:rsid w:val="00CB3670"/>
    <w:rsid w:val="00CB46BD"/>
    <w:rsid w:val="00CC42E6"/>
    <w:rsid w:val="00CC676A"/>
    <w:rsid w:val="00CC739E"/>
    <w:rsid w:val="00CD0CE3"/>
    <w:rsid w:val="00CD22F2"/>
    <w:rsid w:val="00CD4597"/>
    <w:rsid w:val="00CD4BC1"/>
    <w:rsid w:val="00CD4EA1"/>
    <w:rsid w:val="00CD58B7"/>
    <w:rsid w:val="00CE2B24"/>
    <w:rsid w:val="00CE537C"/>
    <w:rsid w:val="00CF03ED"/>
    <w:rsid w:val="00CF1D5D"/>
    <w:rsid w:val="00CF2427"/>
    <w:rsid w:val="00CF4099"/>
    <w:rsid w:val="00CF49AA"/>
    <w:rsid w:val="00CF5DB6"/>
    <w:rsid w:val="00D00796"/>
    <w:rsid w:val="00D12F42"/>
    <w:rsid w:val="00D261A2"/>
    <w:rsid w:val="00D32CEE"/>
    <w:rsid w:val="00D33A6A"/>
    <w:rsid w:val="00D419AD"/>
    <w:rsid w:val="00D442FC"/>
    <w:rsid w:val="00D505ED"/>
    <w:rsid w:val="00D5762E"/>
    <w:rsid w:val="00D616D2"/>
    <w:rsid w:val="00D63B5F"/>
    <w:rsid w:val="00D664A5"/>
    <w:rsid w:val="00D70724"/>
    <w:rsid w:val="00D70EF7"/>
    <w:rsid w:val="00D71845"/>
    <w:rsid w:val="00D7542B"/>
    <w:rsid w:val="00D8397C"/>
    <w:rsid w:val="00D841AE"/>
    <w:rsid w:val="00D94EED"/>
    <w:rsid w:val="00D94F17"/>
    <w:rsid w:val="00D96026"/>
    <w:rsid w:val="00DA59DA"/>
    <w:rsid w:val="00DA6C74"/>
    <w:rsid w:val="00DA7C1C"/>
    <w:rsid w:val="00DB147A"/>
    <w:rsid w:val="00DB1B7A"/>
    <w:rsid w:val="00DB648E"/>
    <w:rsid w:val="00DC2CCD"/>
    <w:rsid w:val="00DC6708"/>
    <w:rsid w:val="00DD011A"/>
    <w:rsid w:val="00DD172E"/>
    <w:rsid w:val="00DE230D"/>
    <w:rsid w:val="00DE36AB"/>
    <w:rsid w:val="00DF0F76"/>
    <w:rsid w:val="00DF1F32"/>
    <w:rsid w:val="00E00216"/>
    <w:rsid w:val="00E01436"/>
    <w:rsid w:val="00E045BD"/>
    <w:rsid w:val="00E06437"/>
    <w:rsid w:val="00E10A2C"/>
    <w:rsid w:val="00E111D7"/>
    <w:rsid w:val="00E17B77"/>
    <w:rsid w:val="00E23337"/>
    <w:rsid w:val="00E2353C"/>
    <w:rsid w:val="00E241C8"/>
    <w:rsid w:val="00E259EA"/>
    <w:rsid w:val="00E32061"/>
    <w:rsid w:val="00E32F08"/>
    <w:rsid w:val="00E33D15"/>
    <w:rsid w:val="00E367C9"/>
    <w:rsid w:val="00E37EEF"/>
    <w:rsid w:val="00E42FF9"/>
    <w:rsid w:val="00E438C9"/>
    <w:rsid w:val="00E4714C"/>
    <w:rsid w:val="00E47BB6"/>
    <w:rsid w:val="00E51AEB"/>
    <w:rsid w:val="00E522A7"/>
    <w:rsid w:val="00E54452"/>
    <w:rsid w:val="00E63B0C"/>
    <w:rsid w:val="00E664C5"/>
    <w:rsid w:val="00E671A2"/>
    <w:rsid w:val="00E67A70"/>
    <w:rsid w:val="00E75AB9"/>
    <w:rsid w:val="00E76D26"/>
    <w:rsid w:val="00E76EE5"/>
    <w:rsid w:val="00E8484A"/>
    <w:rsid w:val="00E85163"/>
    <w:rsid w:val="00E86730"/>
    <w:rsid w:val="00E9372F"/>
    <w:rsid w:val="00E94A67"/>
    <w:rsid w:val="00EA6C4E"/>
    <w:rsid w:val="00EA777E"/>
    <w:rsid w:val="00EB108B"/>
    <w:rsid w:val="00EB1390"/>
    <w:rsid w:val="00EB263A"/>
    <w:rsid w:val="00EB2C71"/>
    <w:rsid w:val="00EB3333"/>
    <w:rsid w:val="00EB3A19"/>
    <w:rsid w:val="00EB4340"/>
    <w:rsid w:val="00EB556D"/>
    <w:rsid w:val="00EB5A7D"/>
    <w:rsid w:val="00EB7BE5"/>
    <w:rsid w:val="00ED3D9F"/>
    <w:rsid w:val="00ED55C0"/>
    <w:rsid w:val="00ED682B"/>
    <w:rsid w:val="00EE02AE"/>
    <w:rsid w:val="00EE41D5"/>
    <w:rsid w:val="00EE516D"/>
    <w:rsid w:val="00EE621C"/>
    <w:rsid w:val="00EF0A9A"/>
    <w:rsid w:val="00EF624C"/>
    <w:rsid w:val="00EF6EB0"/>
    <w:rsid w:val="00EF78B4"/>
    <w:rsid w:val="00F037A4"/>
    <w:rsid w:val="00F046B8"/>
    <w:rsid w:val="00F055CE"/>
    <w:rsid w:val="00F07C21"/>
    <w:rsid w:val="00F10E97"/>
    <w:rsid w:val="00F1203C"/>
    <w:rsid w:val="00F27C8F"/>
    <w:rsid w:val="00F32749"/>
    <w:rsid w:val="00F37172"/>
    <w:rsid w:val="00F40BEA"/>
    <w:rsid w:val="00F4477E"/>
    <w:rsid w:val="00F46269"/>
    <w:rsid w:val="00F5329D"/>
    <w:rsid w:val="00F55C22"/>
    <w:rsid w:val="00F57AE3"/>
    <w:rsid w:val="00F60BA8"/>
    <w:rsid w:val="00F67D8F"/>
    <w:rsid w:val="00F74036"/>
    <w:rsid w:val="00F76AE0"/>
    <w:rsid w:val="00F800BC"/>
    <w:rsid w:val="00F802BE"/>
    <w:rsid w:val="00F80E93"/>
    <w:rsid w:val="00F8209B"/>
    <w:rsid w:val="00F86024"/>
    <w:rsid w:val="00F8611A"/>
    <w:rsid w:val="00FA5128"/>
    <w:rsid w:val="00FA53F3"/>
    <w:rsid w:val="00FA6DEF"/>
    <w:rsid w:val="00FB42D4"/>
    <w:rsid w:val="00FB5906"/>
    <w:rsid w:val="00FB762F"/>
    <w:rsid w:val="00FC2AED"/>
    <w:rsid w:val="00FC4E7D"/>
    <w:rsid w:val="00FD5AD4"/>
    <w:rsid w:val="00FD5EA7"/>
    <w:rsid w:val="00FD76F7"/>
    <w:rsid w:val="00FE2D04"/>
    <w:rsid w:val="00FE395E"/>
    <w:rsid w:val="00FF61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3143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8177DE"/>
    <w:rPr>
      <w:color w:val="954F72" w:themeColor="followedHyperlink"/>
      <w:u w:val="single"/>
    </w:rPr>
  </w:style>
  <w:style w:type="character" w:styleId="Odwoaniedokomentarza">
    <w:name w:val="annotation reference"/>
    <w:basedOn w:val="Domylnaczcionkaakapitu"/>
    <w:uiPriority w:val="99"/>
    <w:semiHidden/>
    <w:unhideWhenUsed/>
    <w:rsid w:val="005C7D23"/>
    <w:rPr>
      <w:sz w:val="16"/>
      <w:szCs w:val="16"/>
    </w:rPr>
  </w:style>
  <w:style w:type="paragraph" w:styleId="Tekstkomentarza">
    <w:name w:val="annotation text"/>
    <w:basedOn w:val="Normalny"/>
    <w:link w:val="TekstkomentarzaZnak"/>
    <w:uiPriority w:val="99"/>
    <w:semiHidden/>
    <w:unhideWhenUsed/>
    <w:rsid w:val="005C7D2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C7D2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C7D23"/>
    <w:rPr>
      <w:b/>
      <w:bCs/>
    </w:rPr>
  </w:style>
  <w:style w:type="character" w:customStyle="1" w:styleId="TematkomentarzaZnak">
    <w:name w:val="Temat komentarza Znak"/>
    <w:basedOn w:val="TekstkomentarzaZnak"/>
    <w:link w:val="Tematkomentarza"/>
    <w:uiPriority w:val="99"/>
    <w:semiHidden/>
    <w:rsid w:val="005C7D23"/>
    <w:rPr>
      <w:rFonts w:ascii="Fira Sans" w:hAnsi="Fira Sans"/>
      <w:b/>
      <w:bCs/>
      <w:sz w:val="20"/>
      <w:szCs w:val="20"/>
    </w:rPr>
  </w:style>
  <w:style w:type="paragraph" w:customStyle="1" w:styleId="Ikonawskanika">
    <w:name w:val="Ikona wskaźnika"/>
    <w:basedOn w:val="Normalny"/>
    <w:link w:val="IkonawskanikaZnak"/>
    <w:qFormat/>
    <w:rsid w:val="00EE02AE"/>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EE02AE"/>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EE02AE"/>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EE02AE"/>
    <w:rPr>
      <w:color w:val="FFFFFF" w:themeColor="background1"/>
    </w:rPr>
  </w:style>
  <w:style w:type="character" w:customStyle="1" w:styleId="WartowskanikaZnak">
    <w:name w:val="Wartość wskaźnika Znak"/>
    <w:basedOn w:val="Domylnaczcionkaakapitu"/>
    <w:link w:val="Wartowskanika"/>
    <w:rsid w:val="00EE02AE"/>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EE02AE"/>
    <w:rPr>
      <w:rFonts w:ascii="Fira Sans" w:hAnsi="Fira Sans"/>
      <w:color w:val="FFFFFF" w:themeColor="background1"/>
      <w:sz w:val="20"/>
    </w:rPr>
  </w:style>
  <w:style w:type="paragraph" w:styleId="NormalnyWeb">
    <w:name w:val="Normal (Web)"/>
    <w:basedOn w:val="Normalny"/>
    <w:uiPriority w:val="99"/>
    <w:semiHidden/>
    <w:unhideWhenUsed/>
    <w:rsid w:val="009D1B6C"/>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20317579">
      <w:bodyDiv w:val="1"/>
      <w:marLeft w:val="0"/>
      <w:marRight w:val="0"/>
      <w:marTop w:val="0"/>
      <w:marBottom w:val="0"/>
      <w:divBdr>
        <w:top w:val="none" w:sz="0" w:space="0" w:color="auto"/>
        <w:left w:val="none" w:sz="0" w:space="0" w:color="auto"/>
        <w:bottom w:val="none" w:sz="0" w:space="0" w:color="auto"/>
        <w:right w:val="none" w:sz="0" w:space="0" w:color="auto"/>
      </w:divBdr>
    </w:div>
    <w:div w:id="121715801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82038816">
      <w:bodyDiv w:val="1"/>
      <w:marLeft w:val="0"/>
      <w:marRight w:val="0"/>
      <w:marTop w:val="0"/>
      <w:marBottom w:val="0"/>
      <w:divBdr>
        <w:top w:val="none" w:sz="0" w:space="0" w:color="auto"/>
        <w:left w:val="none" w:sz="0" w:space="0" w:color="auto"/>
        <w:bottom w:val="none" w:sz="0" w:space="0" w:color="auto"/>
        <w:right w:val="none" w:sz="0" w:space="0" w:color="auto"/>
      </w:divBdr>
    </w:div>
    <w:div w:id="149437089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7939151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hyperlink" Target="http://warszawa.stat.gov.pl/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ec.europa.eu/eurostat/web/tourism/data/database"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degree-of-urbanisation/background" TargetMode="External"/><Relationship Id="rId2" Type="http://schemas.openxmlformats.org/officeDocument/2006/relationships/hyperlink" Target="https://ec.europa.eu/eurostat/web/coastal-island-outermost-regions/methodology" TargetMode="External"/><Relationship Id="rId1" Type="http://schemas.openxmlformats.org/officeDocument/2006/relationships/hyperlink" Target="https://eur-lex.europa.eu/LexUriServ/LexUriServ.do?uri=OJ:L:2011:192:0017:0032:P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RZE01\US%20Rzeszow\OST\PUBLIKACJE\PUBLIKACJE%202022\Turystyka%20w%20Unii%20Europejskiej%20-%20dane%20za%202020%20r\DANE\tour_occ_arm__custom_TURY&#346;CI%20OG&#211;&#321;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RZE01\US%20Rzeszow\OST\PUBLIKACJE\PUBLIKACJE%202022\Turystyka%20w%20Unii%20Europejskiej%20-%20dane%20za%202020%20r\DANE\Wyk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RZE01\US%20Rzeszow\OST\PUBLIKACJE\PUBLIKACJE%202022\Turystyka%20w%20Unii%20Europejskiej%20-%20dane%20za%202020%20r\DANE\tour_occ_nim__noclegi_og&#243;lem.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35205992509362E-2"/>
          <c:y val="0.10438763449270828"/>
          <c:w val="0.88395553382156722"/>
          <c:h val="0.68886199618306143"/>
        </c:manualLayout>
      </c:layout>
      <c:barChart>
        <c:barDir val="col"/>
        <c:grouping val="clustered"/>
        <c:varyColors val="0"/>
        <c:ser>
          <c:idx val="0"/>
          <c:order val="0"/>
          <c:tx>
            <c:v>2019</c:v>
          </c:tx>
          <c:spPr>
            <a:solidFill>
              <a:srgbClr val="001D77"/>
            </a:solidFill>
            <a:ln>
              <a:noFill/>
            </a:ln>
            <a:effectLst/>
          </c:spPr>
          <c:invertIfNegative val="0"/>
          <c:cat>
            <c:strRef>
              <c:f>Arkusz2!$B$2:$M$2</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Arkusz2!$B$3:$M$3</c:f>
              <c:numCache>
                <c:formatCode>General</c:formatCode>
                <c:ptCount val="12"/>
                <c:pt idx="0">
                  <c:v>49.393002000000003</c:v>
                </c:pt>
                <c:pt idx="1">
                  <c:v>54.220585</c:v>
                </c:pt>
                <c:pt idx="2">
                  <c:v>65.065308000000002</c:v>
                </c:pt>
                <c:pt idx="3">
                  <c:v>79.174527999999995</c:v>
                </c:pt>
                <c:pt idx="4">
                  <c:v>89.521502999999996</c:v>
                </c:pt>
                <c:pt idx="5">
                  <c:v>108.46336100000001</c:v>
                </c:pt>
                <c:pt idx="6">
                  <c:v>125.902591</c:v>
                </c:pt>
                <c:pt idx="7">
                  <c:v>131.94210899999999</c:v>
                </c:pt>
                <c:pt idx="8">
                  <c:v>102.768889</c:v>
                </c:pt>
                <c:pt idx="9">
                  <c:v>80.319813999999994</c:v>
                </c:pt>
                <c:pt idx="10">
                  <c:v>60.627029</c:v>
                </c:pt>
                <c:pt idx="11">
                  <c:v>58.601866999999999</c:v>
                </c:pt>
              </c:numCache>
            </c:numRef>
          </c:val>
          <c:extLst>
            <c:ext xmlns:c16="http://schemas.microsoft.com/office/drawing/2014/chart" uri="{C3380CC4-5D6E-409C-BE32-E72D297353CC}">
              <c16:uniqueId val="{00000000-3757-4FC5-BB1A-EAC9F0D87C8C}"/>
            </c:ext>
          </c:extLst>
        </c:ser>
        <c:ser>
          <c:idx val="3"/>
          <c:order val="3"/>
          <c:tx>
            <c:v>2020</c:v>
          </c:tx>
          <c:spPr>
            <a:solidFill>
              <a:srgbClr val="008C43"/>
            </a:solidFill>
            <a:ln>
              <a:noFill/>
            </a:ln>
            <a:effectLst/>
          </c:spPr>
          <c:invertIfNegative val="0"/>
          <c:cat>
            <c:strRef>
              <c:f>Arkusz2!$B$2:$M$2</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Arkusz2!$B$6:$M$6</c:f>
              <c:numCache>
                <c:formatCode>#,##0</c:formatCode>
                <c:ptCount val="12"/>
                <c:pt idx="0">
                  <c:v>52.276975</c:v>
                </c:pt>
                <c:pt idx="1">
                  <c:v>56.433788999999997</c:v>
                </c:pt>
                <c:pt idx="2">
                  <c:v>21.512181000000002</c:v>
                </c:pt>
                <c:pt idx="3">
                  <c:v>2.9062600000000001</c:v>
                </c:pt>
                <c:pt idx="4">
                  <c:v>8.9913019999999992</c:v>
                </c:pt>
                <c:pt idx="5">
                  <c:v>32.358929000000003</c:v>
                </c:pt>
                <c:pt idx="6">
                  <c:v>77.559629000000001</c:v>
                </c:pt>
                <c:pt idx="7">
                  <c:v>92.594787999999994</c:v>
                </c:pt>
                <c:pt idx="8">
                  <c:v>57.562733999999999</c:v>
                </c:pt>
                <c:pt idx="9">
                  <c:v>37.165436</c:v>
                </c:pt>
                <c:pt idx="10">
                  <c:v>12.081524</c:v>
                </c:pt>
                <c:pt idx="11">
                  <c:v>11.270576</c:v>
                </c:pt>
              </c:numCache>
            </c:numRef>
          </c:val>
          <c:extLst>
            <c:ext xmlns:c16="http://schemas.microsoft.com/office/drawing/2014/chart" uri="{C3380CC4-5D6E-409C-BE32-E72D297353CC}">
              <c16:uniqueId val="{00000001-3757-4FC5-BB1A-EAC9F0D87C8C}"/>
            </c:ext>
          </c:extLst>
        </c:ser>
        <c:dLbls>
          <c:showLegendKey val="0"/>
          <c:showVal val="0"/>
          <c:showCatName val="0"/>
          <c:showSerName val="0"/>
          <c:showPercent val="0"/>
          <c:showBubbleSize val="0"/>
        </c:dLbls>
        <c:gapWidth val="75"/>
        <c:overlap val="-27"/>
        <c:axId val="-975655328"/>
        <c:axId val="-975652608"/>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Arkusz2!$B$2:$M$2</c15:sqref>
                        </c15:formulaRef>
                      </c:ext>
                    </c:extLst>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extLst>
                      <c:ext uri="{02D57815-91ED-43cb-92C2-25804820EDAC}">
                        <c15:formulaRef>
                          <c15:sqref>Arkusz2!$B$4:$M$4</c15:sqref>
                        </c15:formulaRef>
                      </c:ext>
                    </c:extLst>
                    <c:numCache>
                      <c:formatCode>General</c:formatCode>
                      <c:ptCount val="12"/>
                    </c:numCache>
                  </c:numRef>
                </c:val>
                <c:extLst>
                  <c:ext xmlns:c16="http://schemas.microsoft.com/office/drawing/2014/chart" uri="{C3380CC4-5D6E-409C-BE32-E72D297353CC}">
                    <c16:uniqueId val="{00000002-3757-4FC5-BB1A-EAC9F0D87C8C}"/>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Arkusz2!$B$2:$M$2</c15:sqref>
                        </c15:formulaRef>
                      </c:ext>
                    </c:extLst>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Arkusz2!$B$5:$M$5</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3-3757-4FC5-BB1A-EAC9F0D87C8C}"/>
                  </c:ext>
                </c:extLst>
              </c15:ser>
            </c15:filteredBarSeries>
          </c:ext>
        </c:extLst>
      </c:barChart>
      <c:catAx>
        <c:axId val="-97565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975652608"/>
        <c:crosses val="autoZero"/>
        <c:auto val="1"/>
        <c:lblAlgn val="ctr"/>
        <c:lblOffset val="100"/>
        <c:noMultiLvlLbl val="0"/>
      </c:catAx>
      <c:valAx>
        <c:axId val="-97565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975655328"/>
        <c:crosses val="autoZero"/>
        <c:crossBetween val="between"/>
      </c:valAx>
      <c:spPr>
        <a:noFill/>
        <a:ln>
          <a:noFill/>
        </a:ln>
        <a:effectLst/>
      </c:spPr>
    </c:plotArea>
    <c:legend>
      <c:legendPos val="b"/>
      <c:layout>
        <c:manualLayout>
          <c:xMode val="edge"/>
          <c:yMode val="edge"/>
          <c:x val="0.43027050030795239"/>
          <c:y val="0.94025620756195483"/>
          <c:w val="0.2074261914731837"/>
          <c:h val="4.923884514435695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664124961323"/>
          <c:y val="2.4488368025188036E-2"/>
          <c:w val="0.77507098522316542"/>
          <c:h val="0.89536470176666083"/>
        </c:manualLayout>
      </c:layout>
      <c:barChart>
        <c:barDir val="bar"/>
        <c:grouping val="clustered"/>
        <c:varyColors val="0"/>
        <c:ser>
          <c:idx val="0"/>
          <c:order val="0"/>
          <c:spPr>
            <a:solidFill>
              <a:srgbClr val="001D77"/>
            </a:solidFill>
            <a:ln>
              <a:noFill/>
            </a:ln>
            <a:effectLst/>
          </c:spPr>
          <c:invertIfNegative val="0"/>
          <c:cat>
            <c:strRef>
              <c:f>'Wykres 2 (EN) (2)'!$A$4:$A$30</c:f>
              <c:strCache>
                <c:ptCount val="27"/>
                <c:pt idx="0">
                  <c:v>Luxembourg</c:v>
                </c:pt>
                <c:pt idx="1">
                  <c:v>Croatia</c:v>
                </c:pt>
                <c:pt idx="2">
                  <c:v>Malta</c:v>
                </c:pt>
                <c:pt idx="3">
                  <c:v>Austria</c:v>
                </c:pt>
                <c:pt idx="4">
                  <c:v>Greece</c:v>
                </c:pt>
                <c:pt idx="5">
                  <c:v>Latvia</c:v>
                </c:pt>
                <c:pt idx="6">
                  <c:v>Cyprus</c:v>
                </c:pt>
                <c:pt idx="7">
                  <c:v>Slovenia</c:v>
                </c:pt>
                <c:pt idx="8">
                  <c:v>Portugal</c:v>
                </c:pt>
                <c:pt idx="9">
                  <c:v>Belgium</c:v>
                </c:pt>
                <c:pt idx="10">
                  <c:v>Estonia</c:v>
                </c:pt>
                <c:pt idx="11">
                  <c:v>Bulgaria</c:v>
                </c:pt>
                <c:pt idx="12">
                  <c:v>Italy</c:v>
                </c:pt>
                <c:pt idx="13">
                  <c:v>Spain</c:v>
                </c:pt>
                <c:pt idx="14">
                  <c:v>Netherlands</c:v>
                </c:pt>
                <c:pt idx="15">
                  <c:v>Slovakia</c:v>
                </c:pt>
                <c:pt idx="16">
                  <c:v>Czechia</c:v>
                </c:pt>
                <c:pt idx="17">
                  <c:v>Hungary</c:v>
                </c:pt>
                <c:pt idx="18">
                  <c:v>Lithuania</c:v>
                </c:pt>
                <c:pt idx="19">
                  <c:v>Denmark</c:v>
                </c:pt>
                <c:pt idx="20">
                  <c:v>France</c:v>
                </c:pt>
                <c:pt idx="21">
                  <c:v>Ireland</c:v>
                </c:pt>
                <c:pt idx="22">
                  <c:v>Germany</c:v>
                </c:pt>
                <c:pt idx="23">
                  <c:v>Poland</c:v>
                </c:pt>
                <c:pt idx="24">
                  <c:v>Finland</c:v>
                </c:pt>
                <c:pt idx="25">
                  <c:v>Sweden</c:v>
                </c:pt>
                <c:pt idx="26">
                  <c:v>Romania</c:v>
                </c:pt>
              </c:strCache>
            </c:strRef>
          </c:cat>
          <c:val>
            <c:numRef>
              <c:f>'Wykres 2 (EN) (2)'!$C$4:$C$30</c:f>
              <c:numCache>
                <c:formatCode>0.0%</c:formatCode>
                <c:ptCount val="27"/>
                <c:pt idx="0">
                  <c:v>0.80100789476895295</c:v>
                </c:pt>
                <c:pt idx="1">
                  <c:v>0.79240836072691201</c:v>
                </c:pt>
                <c:pt idx="2">
                  <c:v>0.68922112923932399</c:v>
                </c:pt>
                <c:pt idx="3">
                  <c:v>0.58312645778049899</c:v>
                </c:pt>
                <c:pt idx="4">
                  <c:v>0.55306208347803398</c:v>
                </c:pt>
                <c:pt idx="5">
                  <c:v>0.48466300687764702</c:v>
                </c:pt>
                <c:pt idx="6">
                  <c:v>0.482004176270794</c:v>
                </c:pt>
                <c:pt idx="7">
                  <c:v>0.39184514406974802</c:v>
                </c:pt>
                <c:pt idx="8">
                  <c:v>0.35147383504877899</c:v>
                </c:pt>
                <c:pt idx="9">
                  <c:v>0.35029757672322498</c:v>
                </c:pt>
                <c:pt idx="10">
                  <c:v>0.342809884333242</c:v>
                </c:pt>
                <c:pt idx="11">
                  <c:v>0.31323205927688902</c:v>
                </c:pt>
                <c:pt idx="12">
                  <c:v>0.30703226966286101</c:v>
                </c:pt>
                <c:pt idx="13">
                  <c:v>0.29352030908551602</c:v>
                </c:pt>
                <c:pt idx="14">
                  <c:v>0.26612289453771498</c:v>
                </c:pt>
                <c:pt idx="15">
                  <c:v>0.26261873650018303</c:v>
                </c:pt>
                <c:pt idx="16">
                  <c:v>0.25692653420254802</c:v>
                </c:pt>
                <c:pt idx="17">
                  <c:v>0.242671135015713</c:v>
                </c:pt>
                <c:pt idx="18">
                  <c:v>0.240204083740822</c:v>
                </c:pt>
                <c:pt idx="19">
                  <c:v>0.18087702724761201</c:v>
                </c:pt>
                <c:pt idx="20">
                  <c:v>0.160993639400556</c:v>
                </c:pt>
                <c:pt idx="21">
                  <c:v>0.14635228328998101</c:v>
                </c:pt>
                <c:pt idx="22">
                  <c:v>0.13049941798196499</c:v>
                </c:pt>
                <c:pt idx="23">
                  <c:v>0.126567005457947</c:v>
                </c:pt>
                <c:pt idx="24">
                  <c:v>0.12197695453476901</c:v>
                </c:pt>
                <c:pt idx="25">
                  <c:v>0.103030311822373</c:v>
                </c:pt>
                <c:pt idx="26">
                  <c:v>6.8771482626151806E-2</c:v>
                </c:pt>
              </c:numCache>
            </c:numRef>
          </c:val>
          <c:extLst>
            <c:ext xmlns:c16="http://schemas.microsoft.com/office/drawing/2014/chart" uri="{C3380CC4-5D6E-409C-BE32-E72D297353CC}">
              <c16:uniqueId val="{00000000-B314-4C97-A239-87301C974531}"/>
            </c:ext>
          </c:extLst>
        </c:ser>
        <c:dLbls>
          <c:showLegendKey val="0"/>
          <c:showVal val="0"/>
          <c:showCatName val="0"/>
          <c:showSerName val="0"/>
          <c:showPercent val="0"/>
          <c:showBubbleSize val="0"/>
        </c:dLbls>
        <c:gapWidth val="182"/>
        <c:axId val="-791707840"/>
        <c:axId val="-791707296"/>
      </c:barChart>
      <c:scatterChart>
        <c:scatterStyle val="lineMarker"/>
        <c:varyColors val="0"/>
        <c:ser>
          <c:idx val="1"/>
          <c:order val="1"/>
          <c:tx>
            <c:strRef>
              <c:f>'Wykres 2 (EN) (2)'!$C$32</c:f>
              <c:strCache>
                <c:ptCount val="1"/>
                <c:pt idx="0">
                  <c:v>Średnia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spPr>
              <a:ln w="19050" cap="rnd">
                <a:solidFill>
                  <a:srgbClr val="008542"/>
                </a:solidFill>
                <a:round/>
              </a:ln>
              <a:effectLst/>
            </c:spPr>
            <c:extLst>
              <c:ext xmlns:c16="http://schemas.microsoft.com/office/drawing/2014/chart" uri="{C3380CC4-5D6E-409C-BE32-E72D297353CC}">
                <c16:uniqueId val="{00000002-B314-4C97-A239-87301C974531}"/>
              </c:ext>
            </c:extLst>
          </c:dPt>
          <c:trendline>
            <c:spPr>
              <a:ln w="19050" cap="rnd">
                <a:solidFill>
                  <a:schemeClr val="accent2"/>
                </a:solidFill>
                <a:prstDash val="sysDot"/>
              </a:ln>
              <a:effectLst/>
            </c:spPr>
            <c:trendlineType val="linear"/>
            <c:dispRSqr val="0"/>
            <c:dispEq val="0"/>
          </c:trendline>
          <c:xVal>
            <c:numRef>
              <c:f>'Wykres 2 (EN) (2)'!$C$33:$C$34</c:f>
              <c:numCache>
                <c:formatCode>0.0%</c:formatCode>
                <c:ptCount val="2"/>
                <c:pt idx="0">
                  <c:v>0.33500000000000002</c:v>
                </c:pt>
                <c:pt idx="1">
                  <c:v>0.33500000000000002</c:v>
                </c:pt>
              </c:numCache>
            </c:numRef>
          </c:xVal>
          <c:yVal>
            <c:numRef>
              <c:f>'Wykres 2 (EN) (2)'!$B$33:$B$34</c:f>
              <c:numCache>
                <c:formatCode>General</c:formatCode>
                <c:ptCount val="2"/>
                <c:pt idx="0">
                  <c:v>-1</c:v>
                </c:pt>
                <c:pt idx="1">
                  <c:v>2</c:v>
                </c:pt>
              </c:numCache>
            </c:numRef>
          </c:yVal>
          <c:smooth val="0"/>
          <c:extLst>
            <c:ext xmlns:c16="http://schemas.microsoft.com/office/drawing/2014/chart" uri="{C3380CC4-5D6E-409C-BE32-E72D297353CC}">
              <c16:uniqueId val="{00000004-B314-4C97-A239-87301C974531}"/>
            </c:ext>
          </c:extLst>
        </c:ser>
        <c:dLbls>
          <c:showLegendKey val="0"/>
          <c:showVal val="0"/>
          <c:showCatName val="0"/>
          <c:showSerName val="0"/>
          <c:showPercent val="0"/>
          <c:showBubbleSize val="0"/>
        </c:dLbls>
        <c:axId val="-791711104"/>
        <c:axId val="-791711648"/>
      </c:scatterChart>
      <c:catAx>
        <c:axId val="-7917078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91707296"/>
        <c:crosses val="autoZero"/>
        <c:auto val="1"/>
        <c:lblAlgn val="ctr"/>
        <c:lblOffset val="100"/>
        <c:noMultiLvlLbl val="0"/>
      </c:catAx>
      <c:valAx>
        <c:axId val="-79170729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791707840"/>
        <c:crosses val="autoZero"/>
        <c:crossBetween val="between"/>
        <c:majorUnit val="0.2"/>
      </c:valAx>
      <c:valAx>
        <c:axId val="-791711648"/>
        <c:scaling>
          <c:orientation val="minMax"/>
          <c:max val="1"/>
          <c:min val="0"/>
        </c:scaling>
        <c:delete val="1"/>
        <c:axPos val="r"/>
        <c:numFmt formatCode="General" sourceLinked="1"/>
        <c:majorTickMark val="out"/>
        <c:minorTickMark val="none"/>
        <c:tickLblPos val="nextTo"/>
        <c:crossAx val="-791711104"/>
        <c:crosses val="max"/>
        <c:crossBetween val="midCat"/>
      </c:valAx>
      <c:valAx>
        <c:axId val="-791711104"/>
        <c:scaling>
          <c:orientation val="minMax"/>
        </c:scaling>
        <c:delete val="1"/>
        <c:axPos val="b"/>
        <c:numFmt formatCode="0.0%" sourceLinked="1"/>
        <c:majorTickMark val="out"/>
        <c:minorTickMark val="none"/>
        <c:tickLblPos val="nextTo"/>
        <c:crossAx val="-7917116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11800274694807245"/>
          <c:w val="0.86041279464043163"/>
          <c:h val="0.70110167973315374"/>
        </c:manualLayout>
      </c:layout>
      <c:barChart>
        <c:barDir val="col"/>
        <c:grouping val="clustered"/>
        <c:varyColors val="0"/>
        <c:ser>
          <c:idx val="0"/>
          <c:order val="0"/>
          <c:tx>
            <c:strRef>
              <c:f>'Sheet 1 (2)'!$A$4</c:f>
              <c:strCache>
                <c:ptCount val="1"/>
                <c:pt idx="0">
                  <c:v>2019</c:v>
                </c:pt>
              </c:strCache>
            </c:strRef>
          </c:tx>
          <c:spPr>
            <a:solidFill>
              <a:srgbClr val="001D77"/>
            </a:solidFill>
            <a:ln>
              <a:noFill/>
            </a:ln>
            <a:effectLst/>
          </c:spPr>
          <c:invertIfNegative val="0"/>
          <c:cat>
            <c:strRef>
              <c:f>'Sheet 1 (2)'!$B$3:$M$3</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 (2)'!$B$4:$M$4</c:f>
              <c:numCache>
                <c:formatCode>#,##0</c:formatCode>
                <c:ptCount val="12"/>
                <c:pt idx="0">
                  <c:v>128.69216900000001</c:v>
                </c:pt>
                <c:pt idx="1">
                  <c:v>138.456076</c:v>
                </c:pt>
                <c:pt idx="2">
                  <c:v>161.00601399999999</c:v>
                </c:pt>
                <c:pt idx="3">
                  <c:v>204.65376699999999</c:v>
                </c:pt>
                <c:pt idx="4">
                  <c:v>231.217714</c:v>
                </c:pt>
                <c:pt idx="5">
                  <c:v>318.13469500000002</c:v>
                </c:pt>
                <c:pt idx="6">
                  <c:v>444.16988400000002</c:v>
                </c:pt>
                <c:pt idx="7">
                  <c:v>481.756238</c:v>
                </c:pt>
                <c:pt idx="8">
                  <c:v>286.48358500000001</c:v>
                </c:pt>
                <c:pt idx="9">
                  <c:v>207.70540199999999</c:v>
                </c:pt>
                <c:pt idx="10">
                  <c:v>135.49424400000001</c:v>
                </c:pt>
                <c:pt idx="11">
                  <c:v>140.159246</c:v>
                </c:pt>
              </c:numCache>
            </c:numRef>
          </c:val>
          <c:extLst>
            <c:ext xmlns:c16="http://schemas.microsoft.com/office/drawing/2014/chart" uri="{C3380CC4-5D6E-409C-BE32-E72D297353CC}">
              <c16:uniqueId val="{00000000-4794-463C-B4B6-663B7453ABDA}"/>
            </c:ext>
          </c:extLst>
        </c:ser>
        <c:ser>
          <c:idx val="1"/>
          <c:order val="1"/>
          <c:tx>
            <c:strRef>
              <c:f>'Sheet 1 (2)'!$A$5</c:f>
              <c:strCache>
                <c:ptCount val="1"/>
                <c:pt idx="0">
                  <c:v>2020</c:v>
                </c:pt>
              </c:strCache>
            </c:strRef>
          </c:tx>
          <c:spPr>
            <a:solidFill>
              <a:srgbClr val="008C43"/>
            </a:solidFill>
            <a:ln>
              <a:noFill/>
            </a:ln>
            <a:effectLst/>
          </c:spPr>
          <c:invertIfNegative val="0"/>
          <c:cat>
            <c:strRef>
              <c:f>'Sheet 1 (2)'!$B$3:$M$3</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'Sheet 1 (2)'!$B$5:$M$5</c:f>
              <c:numCache>
                <c:formatCode>#,##0</c:formatCode>
                <c:ptCount val="12"/>
                <c:pt idx="0">
                  <c:v>135.06154799999999</c:v>
                </c:pt>
                <c:pt idx="1">
                  <c:v>146.97289699999999</c:v>
                </c:pt>
                <c:pt idx="2">
                  <c:v>62.710203999999997</c:v>
                </c:pt>
                <c:pt idx="3">
                  <c:v>9.7479610000000001</c:v>
                </c:pt>
                <c:pt idx="4">
                  <c:v>24.189207</c:v>
                </c:pt>
                <c:pt idx="5">
                  <c:v>94.607821999999999</c:v>
                </c:pt>
                <c:pt idx="6">
                  <c:v>267.668004</c:v>
                </c:pt>
                <c:pt idx="7">
                  <c:v>339.051917</c:v>
                </c:pt>
                <c:pt idx="8">
                  <c:v>170.76511400000001</c:v>
                </c:pt>
                <c:pt idx="9">
                  <c:v>100.40551000000001</c:v>
                </c:pt>
                <c:pt idx="10">
                  <c:v>32.731310999999998</c:v>
                </c:pt>
                <c:pt idx="11">
                  <c:v>30.301217000000001</c:v>
                </c:pt>
              </c:numCache>
            </c:numRef>
          </c:val>
          <c:extLst>
            <c:ext xmlns:c16="http://schemas.microsoft.com/office/drawing/2014/chart" uri="{C3380CC4-5D6E-409C-BE32-E72D297353CC}">
              <c16:uniqueId val="{00000001-4794-463C-B4B6-663B7453ABDA}"/>
            </c:ext>
          </c:extLst>
        </c:ser>
        <c:dLbls>
          <c:showLegendKey val="0"/>
          <c:showVal val="0"/>
          <c:showCatName val="0"/>
          <c:showSerName val="0"/>
          <c:showPercent val="0"/>
          <c:showBubbleSize val="0"/>
        </c:dLbls>
        <c:gapWidth val="75"/>
        <c:overlap val="-27"/>
        <c:axId val="-903159744"/>
        <c:axId val="-903170080"/>
      </c:barChart>
      <c:catAx>
        <c:axId val="-9031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903170080"/>
        <c:crosses val="autoZero"/>
        <c:auto val="1"/>
        <c:lblAlgn val="ctr"/>
        <c:lblOffset val="100"/>
        <c:noMultiLvlLbl val="0"/>
      </c:catAx>
      <c:valAx>
        <c:axId val="-903170080"/>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903159744"/>
        <c:crosses val="autoZero"/>
        <c:crossBetween val="between"/>
      </c:valAx>
      <c:spPr>
        <a:noFill/>
        <a:ln>
          <a:noFill/>
        </a:ln>
        <a:effectLst/>
      </c:spPr>
    </c:plotArea>
    <c:legend>
      <c:legendPos val="b"/>
      <c:layout>
        <c:manualLayout>
          <c:xMode val="edge"/>
          <c:yMode val="edge"/>
          <c:x val="0.40624496937882765"/>
          <c:y val="0.91261519393409141"/>
          <c:w val="0.1875100612423447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0.87862</cdr:x>
      <cdr:y>0.85331</cdr:y>
    </cdr:from>
    <cdr:to>
      <cdr:x>1</cdr:x>
      <cdr:y>0.9431</cdr:y>
    </cdr:to>
    <cdr:sp macro="" textlink="">
      <cdr:nvSpPr>
        <cdr:cNvPr id="2" name="Pole tekstowe 2"/>
        <cdr:cNvSpPr txBox="1">
          <a:spLocks xmlns:a="http://schemas.openxmlformats.org/drawingml/2006/main" noChangeArrowheads="1"/>
        </cdr:cNvSpPr>
      </cdr:nvSpPr>
      <cdr:spPr bwMode="auto">
        <a:xfrm xmlns:a="http://schemas.openxmlformats.org/drawingml/2006/main">
          <a:off x="4500748" y="2335376"/>
          <a:ext cx="621797" cy="2457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l-PL" sz="900">
              <a:solidFill>
                <a:sysClr val="windowText" lastClr="000000"/>
              </a:solidFill>
              <a:latin typeface="Fira Sans" panose="020B0503050000020004" pitchFamily="34" charset="0"/>
              <a:ea typeface="Fira Sans" panose="020B0503050000020004" pitchFamily="34" charset="0"/>
            </a:rPr>
            <a:t>months</a:t>
          </a:r>
        </a:p>
      </cdr:txBody>
    </cdr:sp>
  </cdr:relSizeAnchor>
</c:userShapes>
</file>

<file path=word/drawings/drawing2.xml><?xml version="1.0" encoding="utf-8"?>
<c:userShapes xmlns:c="http://schemas.openxmlformats.org/drawingml/2006/chart">
  <cdr:relSizeAnchor xmlns:cdr="http://schemas.openxmlformats.org/drawingml/2006/chartDrawing">
    <cdr:from>
      <cdr:x>0.8678</cdr:x>
      <cdr:y>0.8702</cdr:y>
    </cdr:from>
    <cdr:to>
      <cdr:x>0.99285</cdr:x>
      <cdr:y>0.95405</cdr:y>
    </cdr:to>
    <cdr:sp macro="" textlink="">
      <cdr:nvSpPr>
        <cdr:cNvPr id="2" name="Pole tekstowe 2"/>
        <cdr:cNvSpPr txBox="1">
          <a:spLocks xmlns:a="http://schemas.openxmlformats.org/drawingml/2006/main" noChangeArrowheads="1"/>
        </cdr:cNvSpPr>
      </cdr:nvSpPr>
      <cdr:spPr bwMode="auto">
        <a:xfrm xmlns:a="http://schemas.openxmlformats.org/drawingml/2006/main">
          <a:off x="4440372" y="2550141"/>
          <a:ext cx="639860" cy="2457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pl-PL" sz="900">
              <a:latin typeface="Fira Sans" panose="020B0503050000020004" pitchFamily="34" charset="0"/>
              <a:ea typeface="Fira Sans" panose="020B0503050000020004" pitchFamily="34" charset="0"/>
            </a:rPr>
            <a:t>months</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2</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FD50E-592D-47C2-AA4C-13427511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1136</Words>
  <Characters>6821</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2022-02-25T12:47:00Z</cp:lastPrinted>
  <dcterms:created xsi:type="dcterms:W3CDTF">2022-02-25T13:05:00Z</dcterms:created>
  <dcterms:modified xsi:type="dcterms:W3CDTF">2022-02-25T14:26:00Z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