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8F689" w14:textId="360160E6" w:rsidR="00976BED" w:rsidRPr="00145E8D" w:rsidRDefault="00976BED" w:rsidP="00976BED">
      <w:pPr>
        <w:spacing w:after="0" w:line="240" w:lineRule="auto"/>
        <w:rPr>
          <w:rFonts w:ascii="Fira Sans Extra Condensed SemiB" w:hAnsi="Fira Sans Extra Condensed SemiB"/>
          <w:color w:val="000000" w:themeColor="text1"/>
          <w:sz w:val="40"/>
          <w:szCs w:val="26"/>
          <w:shd w:val="clear" w:color="auto" w:fill="FFFFFF"/>
          <w:lang w:val="en-GB"/>
        </w:rPr>
      </w:pPr>
      <w:r w:rsidRPr="00145E8D">
        <w:rPr>
          <w:rFonts w:ascii="Fira Sans Extra Condensed SemiB" w:hAnsi="Fira Sans Extra Condensed SemiB"/>
          <w:color w:val="000000" w:themeColor="text1"/>
          <w:sz w:val="40"/>
          <w:szCs w:val="26"/>
          <w:shd w:val="clear" w:color="auto" w:fill="FFFFFF"/>
          <w:lang w:val="en-GB"/>
        </w:rPr>
        <w:t xml:space="preserve">Tourism in the European Union </w:t>
      </w:r>
      <w:r w:rsidR="0030235A">
        <w:rPr>
          <w:rFonts w:ascii="Fira Sans Extra Condensed SemiB" w:hAnsi="Fira Sans Extra Condensed SemiB"/>
          <w:color w:val="000000" w:themeColor="text1"/>
          <w:sz w:val="40"/>
          <w:szCs w:val="26"/>
          <w:shd w:val="clear" w:color="auto" w:fill="FFFFFF"/>
          <w:lang w:val="en-GB"/>
        </w:rPr>
        <w:t xml:space="preserve">– data for </w:t>
      </w:r>
      <w:r w:rsidRPr="00145E8D">
        <w:rPr>
          <w:rFonts w:ascii="Fira Sans Extra Condensed SemiB" w:hAnsi="Fira Sans Extra Condensed SemiB"/>
          <w:color w:val="000000" w:themeColor="text1"/>
          <w:sz w:val="40"/>
          <w:szCs w:val="26"/>
          <w:shd w:val="clear" w:color="auto" w:fill="FFFFFF"/>
          <w:lang w:val="en-GB"/>
        </w:rPr>
        <w:t>2018</w:t>
      </w:r>
    </w:p>
    <w:p w14:paraId="7F06AF6C" w14:textId="77777777" w:rsidR="00393761" w:rsidRPr="00145E8D" w:rsidRDefault="00393761" w:rsidP="00074DD8">
      <w:pPr>
        <w:pStyle w:val="tytuinformacji"/>
        <w:rPr>
          <w:sz w:val="32"/>
          <w:lang w:val="en-GB"/>
        </w:rPr>
      </w:pPr>
    </w:p>
    <w:p w14:paraId="3E84B147" w14:textId="3FAA0BE9" w:rsidR="005916D7" w:rsidRPr="00145E8D" w:rsidRDefault="00003437" w:rsidP="00633014">
      <w:pPr>
        <w:pStyle w:val="LID"/>
        <w:rPr>
          <w:lang w:val="en-GB"/>
        </w:rPr>
      </w:pPr>
      <w:r w:rsidRPr="00931837">
        <mc:AlternateContent>
          <mc:Choice Requires="wps">
            <w:drawing>
              <wp:anchor distT="45720" distB="45720" distL="114300" distR="114300" simplePos="0" relativeHeight="251676672" behindDoc="0" locked="0" layoutInCell="1" allowOverlap="1" wp14:anchorId="1E616D39" wp14:editId="1AA7E8F2">
                <wp:simplePos x="0" y="0"/>
                <wp:positionH relativeFrom="margin">
                  <wp:align>left</wp:align>
                </wp:positionH>
                <wp:positionV relativeFrom="paragraph">
                  <wp:posOffset>83427</wp:posOffset>
                </wp:positionV>
                <wp:extent cx="1828800" cy="1045845"/>
                <wp:effectExtent l="0" t="0" r="0" b="19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5845"/>
                        </a:xfrm>
                        <a:prstGeom prst="rect">
                          <a:avLst/>
                        </a:prstGeom>
                        <a:solidFill>
                          <a:srgbClr val="001D77"/>
                        </a:solidFill>
                        <a:ln w="9525">
                          <a:noFill/>
                          <a:miter lim="800000"/>
                          <a:headEnd/>
                          <a:tailEnd/>
                        </a:ln>
                      </wps:spPr>
                      <wps:txbx>
                        <w:txbxContent>
                          <w:p w14:paraId="03633674" w14:textId="20F13E63" w:rsidR="00976BED" w:rsidRPr="00B66B19" w:rsidRDefault="00373061" w:rsidP="00633014">
                            <w:pPr>
                              <w:spacing w:after="0" w:line="240" w:lineRule="auto"/>
                              <w:rPr>
                                <w:rFonts w:ascii="Fira Sans SemiBold" w:hAnsi="Fira Sans SemiBold"/>
                                <w:color w:val="FFFFFF" w:themeColor="background1"/>
                                <w:sz w:val="72"/>
                              </w:rPr>
                            </w:pPr>
                            <w:r>
                              <w:rPr>
                                <w:rFonts w:asciiTheme="minorHAnsi" w:hAnsiTheme="minorHAnsi"/>
                                <w:color w:val="001D77"/>
                                <w:sz w:val="22"/>
                              </w:rPr>
                              <w:pict w14:anchorId="6364BD17">
                                <v:shape id="Obraz 33" o:spid="_x0000_i1025" type="#_x0000_t75" style="width:26.2pt;height:26.2pt;visibility:visible;mso-wrap-style:square" o:bullet="t">
                                  <v:imagedata r:id="rId10" o:title=""/>
                                </v:shape>
                              </w:pict>
                            </w:r>
                            <w:r w:rsidR="00976BED">
                              <w:rPr>
                                <w:noProof/>
                                <w:color w:val="001D77"/>
                                <w:lang w:eastAsia="pl-PL"/>
                              </w:rPr>
                              <w:t xml:space="preserve"> </w:t>
                            </w:r>
                            <w:r w:rsidR="00976BED">
                              <w:rPr>
                                <w:rFonts w:ascii="Fira Sans SemiBold" w:hAnsi="Fira Sans SemiBold"/>
                                <w:color w:val="FFFFFF" w:themeColor="background1"/>
                                <w:sz w:val="72"/>
                              </w:rPr>
                              <w:t>3</w:t>
                            </w:r>
                            <w:r w:rsidR="00E839AB">
                              <w:rPr>
                                <w:rFonts w:ascii="Fira Sans SemiBold" w:hAnsi="Fira Sans SemiBold"/>
                                <w:color w:val="FFFFFF" w:themeColor="background1"/>
                                <w:sz w:val="72"/>
                              </w:rPr>
                              <w:t>.</w:t>
                            </w:r>
                            <w:r w:rsidR="00976BED">
                              <w:rPr>
                                <w:rFonts w:ascii="Fira Sans SemiBold" w:hAnsi="Fira Sans SemiBold"/>
                                <w:color w:val="FFFFFF" w:themeColor="background1"/>
                                <w:sz w:val="72"/>
                              </w:rPr>
                              <w:t>3</w:t>
                            </w:r>
                            <w:r w:rsidR="008A0D14">
                              <w:rPr>
                                <w:rFonts w:ascii="Fira Sans SemiBold" w:hAnsi="Fira Sans SemiBold"/>
                                <w:color w:val="FFFFFF" w:themeColor="background1"/>
                                <w:sz w:val="72"/>
                              </w:rPr>
                              <w:t>%</w:t>
                            </w:r>
                            <w:bookmarkStart w:id="0" w:name="_GoBack"/>
                            <w:bookmarkEnd w:id="0"/>
                          </w:p>
                          <w:p w14:paraId="102CA5D5" w14:textId="54A15EFE" w:rsidR="00976BED" w:rsidRPr="00976BED" w:rsidRDefault="00976BED" w:rsidP="00976BED">
                            <w:pPr>
                              <w:spacing w:before="0" w:after="0" w:line="240" w:lineRule="auto"/>
                              <w:rPr>
                                <w:color w:val="FFFFFF" w:themeColor="background1"/>
                                <w:sz w:val="18"/>
                                <w:szCs w:val="20"/>
                                <w:lang w:val="en-GB"/>
                              </w:rPr>
                            </w:pPr>
                            <w:r w:rsidRPr="00976BED">
                              <w:rPr>
                                <w:sz w:val="20"/>
                                <w:lang w:val="en-GB"/>
                              </w:rPr>
                              <w:t xml:space="preserve">Increase </w:t>
                            </w:r>
                            <w:r w:rsidR="00145E8D">
                              <w:rPr>
                                <w:sz w:val="20"/>
                                <w:lang w:val="en-GB"/>
                              </w:rPr>
                              <w:t>in</w:t>
                            </w:r>
                            <w:r w:rsidR="00145E8D" w:rsidRPr="00976BED">
                              <w:rPr>
                                <w:sz w:val="20"/>
                                <w:lang w:val="en-GB"/>
                              </w:rPr>
                              <w:t xml:space="preserve"> </w:t>
                            </w:r>
                            <w:r w:rsidRPr="00976BED">
                              <w:rPr>
                                <w:sz w:val="20"/>
                                <w:lang w:val="en-GB"/>
                              </w:rPr>
                              <w:t>the number of tourists accommodated</w:t>
                            </w:r>
                          </w:p>
                          <w:p w14:paraId="1BE29DDE" w14:textId="77777777" w:rsidR="00976BED" w:rsidRPr="00976BED" w:rsidRDefault="00976BED" w:rsidP="00976BED">
                            <w:pPr>
                              <w:pStyle w:val="tekstnaniebieskimtle"/>
                              <w:rPr>
                                <w:color w:val="FFFFFF" w:themeColor="background1"/>
                                <w:sz w:val="18"/>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16D39" id="_x0000_t202" coordsize="21600,21600" o:spt="202" path="m,l,21600r21600,l21600,xe">
                <v:stroke joinstyle="miter"/>
                <v:path gradientshapeok="t" o:connecttype="rect"/>
              </v:shapetype>
              <v:shape id="Pole tekstowe 2" o:spid="_x0000_s1026" type="#_x0000_t202" style="position:absolute;margin-left:0;margin-top:6.55pt;width:2in;height:82.3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J6KAIAACMEAAAOAAAAZHJzL2Uyb0RvYy54bWysU9tu2zAMfR+wfxD0vviCZEmNOEWXrMOA&#10;rivQ7QNkWY6FSqImKbG7rx8lp2m2vQ3zgyCa5OHhIbW+HrUiR+G8BFPTYpZTIgyHVpp9Tb9/u323&#10;osQHZlqmwIiaPgtPrzdv36wHW4kSelCtcARBjK8GW9M+BFtlmee90MzPwAqDzg6cZgFNt89axwZE&#10;1yor8/x9NoBrrQMuvMe/u8lJNwm/6wQPX7vOi0BUTZFbSKdLZxPPbLNm1d4x20t+osH+gYVm0mDR&#10;M9SOBUYOTv4FpSV34KELMw46g66TXKQesJsi/6Obx55ZkXpBcbw9y+T/Hyy/Pz44ItualsWSEsM0&#10;DukBlCBBPPkAgyBlFGmwvsLYR4vRYfwAIw47NeztHfAnTwxse2b24sY5GHrBWiRZxMzsInXC8RGk&#10;Gb5Ai7XYIUACGjuno4KoCUF0HNbzeUBiDITHkqtytcrRxdFX5PPFar5INVj1km6dD58EaBIvNXW4&#10;AQmeHe98iHRY9RISq3lQsr2VSiXD7ZutcuTI4rbkxW65PKH/FqYMGWp6tSgXCdlAzE+LpGXAbVZS&#10;1xRp4hfTWRXl+GjadA9MqumOTJQ56RMlmcQJYzNiYBStgfYZlXIwbS2+Mrz04H5SMuDG1tT/ODAn&#10;KFGfDap9VcznccWTMV8sSzTcpae59DDDEaqmgZLpug3pWUS+Bm5wKp1Mer0yOXHFTUwynl5NXPVL&#10;O0W9vu3NLwAAAP//AwBQSwMEFAAGAAgAAAAhACufus3bAAAABwEAAA8AAABkcnMvZG93bnJldi54&#10;bWxMj8FOwzAMhu9IvENkJG4sbUEs6ppOCNQDIBBsXLh5rddWNE7VZFt5e8wJjv5+6/fnYj27QR1p&#10;Cr1nC+kiAUVc+6bn1sLHtroyoEJEbnDwTBa+KcC6PD8rMG/8id/puImtkhIOOVroYhxzrUPdkcOw&#10;8COxZHs/OYwyTq1uJjxJuRt0liS32mHPcqHDke47qr82B2fhJn2tzVv43LJ/qbLq+QHdY3iy9vJi&#10;vluBijTHv2X41Rd1KMVp5w/cBDVYkEei0OsUlKSZMQJ2ApZLA7os9H//8gcAAP//AwBQSwECLQAU&#10;AAYACAAAACEAtoM4kv4AAADhAQAAEwAAAAAAAAAAAAAAAAAAAAAAW0NvbnRlbnRfVHlwZXNdLnht&#10;bFBLAQItABQABgAIAAAAIQA4/SH/1gAAAJQBAAALAAAAAAAAAAAAAAAAAC8BAABfcmVscy8ucmVs&#10;c1BLAQItABQABgAIAAAAIQD1YxJ6KAIAACMEAAAOAAAAAAAAAAAAAAAAAC4CAABkcnMvZTJvRG9j&#10;LnhtbFBLAQItABQABgAIAAAAIQArn7rN2wAAAAcBAAAPAAAAAAAAAAAAAAAAAIIEAABkcnMvZG93&#10;bnJldi54bWxQSwUGAAAAAAQABADzAAAAigUAAAAA&#10;" fillcolor="#001d77" stroked="f">
                <v:textbox>
                  <w:txbxContent>
                    <w:p w14:paraId="03633674" w14:textId="20F13E63" w:rsidR="00976BED" w:rsidRPr="00B66B19" w:rsidRDefault="00373061" w:rsidP="00633014">
                      <w:pPr>
                        <w:spacing w:after="0" w:line="240" w:lineRule="auto"/>
                        <w:rPr>
                          <w:rFonts w:ascii="Fira Sans SemiBold" w:hAnsi="Fira Sans SemiBold"/>
                          <w:color w:val="FFFFFF" w:themeColor="background1"/>
                          <w:sz w:val="72"/>
                        </w:rPr>
                      </w:pPr>
                      <w:r>
                        <w:rPr>
                          <w:rFonts w:asciiTheme="minorHAnsi" w:hAnsiTheme="minorHAnsi"/>
                          <w:color w:val="001D77"/>
                          <w:sz w:val="22"/>
                        </w:rPr>
                        <w:pict w14:anchorId="6364BD17">
                          <v:shape id="Obraz 33" o:spid="_x0000_i1025" type="#_x0000_t75" style="width:26.2pt;height:26.2pt;visibility:visible;mso-wrap-style:square" o:bullet="t">
                            <v:imagedata r:id="rId10" o:title=""/>
                          </v:shape>
                        </w:pict>
                      </w:r>
                      <w:r w:rsidR="00976BED">
                        <w:rPr>
                          <w:noProof/>
                          <w:color w:val="001D77"/>
                          <w:lang w:eastAsia="pl-PL"/>
                        </w:rPr>
                        <w:t xml:space="preserve"> </w:t>
                      </w:r>
                      <w:r w:rsidR="00976BED">
                        <w:rPr>
                          <w:rFonts w:ascii="Fira Sans SemiBold" w:hAnsi="Fira Sans SemiBold"/>
                          <w:color w:val="FFFFFF" w:themeColor="background1"/>
                          <w:sz w:val="72"/>
                        </w:rPr>
                        <w:t>3</w:t>
                      </w:r>
                      <w:r w:rsidR="00E839AB">
                        <w:rPr>
                          <w:rFonts w:ascii="Fira Sans SemiBold" w:hAnsi="Fira Sans SemiBold"/>
                          <w:color w:val="FFFFFF" w:themeColor="background1"/>
                          <w:sz w:val="72"/>
                        </w:rPr>
                        <w:t>.</w:t>
                      </w:r>
                      <w:r w:rsidR="00976BED">
                        <w:rPr>
                          <w:rFonts w:ascii="Fira Sans SemiBold" w:hAnsi="Fira Sans SemiBold"/>
                          <w:color w:val="FFFFFF" w:themeColor="background1"/>
                          <w:sz w:val="72"/>
                        </w:rPr>
                        <w:t>3</w:t>
                      </w:r>
                      <w:r w:rsidR="008A0D14">
                        <w:rPr>
                          <w:rFonts w:ascii="Fira Sans SemiBold" w:hAnsi="Fira Sans SemiBold"/>
                          <w:color w:val="FFFFFF" w:themeColor="background1"/>
                          <w:sz w:val="72"/>
                        </w:rPr>
                        <w:t>%</w:t>
                      </w:r>
                      <w:bookmarkStart w:id="1" w:name="_GoBack"/>
                      <w:bookmarkEnd w:id="1"/>
                    </w:p>
                    <w:p w14:paraId="102CA5D5" w14:textId="54A15EFE" w:rsidR="00976BED" w:rsidRPr="00976BED" w:rsidRDefault="00976BED" w:rsidP="00976BED">
                      <w:pPr>
                        <w:spacing w:before="0" w:after="0" w:line="240" w:lineRule="auto"/>
                        <w:rPr>
                          <w:color w:val="FFFFFF" w:themeColor="background1"/>
                          <w:sz w:val="18"/>
                          <w:szCs w:val="20"/>
                          <w:lang w:val="en-GB"/>
                        </w:rPr>
                      </w:pPr>
                      <w:r w:rsidRPr="00976BED">
                        <w:rPr>
                          <w:sz w:val="20"/>
                          <w:lang w:val="en-GB"/>
                        </w:rPr>
                        <w:t xml:space="preserve">Increase </w:t>
                      </w:r>
                      <w:r w:rsidR="00145E8D">
                        <w:rPr>
                          <w:sz w:val="20"/>
                          <w:lang w:val="en-GB"/>
                        </w:rPr>
                        <w:t>in</w:t>
                      </w:r>
                      <w:r w:rsidR="00145E8D" w:rsidRPr="00976BED">
                        <w:rPr>
                          <w:sz w:val="20"/>
                          <w:lang w:val="en-GB"/>
                        </w:rPr>
                        <w:t xml:space="preserve"> </w:t>
                      </w:r>
                      <w:r w:rsidRPr="00976BED">
                        <w:rPr>
                          <w:sz w:val="20"/>
                          <w:lang w:val="en-GB"/>
                        </w:rPr>
                        <w:t>the number of tourists accommodated</w:t>
                      </w:r>
                    </w:p>
                    <w:p w14:paraId="1BE29DDE" w14:textId="77777777" w:rsidR="00976BED" w:rsidRPr="00976BED" w:rsidRDefault="00976BED" w:rsidP="00976BED">
                      <w:pPr>
                        <w:pStyle w:val="tekstnaniebieskimtle"/>
                        <w:rPr>
                          <w:color w:val="FFFFFF" w:themeColor="background1"/>
                          <w:sz w:val="18"/>
                          <w:szCs w:val="20"/>
                          <w:lang w:val="en-GB"/>
                        </w:rPr>
                      </w:pPr>
                    </w:p>
                  </w:txbxContent>
                </v:textbox>
                <w10:wrap type="square" anchorx="margin"/>
              </v:shape>
            </w:pict>
          </mc:Fallback>
        </mc:AlternateContent>
      </w:r>
      <w:r w:rsidR="00976BED" w:rsidRPr="00931837">
        <w:rPr>
          <w:spacing w:val="-2"/>
          <w:lang w:val="en-GB"/>
        </w:rPr>
        <w:t>The number of tourists accommodated in tourist accommodation establishments in EU countries has been steadily increasing for over 10 years and in 2018 reached</w:t>
      </w:r>
      <w:r w:rsidR="00145E8D" w:rsidRPr="00931837">
        <w:rPr>
          <w:spacing w:val="-2"/>
          <w:lang w:val="en-GB"/>
        </w:rPr>
        <w:t xml:space="preserve"> </w:t>
      </w:r>
      <w:r w:rsidR="00976BED" w:rsidRPr="00931837">
        <w:rPr>
          <w:spacing w:val="-2"/>
          <w:lang w:val="en-GB"/>
        </w:rPr>
        <w:t>1</w:t>
      </w:r>
      <w:r w:rsidR="00145E8D" w:rsidRPr="00931837">
        <w:rPr>
          <w:spacing w:val="-2"/>
          <w:lang w:val="en-GB"/>
        </w:rPr>
        <w:t> </w:t>
      </w:r>
      <w:r w:rsidR="00976BED" w:rsidRPr="00931837">
        <w:rPr>
          <w:spacing w:val="-2"/>
          <w:lang w:val="en-GB"/>
        </w:rPr>
        <w:t>083.3 m</w:t>
      </w:r>
      <w:r w:rsidR="005E6947" w:rsidRPr="00931837">
        <w:rPr>
          <w:spacing w:val="-2"/>
          <w:lang w:val="en-GB"/>
        </w:rPr>
        <w:t>il</w:t>
      </w:r>
      <w:r w:rsidR="00976BED" w:rsidRPr="00931837">
        <w:rPr>
          <w:spacing w:val="-2"/>
          <w:lang w:val="en-GB"/>
        </w:rPr>
        <w:t>l</w:t>
      </w:r>
      <w:r w:rsidR="005E6947" w:rsidRPr="00931837">
        <w:rPr>
          <w:spacing w:val="-2"/>
          <w:lang w:val="en-GB"/>
        </w:rPr>
        <w:t>io</w:t>
      </w:r>
      <w:r w:rsidR="00976BED" w:rsidRPr="00931837">
        <w:rPr>
          <w:spacing w:val="-2"/>
          <w:lang w:val="en-GB"/>
        </w:rPr>
        <w:t>n.</w:t>
      </w:r>
    </w:p>
    <w:p w14:paraId="0391D221" w14:textId="77777777" w:rsidR="00003437" w:rsidRPr="00145E8D" w:rsidRDefault="00003437" w:rsidP="00E76D26">
      <w:pPr>
        <w:pStyle w:val="Nagwek1"/>
        <w:spacing w:before="0"/>
        <w:rPr>
          <w:rFonts w:ascii="Fira Sans" w:hAnsi="Fira Sans"/>
          <w:b/>
          <w:color w:val="212492"/>
          <w:spacing w:val="-2"/>
          <w:szCs w:val="19"/>
          <w:lang w:val="en-GB"/>
        </w:rPr>
      </w:pPr>
    </w:p>
    <w:p w14:paraId="0C36ED98" w14:textId="77777777" w:rsidR="00976BED" w:rsidRPr="00145E8D" w:rsidRDefault="00074DD8" w:rsidP="00074DD8">
      <w:pPr>
        <w:pStyle w:val="Nagwek1"/>
        <w:rPr>
          <w:shd w:val="clear" w:color="auto" w:fill="FFFFFF"/>
          <w:lang w:val="en-GB"/>
        </w:rPr>
      </w:pPr>
      <w:r w:rsidRPr="00145E8D">
        <w:rPr>
          <w:shd w:val="clear" w:color="auto" w:fill="FFFFFF"/>
          <w:lang w:val="en-GB"/>
        </w:rPr>
        <w:t xml:space="preserve"> </w:t>
      </w:r>
    </w:p>
    <w:p w14:paraId="32459D23" w14:textId="38EB3B01" w:rsidR="00976BED" w:rsidRPr="00931837" w:rsidRDefault="00976BED" w:rsidP="00976BED">
      <w:pPr>
        <w:keepNext/>
        <w:spacing w:before="240" w:line="240" w:lineRule="auto"/>
        <w:outlineLvl w:val="0"/>
        <w:rPr>
          <w:color w:val="001D77"/>
          <w:lang w:val="en-GB"/>
        </w:rPr>
      </w:pPr>
      <w:r w:rsidRPr="0034100F">
        <w:rPr>
          <w:rFonts w:ascii="Fira Sans SemiBold" w:hAnsi="Fira Sans SemiBold"/>
          <w:b/>
          <w:noProof/>
          <w:color w:val="001D77"/>
          <w:spacing w:val="-2"/>
          <w:szCs w:val="19"/>
          <w:lang w:eastAsia="pl-PL"/>
        </w:rPr>
        <mc:AlternateContent>
          <mc:Choice Requires="wps">
            <w:drawing>
              <wp:anchor distT="45720" distB="45720" distL="114300" distR="114300" simplePos="0" relativeHeight="251674624" behindDoc="1" locked="0" layoutInCell="1" allowOverlap="1" wp14:anchorId="36A03919" wp14:editId="3CA04161">
                <wp:simplePos x="0" y="0"/>
                <wp:positionH relativeFrom="column">
                  <wp:posOffset>5212080</wp:posOffset>
                </wp:positionH>
                <wp:positionV relativeFrom="paragraph">
                  <wp:posOffset>170180</wp:posOffset>
                </wp:positionV>
                <wp:extent cx="1725295" cy="970280"/>
                <wp:effectExtent l="0" t="0" r="0" b="1270"/>
                <wp:wrapTight wrapText="bothSides">
                  <wp:wrapPolygon edited="0">
                    <wp:start x="715" y="0"/>
                    <wp:lineTo x="715" y="21204"/>
                    <wp:lineTo x="20749" y="21204"/>
                    <wp:lineTo x="20749" y="0"/>
                    <wp:lineTo x="715"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970280"/>
                        </a:xfrm>
                        <a:prstGeom prst="rect">
                          <a:avLst/>
                        </a:prstGeom>
                        <a:noFill/>
                        <a:ln w="9525">
                          <a:noFill/>
                          <a:miter lim="800000"/>
                          <a:headEnd/>
                          <a:tailEnd/>
                        </a:ln>
                      </wps:spPr>
                      <wps:txbx>
                        <w:txbxContent>
                          <w:p w14:paraId="27C08861" w14:textId="530C1038" w:rsidR="00976BED" w:rsidRPr="007B2F88" w:rsidRDefault="00976BED" w:rsidP="00976BED">
                            <w:pPr>
                              <w:spacing w:after="0"/>
                              <w:rPr>
                                <w:rFonts w:eastAsia="Times New Roman" w:cs="Times New Roman"/>
                                <w:bCs/>
                                <w:color w:val="001D77"/>
                                <w:sz w:val="18"/>
                                <w:szCs w:val="18"/>
                                <w:lang w:val="en-GB" w:eastAsia="pl-PL"/>
                              </w:rPr>
                            </w:pPr>
                            <w:r w:rsidRPr="007B2F88">
                              <w:rPr>
                                <w:rFonts w:eastAsia="Times New Roman" w:cs="Times New Roman"/>
                                <w:bCs/>
                                <w:color w:val="001D77"/>
                                <w:sz w:val="18"/>
                                <w:szCs w:val="18"/>
                                <w:lang w:val="en-GB" w:eastAsia="pl-PL"/>
                              </w:rPr>
                              <w:t>In 2018 there were 684.7</w:t>
                            </w:r>
                            <w:r w:rsidR="00DB3C5D">
                              <w:rPr>
                                <w:rFonts w:eastAsia="Times New Roman" w:cs="Times New Roman"/>
                                <w:bCs/>
                                <w:color w:val="001D77"/>
                                <w:sz w:val="18"/>
                                <w:szCs w:val="18"/>
                                <w:lang w:val="en-GB" w:eastAsia="pl-PL"/>
                              </w:rPr>
                              <w:t> </w:t>
                            </w:r>
                            <w:r w:rsidR="00DC00B9">
                              <w:rPr>
                                <w:rFonts w:eastAsia="Times New Roman" w:cs="Times New Roman"/>
                                <w:bCs/>
                                <w:color w:val="001D77"/>
                                <w:sz w:val="18"/>
                                <w:szCs w:val="18"/>
                                <w:lang w:val="en-GB" w:eastAsia="pl-PL"/>
                              </w:rPr>
                              <w:t>thousand</w:t>
                            </w:r>
                            <w:r w:rsidRPr="007B2F88">
                              <w:rPr>
                                <w:rFonts w:eastAsia="Times New Roman" w:cs="Times New Roman"/>
                                <w:bCs/>
                                <w:color w:val="001D77"/>
                                <w:sz w:val="18"/>
                                <w:szCs w:val="18"/>
                                <w:lang w:val="en-GB" w:eastAsia="pl-PL"/>
                              </w:rPr>
                              <w:t xml:space="preserve"> tourist accommodation establishments in European Union countries</w:t>
                            </w:r>
                          </w:p>
                          <w:p w14:paraId="203CB8CC" w14:textId="77777777" w:rsidR="00976BED" w:rsidRPr="00976BED" w:rsidRDefault="00976BED" w:rsidP="00D616D2">
                            <w:pPr>
                              <w:spacing w:after="0"/>
                              <w:rPr>
                                <w:rFonts w:eastAsia="Times New Roman" w:cs="Times New Roman"/>
                                <w:bCs/>
                                <w:color w:val="001D77"/>
                                <w:sz w:val="18"/>
                                <w:szCs w:val="18"/>
                                <w:lang w:val="en-GB"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03919" id="_x0000_s1027" type="#_x0000_t202" style="position:absolute;margin-left:410.4pt;margin-top:13.4pt;width:135.85pt;height:76.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diEAIAAP4DAAAOAAAAZHJzL2Uyb0RvYy54bWysU1Fv0zAQfkfiP1h+p2mjlq5R02lsDCEN&#10;mDT4AVfHaazZPmO7Tcqv5+x0XQVviDxYds733X3ffV5fD0azg/RBoa35bDLlTFqBjbK7mv/4fv/u&#10;irMQwTag0cqaH2Xg15u3b9a9q2SJHepGekYgNlS9q3kXo6uKIohOGggTdNJSsEVvINLR74rGQ0/o&#10;RhfldPq+6NE3zqOQIdDfuzHINxm/baWI39o2yMh0zam3mFef121ai80aqp0H1ylxagP+oQsDylLR&#10;M9QdRGB7r/6CMkp4DNjGiUBTYNsqITMHYjOb/sHmqQMnMxcSJ7izTOH/wYqvh0fPVFPzkjMLhkb0&#10;iFqyKJ9DxF6yMknUu1DRzSdHd+PwAQcadaYb3AOK58As3nZgd/LGe+w7CQ21OEuZxUXqiBMSyLb/&#10;gg3Vgn3EDDS03iT9SBFG6DSq43k8cohMpJLLclGuFpwJiq2W0/Iqz6+A6iXb+RA/STQsbWruafwZ&#10;HQ4PIaZuoHq5kopZvFdaZwtoy3oCXZSLnHARMSqSQ7UyNb+apm/0TCL50TY5OYLS454KaHtinYiO&#10;lOOwHbLGWZKkyBabI8ngcTQkPSDadOh/cdaTGWsefu7BS870Z0tSrmbzeXJvPswXy5IO/jKyvYyA&#10;FQRV88jZuL2N2fEj5RuSvFVZjddOTi2TybJIpweRXHx5zrden+3mNwAAAP//AwBQSwMEFAAGAAgA&#10;AAAhAAI34i7fAAAACwEAAA8AAABkcnMvZG93bnJldi54bWxMj0FPwzAMhe9I+w+RJ3FjCRXr1q7p&#10;hEBcQYyBtFvWeG1F41RNtpZ/j3eCk/3kp/c+F9vJdeKCQ2g9abhfKBBIlbct1Rr2Hy93axAhGrKm&#10;84QafjDAtpzdFCa3fqR3vOxiLTiEQm40NDH2uZShatCZsPA9Et9OfnAmshxqaQczcrjrZKJUKp1p&#10;iRsa0+NTg9X37uw0fL6eDl8P6q1+dst+9JOS5DKp9e18etyAiDjFPzNc8RkdSmY6+jPZIDoN60Qx&#10;etSQpDyvBpUlSxBH3lZZCrIs5P8fyl8AAAD//wMAUEsBAi0AFAAGAAgAAAAhALaDOJL+AAAA4QEA&#10;ABMAAAAAAAAAAAAAAAAAAAAAAFtDb250ZW50X1R5cGVzXS54bWxQSwECLQAUAAYACAAAACEAOP0h&#10;/9YAAACUAQAACwAAAAAAAAAAAAAAAAAvAQAAX3JlbHMvLnJlbHNQSwECLQAUAAYACAAAACEA61pn&#10;YhACAAD+AwAADgAAAAAAAAAAAAAAAAAuAgAAZHJzL2Uyb0RvYy54bWxQSwECLQAUAAYACAAAACEA&#10;AjfiLt8AAAALAQAADwAAAAAAAAAAAAAAAABqBAAAZHJzL2Rvd25yZXYueG1sUEsFBgAAAAAEAAQA&#10;8wAAAHYFAAAAAA==&#10;" filled="f" stroked="f">
                <v:textbox>
                  <w:txbxContent>
                    <w:p w14:paraId="27C08861" w14:textId="530C1038" w:rsidR="00976BED" w:rsidRPr="007B2F88" w:rsidRDefault="00976BED" w:rsidP="00976BED">
                      <w:pPr>
                        <w:spacing w:after="0"/>
                        <w:rPr>
                          <w:rFonts w:eastAsia="Times New Roman" w:cs="Times New Roman"/>
                          <w:bCs/>
                          <w:color w:val="001D77"/>
                          <w:sz w:val="18"/>
                          <w:szCs w:val="18"/>
                          <w:lang w:val="en-GB" w:eastAsia="pl-PL"/>
                        </w:rPr>
                      </w:pPr>
                      <w:r w:rsidRPr="007B2F88">
                        <w:rPr>
                          <w:rFonts w:eastAsia="Times New Roman" w:cs="Times New Roman"/>
                          <w:bCs/>
                          <w:color w:val="001D77"/>
                          <w:sz w:val="18"/>
                          <w:szCs w:val="18"/>
                          <w:lang w:val="en-GB" w:eastAsia="pl-PL"/>
                        </w:rPr>
                        <w:t>In 2018 there were 684.7</w:t>
                      </w:r>
                      <w:r w:rsidR="00DB3C5D">
                        <w:rPr>
                          <w:rFonts w:eastAsia="Times New Roman" w:cs="Times New Roman"/>
                          <w:bCs/>
                          <w:color w:val="001D77"/>
                          <w:sz w:val="18"/>
                          <w:szCs w:val="18"/>
                          <w:lang w:val="en-GB" w:eastAsia="pl-PL"/>
                        </w:rPr>
                        <w:t> </w:t>
                      </w:r>
                      <w:r w:rsidR="00DC00B9">
                        <w:rPr>
                          <w:rFonts w:eastAsia="Times New Roman" w:cs="Times New Roman"/>
                          <w:bCs/>
                          <w:color w:val="001D77"/>
                          <w:sz w:val="18"/>
                          <w:szCs w:val="18"/>
                          <w:lang w:val="en-GB" w:eastAsia="pl-PL"/>
                        </w:rPr>
                        <w:t>thousand</w:t>
                      </w:r>
                      <w:r w:rsidRPr="007B2F88">
                        <w:rPr>
                          <w:rFonts w:eastAsia="Times New Roman" w:cs="Times New Roman"/>
                          <w:bCs/>
                          <w:color w:val="001D77"/>
                          <w:sz w:val="18"/>
                          <w:szCs w:val="18"/>
                          <w:lang w:val="en-GB" w:eastAsia="pl-PL"/>
                        </w:rPr>
                        <w:t xml:space="preserve"> tourist accommodation establishments in European Union countries</w:t>
                      </w:r>
                    </w:p>
                    <w:p w14:paraId="203CB8CC" w14:textId="77777777" w:rsidR="00976BED" w:rsidRPr="00976BED" w:rsidRDefault="00976BED" w:rsidP="00D616D2">
                      <w:pPr>
                        <w:spacing w:after="0"/>
                        <w:rPr>
                          <w:rFonts w:eastAsia="Times New Roman" w:cs="Times New Roman"/>
                          <w:bCs/>
                          <w:color w:val="001D77"/>
                          <w:sz w:val="18"/>
                          <w:szCs w:val="18"/>
                          <w:lang w:val="en-GB" w:eastAsia="pl-PL"/>
                        </w:rPr>
                      </w:pPr>
                    </w:p>
                  </w:txbxContent>
                </v:textbox>
                <w10:wrap type="tight"/>
              </v:shape>
            </w:pict>
          </mc:Fallback>
        </mc:AlternateContent>
      </w:r>
      <w:r w:rsidRPr="0034100F">
        <w:rPr>
          <w:rFonts w:ascii="Fira Sans SemiBold" w:eastAsia="Times New Roman" w:hAnsi="Fira Sans SemiBold" w:cs="Times New Roman"/>
          <w:bCs/>
          <w:color w:val="001D77"/>
          <w:szCs w:val="24"/>
          <w:shd w:val="clear" w:color="auto" w:fill="FFFFFF"/>
          <w:lang w:val="en-GB" w:eastAsia="pl-PL"/>
        </w:rPr>
        <w:t>Capacity and occupancy of tourist accommodation establishments</w:t>
      </w:r>
      <w:r w:rsidRPr="00931837">
        <w:rPr>
          <w:color w:val="001D77"/>
          <w:vertAlign w:val="superscript"/>
          <w:lang w:val="en-GB"/>
        </w:rPr>
        <w:footnoteReference w:id="1"/>
      </w:r>
    </w:p>
    <w:p w14:paraId="33AA150B" w14:textId="2139635D"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In 2018</w:t>
      </w:r>
      <w:r w:rsidR="00F37B4A">
        <w:rPr>
          <w:color w:val="000000" w:themeColor="text1"/>
          <w:shd w:val="clear" w:color="auto" w:fill="FFFFFF"/>
          <w:lang w:val="en-GB"/>
        </w:rPr>
        <w:t>,</w:t>
      </w:r>
      <w:r w:rsidRPr="00145E8D">
        <w:rPr>
          <w:color w:val="000000" w:themeColor="text1"/>
          <w:shd w:val="clear" w:color="auto" w:fill="FFFFFF"/>
          <w:lang w:val="en-GB"/>
        </w:rPr>
        <w:t xml:space="preserve"> in EU countries</w:t>
      </w:r>
      <w:r w:rsidR="00F37B4A">
        <w:rPr>
          <w:color w:val="000000" w:themeColor="text1"/>
          <w:shd w:val="clear" w:color="auto" w:fill="FFFFFF"/>
          <w:lang w:val="en-GB"/>
        </w:rPr>
        <w:t>,</w:t>
      </w:r>
      <w:r w:rsidRPr="00145E8D">
        <w:rPr>
          <w:color w:val="000000" w:themeColor="text1"/>
          <w:shd w:val="clear" w:color="auto" w:fill="FFFFFF"/>
          <w:lang w:val="en-GB"/>
        </w:rPr>
        <w:t xml:space="preserve"> there were 684.7 thous</w:t>
      </w:r>
      <w:r w:rsidR="00F12473">
        <w:rPr>
          <w:color w:val="000000" w:themeColor="text1"/>
          <w:shd w:val="clear" w:color="auto" w:fill="FFFFFF"/>
          <w:lang w:val="en-GB"/>
        </w:rPr>
        <w:t>and</w:t>
      </w:r>
      <w:r w:rsidRPr="00145E8D">
        <w:rPr>
          <w:color w:val="000000" w:themeColor="text1"/>
          <w:shd w:val="clear" w:color="auto" w:fill="FFFFFF"/>
          <w:lang w:val="en-GB"/>
        </w:rPr>
        <w:t xml:space="preserve"> </w:t>
      </w:r>
      <w:r w:rsidR="00F37B4A">
        <w:rPr>
          <w:color w:val="000000" w:themeColor="text1"/>
          <w:shd w:val="clear" w:color="auto" w:fill="FFFFFF"/>
          <w:lang w:val="en-GB"/>
        </w:rPr>
        <w:t xml:space="preserve">operating </w:t>
      </w:r>
      <w:r w:rsidRPr="00145E8D">
        <w:rPr>
          <w:color w:val="000000" w:themeColor="text1"/>
          <w:shd w:val="clear" w:color="auto" w:fill="FFFFFF"/>
          <w:lang w:val="en-GB"/>
        </w:rPr>
        <w:t xml:space="preserve">tourist accommodation establishments, of which 29.6% </w:t>
      </w:r>
      <w:r w:rsidR="00F37B4A">
        <w:rPr>
          <w:color w:val="000000" w:themeColor="text1"/>
          <w:shd w:val="clear" w:color="auto" w:fill="FFFFFF"/>
          <w:lang w:val="en-GB"/>
        </w:rPr>
        <w:t xml:space="preserve">was </w:t>
      </w:r>
      <w:r w:rsidRPr="00145E8D">
        <w:rPr>
          <w:color w:val="000000" w:themeColor="text1"/>
          <w:shd w:val="clear" w:color="auto" w:fill="FFFFFF"/>
          <w:lang w:val="en-GB"/>
        </w:rPr>
        <w:t xml:space="preserve">constituted </w:t>
      </w:r>
      <w:r w:rsidR="00F37B4A">
        <w:rPr>
          <w:color w:val="000000" w:themeColor="text1"/>
          <w:shd w:val="clear" w:color="auto" w:fill="FFFFFF"/>
          <w:lang w:val="en-GB"/>
        </w:rPr>
        <w:t xml:space="preserve">by </w:t>
      </w:r>
      <w:r w:rsidRPr="00145E8D">
        <w:rPr>
          <w:color w:val="000000" w:themeColor="text1"/>
          <w:shd w:val="clear" w:color="auto" w:fill="FFFFFF"/>
          <w:lang w:val="en-GB"/>
        </w:rPr>
        <w:t xml:space="preserve">hotels and similar accommodation, 66.5% </w:t>
      </w:r>
      <w:r w:rsidR="00F37B4A">
        <w:rPr>
          <w:color w:val="000000" w:themeColor="text1"/>
          <w:shd w:val="clear" w:color="auto" w:fill="FFFFFF"/>
          <w:lang w:val="en-GB"/>
        </w:rPr>
        <w:t xml:space="preserve">by </w:t>
      </w:r>
      <w:r w:rsidRPr="00145E8D">
        <w:rPr>
          <w:color w:val="000000" w:themeColor="text1"/>
          <w:shd w:val="clear" w:color="auto" w:fill="FFFFFF"/>
          <w:lang w:val="en-GB"/>
        </w:rPr>
        <w:t xml:space="preserve">holiday and other short-stay accommodation (e.g. youth hostels, holiday centres) and 4.1% </w:t>
      </w:r>
      <w:r w:rsidR="00F37B4A">
        <w:rPr>
          <w:color w:val="000000" w:themeColor="text1"/>
          <w:shd w:val="clear" w:color="auto" w:fill="FFFFFF"/>
          <w:lang w:val="en-GB"/>
        </w:rPr>
        <w:t xml:space="preserve">by </w:t>
      </w:r>
      <w:r w:rsidRPr="00721024">
        <w:rPr>
          <w:color w:val="000000" w:themeColor="text1"/>
          <w:shd w:val="clear" w:color="auto" w:fill="FFFFFF"/>
          <w:lang w:val="en-GB"/>
        </w:rPr>
        <w:t>camping grounds, recreational vehicle parks and trailer parks</w:t>
      </w:r>
      <w:r w:rsidRPr="00145E8D">
        <w:rPr>
          <w:color w:val="000000" w:themeColor="text1"/>
          <w:shd w:val="clear" w:color="auto" w:fill="FFFFFF"/>
          <w:lang w:val="en-GB"/>
        </w:rPr>
        <w:t>.</w:t>
      </w:r>
    </w:p>
    <w:p w14:paraId="1EF60BDC" w14:textId="77777777"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Compared to the previous year</w:t>
      </w:r>
      <w:r w:rsidR="0060773A">
        <w:rPr>
          <w:color w:val="000000" w:themeColor="text1"/>
          <w:shd w:val="clear" w:color="auto" w:fill="FFFFFF"/>
          <w:lang w:val="en-GB"/>
        </w:rPr>
        <w:t>,</w:t>
      </w:r>
      <w:r w:rsidRPr="00145E8D">
        <w:rPr>
          <w:color w:val="000000" w:themeColor="text1"/>
          <w:shd w:val="clear" w:color="auto" w:fill="FFFFFF"/>
          <w:lang w:val="en-GB"/>
        </w:rPr>
        <w:t xml:space="preserve"> the number of tourist accommodation establishments increased by 4.3%, of which the highest grow</w:t>
      </w:r>
      <w:r w:rsidR="0060773A">
        <w:rPr>
          <w:color w:val="000000" w:themeColor="text1"/>
          <w:shd w:val="clear" w:color="auto" w:fill="FFFFFF"/>
          <w:lang w:val="en-GB"/>
        </w:rPr>
        <w:t>,</w:t>
      </w:r>
      <w:r w:rsidRPr="00145E8D">
        <w:rPr>
          <w:color w:val="000000" w:themeColor="text1"/>
          <w:shd w:val="clear" w:color="auto" w:fill="FFFFFF"/>
          <w:lang w:val="en-GB"/>
        </w:rPr>
        <w:t xml:space="preserve"> i.e. by 6.7%</w:t>
      </w:r>
      <w:r w:rsidR="0060773A">
        <w:rPr>
          <w:color w:val="000000" w:themeColor="text1"/>
          <w:shd w:val="clear" w:color="auto" w:fill="FFFFFF"/>
          <w:lang w:val="en-GB"/>
        </w:rPr>
        <w:t>,</w:t>
      </w:r>
      <w:r w:rsidRPr="00145E8D">
        <w:rPr>
          <w:color w:val="000000" w:themeColor="text1"/>
          <w:shd w:val="clear" w:color="auto" w:fill="FFFFFF"/>
          <w:lang w:val="en-GB"/>
        </w:rPr>
        <w:t xml:space="preserve"> concerned holiday and other short-stay accommodation.</w:t>
      </w:r>
    </w:p>
    <w:p w14:paraId="6031A7A0" w14:textId="05510D60"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 xml:space="preserve">The largest number of tourist accommodation establishments in 2018 was located in Italy </w:t>
      </w:r>
      <w:r w:rsidR="00327421" w:rsidRPr="00145E8D">
        <w:rPr>
          <w:color w:val="000000" w:themeColor="text1"/>
          <w:shd w:val="clear" w:color="auto" w:fill="FFFFFF"/>
          <w:lang w:val="en-GB"/>
        </w:rPr>
        <w:t>–</w:t>
      </w:r>
      <w:r w:rsidRPr="00145E8D">
        <w:rPr>
          <w:color w:val="000000" w:themeColor="text1"/>
          <w:shd w:val="clear" w:color="auto" w:fill="FFFFFF"/>
          <w:lang w:val="en-GB"/>
        </w:rPr>
        <w:t xml:space="preserve">216.1 </w:t>
      </w:r>
      <w:r w:rsidR="00DC00B9">
        <w:rPr>
          <w:color w:val="000000" w:themeColor="text1"/>
          <w:shd w:val="clear" w:color="auto" w:fill="FFFFFF"/>
          <w:lang w:val="en-GB"/>
        </w:rPr>
        <w:t>thousand</w:t>
      </w:r>
      <w:r w:rsidRPr="00145E8D">
        <w:rPr>
          <w:color w:val="000000" w:themeColor="text1"/>
          <w:shd w:val="clear" w:color="auto" w:fill="FFFFFF"/>
          <w:lang w:val="en-GB"/>
        </w:rPr>
        <w:t xml:space="preserve"> (31.6% of all EU establishments), </w:t>
      </w:r>
      <w:r w:rsidR="008519D2">
        <w:rPr>
          <w:color w:val="000000" w:themeColor="text1"/>
          <w:shd w:val="clear" w:color="auto" w:fill="FFFFFF"/>
          <w:lang w:val="en-GB"/>
        </w:rPr>
        <w:t xml:space="preserve">followed by </w:t>
      </w:r>
      <w:r w:rsidRPr="00145E8D">
        <w:rPr>
          <w:color w:val="000000" w:themeColor="text1"/>
          <w:shd w:val="clear" w:color="auto" w:fill="FFFFFF"/>
          <w:lang w:val="en-GB"/>
        </w:rPr>
        <w:t xml:space="preserve">Croatia </w:t>
      </w:r>
      <w:r w:rsidR="00327421" w:rsidRPr="00145E8D">
        <w:rPr>
          <w:color w:val="000000" w:themeColor="text1"/>
          <w:shd w:val="clear" w:color="auto" w:fill="FFFFFF"/>
          <w:lang w:val="en-GB"/>
        </w:rPr>
        <w:t>–</w:t>
      </w:r>
      <w:r w:rsidRPr="00145E8D">
        <w:rPr>
          <w:color w:val="000000" w:themeColor="text1"/>
          <w:shd w:val="clear" w:color="auto" w:fill="FFFFFF"/>
          <w:lang w:val="en-GB"/>
        </w:rPr>
        <w:t xml:space="preserve"> 108.2 </w:t>
      </w:r>
      <w:r w:rsidR="00DC00B9">
        <w:rPr>
          <w:color w:val="000000" w:themeColor="text1"/>
          <w:shd w:val="clear" w:color="auto" w:fill="FFFFFF"/>
          <w:lang w:val="en-GB"/>
        </w:rPr>
        <w:t>thousand</w:t>
      </w:r>
      <w:r w:rsidRPr="00145E8D">
        <w:rPr>
          <w:color w:val="000000" w:themeColor="text1"/>
          <w:shd w:val="clear" w:color="auto" w:fill="FFFFFF"/>
          <w:lang w:val="en-GB"/>
        </w:rPr>
        <w:t xml:space="preserve"> (15.8%), </w:t>
      </w:r>
      <w:r w:rsidR="00327421">
        <w:rPr>
          <w:color w:val="000000" w:themeColor="text1"/>
          <w:shd w:val="clear" w:color="auto" w:fill="FFFFFF"/>
          <w:lang w:val="en-GB"/>
        </w:rPr>
        <w:t xml:space="preserve">United Kingdom – 84.6 thousand (12.4%), </w:t>
      </w:r>
      <w:r w:rsidRPr="00145E8D">
        <w:rPr>
          <w:color w:val="000000" w:themeColor="text1"/>
          <w:shd w:val="clear" w:color="auto" w:fill="FFFFFF"/>
          <w:lang w:val="en-GB"/>
        </w:rPr>
        <w:t>Spain</w:t>
      </w:r>
      <w:r w:rsidR="00327421">
        <w:rPr>
          <w:color w:val="000000" w:themeColor="text1"/>
          <w:shd w:val="clear" w:color="auto" w:fill="FFFFFF"/>
          <w:lang w:val="en-GB"/>
        </w:rPr>
        <w:t xml:space="preserve"> </w:t>
      </w:r>
      <w:r w:rsidR="00327421" w:rsidRPr="00145E8D">
        <w:rPr>
          <w:color w:val="000000" w:themeColor="text1"/>
          <w:shd w:val="clear" w:color="auto" w:fill="FFFFFF"/>
          <w:lang w:val="en-GB"/>
        </w:rPr>
        <w:t>–</w:t>
      </w:r>
      <w:r w:rsidRPr="00145E8D">
        <w:rPr>
          <w:color w:val="000000" w:themeColor="text1"/>
          <w:shd w:val="clear" w:color="auto" w:fill="FFFFFF"/>
          <w:lang w:val="en-GB"/>
        </w:rPr>
        <w:t xml:space="preserve">  51.4 </w:t>
      </w:r>
      <w:r w:rsidR="00DC00B9">
        <w:rPr>
          <w:color w:val="000000" w:themeColor="text1"/>
          <w:shd w:val="clear" w:color="auto" w:fill="FFFFFF"/>
          <w:lang w:val="en-GB"/>
        </w:rPr>
        <w:t>thousand</w:t>
      </w:r>
      <w:r w:rsidRPr="00145E8D">
        <w:rPr>
          <w:color w:val="000000" w:themeColor="text1"/>
          <w:shd w:val="clear" w:color="auto" w:fill="FFFFFF"/>
          <w:lang w:val="en-GB"/>
        </w:rPr>
        <w:t xml:space="preserve"> (7.5%) and Germany – 50.0 </w:t>
      </w:r>
      <w:r w:rsidR="00DC00B9">
        <w:rPr>
          <w:color w:val="000000" w:themeColor="text1"/>
          <w:shd w:val="clear" w:color="auto" w:fill="FFFFFF"/>
          <w:lang w:val="en-GB"/>
        </w:rPr>
        <w:t>thousand</w:t>
      </w:r>
      <w:r w:rsidRPr="00145E8D">
        <w:rPr>
          <w:color w:val="000000" w:themeColor="text1"/>
          <w:shd w:val="clear" w:color="auto" w:fill="FFFFFF"/>
          <w:lang w:val="en-GB"/>
        </w:rPr>
        <w:t xml:space="preserve"> (7.3%). In Poland</w:t>
      </w:r>
      <w:r w:rsidR="00854B09">
        <w:rPr>
          <w:color w:val="000000" w:themeColor="text1"/>
          <w:shd w:val="clear" w:color="auto" w:fill="FFFFFF"/>
          <w:lang w:val="en-GB"/>
        </w:rPr>
        <w:t>,</w:t>
      </w:r>
      <w:r w:rsidRPr="00145E8D">
        <w:rPr>
          <w:color w:val="000000" w:themeColor="text1"/>
          <w:shd w:val="clear" w:color="auto" w:fill="FFFFFF"/>
          <w:lang w:val="en-GB"/>
        </w:rPr>
        <w:t xml:space="preserve"> there were 11.1 </w:t>
      </w:r>
      <w:r w:rsidR="00DC00B9">
        <w:rPr>
          <w:color w:val="000000" w:themeColor="text1"/>
          <w:shd w:val="clear" w:color="auto" w:fill="FFFFFF"/>
          <w:lang w:val="en-GB"/>
        </w:rPr>
        <w:t>thousand</w:t>
      </w:r>
      <w:r w:rsidRPr="00145E8D">
        <w:rPr>
          <w:color w:val="000000" w:themeColor="text1"/>
          <w:shd w:val="clear" w:color="auto" w:fill="FFFFFF"/>
          <w:lang w:val="en-GB"/>
        </w:rPr>
        <w:t xml:space="preserve"> tourist accommodation establishments and they constituted 1.6% of the total tourist accommodation establishments in the European Union.</w:t>
      </w:r>
    </w:p>
    <w:p w14:paraId="6BF88182" w14:textId="35F15989"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 xml:space="preserve">The structure of tourist accommodation </w:t>
      </w:r>
      <w:r w:rsidR="008519D2" w:rsidRPr="00145E8D">
        <w:rPr>
          <w:color w:val="000000" w:themeColor="text1"/>
          <w:shd w:val="clear" w:color="auto" w:fill="FFFFFF"/>
          <w:lang w:val="en-GB"/>
        </w:rPr>
        <w:t xml:space="preserve">establishments </w:t>
      </w:r>
      <w:r w:rsidRPr="00145E8D">
        <w:rPr>
          <w:color w:val="000000" w:themeColor="text1"/>
          <w:shd w:val="clear" w:color="auto" w:fill="FFFFFF"/>
          <w:lang w:val="en-GB"/>
        </w:rPr>
        <w:t xml:space="preserve">in individual European Union countries was diversified. </w:t>
      </w:r>
      <w:r w:rsidR="00ED17AB">
        <w:rPr>
          <w:color w:val="000000" w:themeColor="text1"/>
          <w:shd w:val="clear" w:color="auto" w:fill="FFFFFF"/>
          <w:lang w:val="en-GB"/>
        </w:rPr>
        <w:t>I</w:t>
      </w:r>
      <w:r w:rsidR="00ED17AB" w:rsidRPr="00145E8D">
        <w:rPr>
          <w:color w:val="000000" w:themeColor="text1"/>
          <w:shd w:val="clear" w:color="auto" w:fill="FFFFFF"/>
          <w:lang w:val="en-GB"/>
        </w:rPr>
        <w:t>n 2018</w:t>
      </w:r>
      <w:r w:rsidR="00ED17AB">
        <w:rPr>
          <w:color w:val="000000" w:themeColor="text1"/>
          <w:shd w:val="clear" w:color="auto" w:fill="FFFFFF"/>
          <w:lang w:val="en-GB"/>
        </w:rPr>
        <w:t>, i</w:t>
      </w:r>
      <w:r w:rsidRPr="00145E8D">
        <w:rPr>
          <w:color w:val="000000" w:themeColor="text1"/>
          <w:shd w:val="clear" w:color="auto" w:fill="FFFFFF"/>
          <w:lang w:val="en-GB"/>
        </w:rPr>
        <w:t>n Cyprus and Malta, almost all tourist accommodation establishments belonged to the group of hotels and similar accommodation (99.8% and 91.9% respectively), while in Croatia such establishments accounted only for about 1% of the total tourist accommodation establishments.</w:t>
      </w:r>
    </w:p>
    <w:p w14:paraId="378D5702" w14:textId="7C0A3EE0" w:rsidR="00976BED" w:rsidRPr="00145E8D" w:rsidRDefault="00976BED" w:rsidP="00976BED">
      <w:pPr>
        <w:rPr>
          <w:color w:val="000000" w:themeColor="text1"/>
          <w:shd w:val="clear" w:color="auto" w:fill="FFFFFF"/>
          <w:lang w:val="en-GB"/>
        </w:rPr>
      </w:pPr>
      <w:r w:rsidRPr="00145E8D">
        <w:rPr>
          <w:b/>
          <w:noProof/>
          <w:color w:val="000000" w:themeColor="text1"/>
          <w:spacing w:val="-2"/>
          <w:szCs w:val="19"/>
          <w:lang w:eastAsia="pl-PL"/>
        </w:rPr>
        <mc:AlternateContent>
          <mc:Choice Requires="wps">
            <w:drawing>
              <wp:anchor distT="45720" distB="45720" distL="114300" distR="114300" simplePos="0" relativeHeight="251737088" behindDoc="1" locked="0" layoutInCell="1" allowOverlap="1" wp14:anchorId="18F46794" wp14:editId="21EE52A9">
                <wp:simplePos x="0" y="0"/>
                <wp:positionH relativeFrom="rightMargin">
                  <wp:posOffset>112404</wp:posOffset>
                </wp:positionH>
                <wp:positionV relativeFrom="paragraph">
                  <wp:posOffset>1164796</wp:posOffset>
                </wp:positionV>
                <wp:extent cx="1725295" cy="831850"/>
                <wp:effectExtent l="0" t="0" r="0" b="6350"/>
                <wp:wrapTight wrapText="bothSides">
                  <wp:wrapPolygon edited="0">
                    <wp:start x="715" y="0"/>
                    <wp:lineTo x="715" y="21270"/>
                    <wp:lineTo x="20749" y="21270"/>
                    <wp:lineTo x="20749" y="0"/>
                    <wp:lineTo x="715"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31850"/>
                        </a:xfrm>
                        <a:prstGeom prst="rect">
                          <a:avLst/>
                        </a:prstGeom>
                        <a:noFill/>
                        <a:ln w="9525">
                          <a:noFill/>
                          <a:miter lim="800000"/>
                          <a:headEnd/>
                          <a:tailEnd/>
                        </a:ln>
                      </wps:spPr>
                      <wps:txbx>
                        <w:txbxContent>
                          <w:p w14:paraId="544CD641" w14:textId="50728428" w:rsidR="00976BED" w:rsidRPr="007B2F88" w:rsidRDefault="00976BED" w:rsidP="00976BED">
                            <w:pPr>
                              <w:spacing w:after="0"/>
                              <w:rPr>
                                <w:rFonts w:eastAsia="Times New Roman" w:cs="Times New Roman"/>
                                <w:bCs/>
                                <w:color w:val="001D77"/>
                                <w:sz w:val="18"/>
                                <w:szCs w:val="18"/>
                                <w:lang w:val="en-GB" w:eastAsia="pl-PL"/>
                              </w:rPr>
                            </w:pPr>
                            <w:r w:rsidRPr="007B2F88">
                              <w:rPr>
                                <w:rFonts w:eastAsia="Times New Roman" w:cs="Times New Roman"/>
                                <w:bCs/>
                                <w:color w:val="001D77"/>
                                <w:sz w:val="18"/>
                                <w:szCs w:val="18"/>
                                <w:lang w:val="en-GB" w:eastAsia="pl-PL"/>
                              </w:rPr>
                              <w:t>Tourist accommodation establishments located in five countries offered about 70%</w:t>
                            </w:r>
                            <w:r w:rsidR="00761C10">
                              <w:rPr>
                                <w:rFonts w:eastAsia="Times New Roman" w:cs="Times New Roman"/>
                                <w:bCs/>
                                <w:color w:val="001D77"/>
                                <w:sz w:val="18"/>
                                <w:szCs w:val="18"/>
                                <w:lang w:val="en-GB" w:eastAsia="pl-PL"/>
                              </w:rPr>
                              <w:t> </w:t>
                            </w:r>
                            <w:r w:rsidRPr="007B2F88">
                              <w:rPr>
                                <w:rFonts w:eastAsia="Times New Roman" w:cs="Times New Roman"/>
                                <w:bCs/>
                                <w:color w:val="001D77"/>
                                <w:sz w:val="18"/>
                                <w:szCs w:val="18"/>
                                <w:lang w:val="en-GB" w:eastAsia="pl-PL"/>
                              </w:rPr>
                              <w:t>of EU bed places</w:t>
                            </w:r>
                          </w:p>
                          <w:p w14:paraId="22C46185" w14:textId="77777777" w:rsidR="00976BED" w:rsidRPr="007B2F88" w:rsidRDefault="00976BED" w:rsidP="00976BED">
                            <w:pPr>
                              <w:spacing w:after="0"/>
                              <w:rPr>
                                <w:rFonts w:eastAsia="Times New Roman" w:cs="Times New Roman"/>
                                <w:bCs/>
                                <w:color w:val="001D77"/>
                                <w:sz w:val="18"/>
                                <w:szCs w:val="18"/>
                                <w:lang w:val="en-GB"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46794" id="Pole tekstowe 12" o:spid="_x0000_s1028" type="#_x0000_t202" style="position:absolute;margin-left:8.85pt;margin-top:91.7pt;width:135.85pt;height:65.5pt;z-index:-2515793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yEQIAAAAEAAAOAAAAZHJzL2Uyb0RvYy54bWysU8GO0zAQvSPxD5bvNG1o2TZqulp2WYS0&#10;wEoLHzB1nMZa22Nst0n5esZOt1RwQ+Rg2RnPm3lvntfXg9HsIH1QaGs+m0w5k1Zgo+yu5t+/3b9Z&#10;chYi2AY0Wlnzowz8evP61bp3lSyxQ91IzwjEhqp3Ne9idFVRBNFJA2GCTloKtugNRDr6XdF46And&#10;6KKcTt8VPfrGeRQyBPp7Nwb5JuO3rRTxa9sGGZmuOfUW8+rzuk1rsVlDtfPgOiVObcA/dGFAWSp6&#10;hrqDCGzv1V9QRgmPAds4EWgKbFslZOZAbGbTP9g8deBk5kLiBHeWKfw/WPHl8OiZamh2JWcWDM3o&#10;EbVkUT6HiL1k9J9E6l2o6O6To9txeI8DJWTCwT2geA7M4m0HdidvvMe+k9BQk7OUWVykjjghgWz7&#10;z9hQMdhHzEBD601SkDRhhE7DOp4HJIfIRCp5VS7K1YIzQbHl29lykSdYQPWS7XyIHyUaljY192SA&#10;jA6HhxBTN1C9XEnFLN4rrbMJtGV9zVeLcpETLiJGRfKoVoZqTtM3uiaR/GCbnBxB6XFPBbQ9sU5E&#10;R8px2A5Z5bOYW2yOJIPH0ZL0hGjTof/JWU92rHn4sQcvOdOfLEm5ms3nyb/5MF9clXTwl5HtZQSs&#10;IKiaR87G7W3Mnh8p35DkrcpqpNmMnZxaJptlkU5PIvn48pxv/X64m18AAAD//wMAUEsDBBQABgAI&#10;AAAAIQBtYTxi3gAAAAoBAAAPAAAAZHJzL2Rvd25yZXYueG1sTI9BT8MwDIXvSPsPkZG4sWRb2brS&#10;dEIgriA2mLRb1nhttcapmmwt/x5zgpP99J6eP+eb0bXiin1oPGmYTRUIpNLbhioNn7vX+xREiIas&#10;aT2hhm8MsCkmN7nJrB/oA6/bWAkuoZAZDXWMXSZlKGt0Jkx9h8TeyffORJZ9JW1vBi53rZwrtZTO&#10;NMQXatPhc43leXtxGr7eTod9ot6rF/fQDX5Uktxaan13Oz49gog4xr8w/OIzOhTMdPQXskG0rFcr&#10;TvJMFwkIDszTNS9HDYtZkoAscvn/heIHAAD//wMAUEsBAi0AFAAGAAgAAAAhALaDOJL+AAAA4QEA&#10;ABMAAAAAAAAAAAAAAAAAAAAAAFtDb250ZW50X1R5cGVzXS54bWxQSwECLQAUAAYACAAAACEAOP0h&#10;/9YAAACUAQAACwAAAAAAAAAAAAAAAAAvAQAAX3JlbHMvLnJlbHNQSwECLQAUAAYACAAAACEAPr4R&#10;MhECAAAABAAADgAAAAAAAAAAAAAAAAAuAgAAZHJzL2Uyb0RvYy54bWxQSwECLQAUAAYACAAAACEA&#10;bWE8Yt4AAAAKAQAADwAAAAAAAAAAAAAAAABrBAAAZHJzL2Rvd25yZXYueG1sUEsFBgAAAAAEAAQA&#10;8wAAAHYFAAAAAA==&#10;" filled="f" stroked="f">
                <v:textbox>
                  <w:txbxContent>
                    <w:p w14:paraId="544CD641" w14:textId="50728428" w:rsidR="00976BED" w:rsidRPr="007B2F88" w:rsidRDefault="00976BED" w:rsidP="00976BED">
                      <w:pPr>
                        <w:spacing w:after="0"/>
                        <w:rPr>
                          <w:rFonts w:eastAsia="Times New Roman" w:cs="Times New Roman"/>
                          <w:bCs/>
                          <w:color w:val="001D77"/>
                          <w:sz w:val="18"/>
                          <w:szCs w:val="18"/>
                          <w:lang w:val="en-GB" w:eastAsia="pl-PL"/>
                        </w:rPr>
                      </w:pPr>
                      <w:r w:rsidRPr="007B2F88">
                        <w:rPr>
                          <w:rFonts w:eastAsia="Times New Roman" w:cs="Times New Roman"/>
                          <w:bCs/>
                          <w:color w:val="001D77"/>
                          <w:sz w:val="18"/>
                          <w:szCs w:val="18"/>
                          <w:lang w:val="en-GB" w:eastAsia="pl-PL"/>
                        </w:rPr>
                        <w:t>Tourist accommodation establishments located in five countries offered about 70%</w:t>
                      </w:r>
                      <w:r w:rsidR="00761C10">
                        <w:rPr>
                          <w:rFonts w:eastAsia="Times New Roman" w:cs="Times New Roman"/>
                          <w:bCs/>
                          <w:color w:val="001D77"/>
                          <w:sz w:val="18"/>
                          <w:szCs w:val="18"/>
                          <w:lang w:val="en-GB" w:eastAsia="pl-PL"/>
                        </w:rPr>
                        <w:t> </w:t>
                      </w:r>
                      <w:r w:rsidRPr="007B2F88">
                        <w:rPr>
                          <w:rFonts w:eastAsia="Times New Roman" w:cs="Times New Roman"/>
                          <w:bCs/>
                          <w:color w:val="001D77"/>
                          <w:sz w:val="18"/>
                          <w:szCs w:val="18"/>
                          <w:lang w:val="en-GB" w:eastAsia="pl-PL"/>
                        </w:rPr>
                        <w:t>of EU bed places</w:t>
                      </w:r>
                    </w:p>
                    <w:p w14:paraId="22C46185" w14:textId="77777777" w:rsidR="00976BED" w:rsidRPr="007B2F88" w:rsidRDefault="00976BED" w:rsidP="00976BED">
                      <w:pPr>
                        <w:spacing w:after="0"/>
                        <w:rPr>
                          <w:rFonts w:eastAsia="Times New Roman" w:cs="Times New Roman"/>
                          <w:bCs/>
                          <w:color w:val="001D77"/>
                          <w:sz w:val="18"/>
                          <w:szCs w:val="18"/>
                          <w:lang w:val="en-GB" w:eastAsia="pl-PL"/>
                        </w:rPr>
                      </w:pPr>
                    </w:p>
                  </w:txbxContent>
                </v:textbox>
                <w10:wrap type="tight" anchorx="margin"/>
              </v:shape>
            </w:pict>
          </mc:Fallback>
        </mc:AlternateContent>
      </w:r>
      <w:r w:rsidRPr="00145E8D">
        <w:rPr>
          <w:color w:val="000000" w:themeColor="text1"/>
          <w:shd w:val="clear" w:color="auto" w:fill="FFFFFF"/>
          <w:lang w:val="en-GB"/>
        </w:rPr>
        <w:t>In 2018</w:t>
      </w:r>
      <w:r w:rsidR="00854B09">
        <w:rPr>
          <w:color w:val="000000" w:themeColor="text1"/>
          <w:shd w:val="clear" w:color="auto" w:fill="FFFFFF"/>
          <w:lang w:val="en-GB"/>
        </w:rPr>
        <w:t>,</w:t>
      </w:r>
      <w:r w:rsidRPr="00145E8D">
        <w:rPr>
          <w:color w:val="000000" w:themeColor="text1"/>
          <w:shd w:val="clear" w:color="auto" w:fill="FFFFFF"/>
          <w:lang w:val="en-GB"/>
        </w:rPr>
        <w:t xml:space="preserve"> tourist accommodation establishments located </w:t>
      </w:r>
      <w:r w:rsidR="00854B09">
        <w:rPr>
          <w:color w:val="000000" w:themeColor="text1"/>
          <w:shd w:val="clear" w:color="auto" w:fill="FFFFFF"/>
          <w:lang w:val="en-GB"/>
        </w:rPr>
        <w:t>i</w:t>
      </w:r>
      <w:r w:rsidRPr="00145E8D">
        <w:rPr>
          <w:color w:val="000000" w:themeColor="text1"/>
          <w:shd w:val="clear" w:color="auto" w:fill="FFFFFF"/>
          <w:lang w:val="en-GB"/>
        </w:rPr>
        <w:t xml:space="preserve">n the European Union area offered 32.2 </w:t>
      </w:r>
      <w:r w:rsidR="00DC00B9">
        <w:rPr>
          <w:color w:val="000000" w:themeColor="text1"/>
          <w:shd w:val="clear" w:color="auto" w:fill="FFFFFF"/>
          <w:lang w:val="en-GB"/>
        </w:rPr>
        <w:t>million</w:t>
      </w:r>
      <w:r w:rsidRPr="00145E8D">
        <w:rPr>
          <w:color w:val="000000" w:themeColor="text1"/>
          <w:shd w:val="clear" w:color="auto" w:fill="FFFFFF"/>
          <w:lang w:val="en-GB"/>
        </w:rPr>
        <w:t xml:space="preserve"> bed places. The largest number of bed places was</w:t>
      </w:r>
      <w:r w:rsidR="00327421">
        <w:rPr>
          <w:color w:val="000000" w:themeColor="text1"/>
          <w:shd w:val="clear" w:color="auto" w:fill="FFFFFF"/>
          <w:lang w:val="en-GB"/>
        </w:rPr>
        <w:t xml:space="preserve"> available in France and Italy </w:t>
      </w:r>
      <w:r w:rsidR="00327421" w:rsidRPr="00145E8D">
        <w:rPr>
          <w:color w:val="000000" w:themeColor="text1"/>
          <w:shd w:val="clear" w:color="auto" w:fill="FFFFFF"/>
          <w:lang w:val="en-GB"/>
        </w:rPr>
        <w:t>–</w:t>
      </w:r>
      <w:r w:rsidRPr="00145E8D">
        <w:rPr>
          <w:color w:val="000000" w:themeColor="text1"/>
          <w:shd w:val="clear" w:color="auto" w:fill="FFFFFF"/>
          <w:lang w:val="en-GB"/>
        </w:rPr>
        <w:t xml:space="preserve">over 5 </w:t>
      </w:r>
      <w:r w:rsidR="00DC00B9">
        <w:rPr>
          <w:color w:val="000000" w:themeColor="text1"/>
          <w:shd w:val="clear" w:color="auto" w:fill="FFFFFF"/>
          <w:lang w:val="en-GB"/>
        </w:rPr>
        <w:t>million</w:t>
      </w:r>
      <w:r w:rsidRPr="00145E8D">
        <w:rPr>
          <w:color w:val="000000" w:themeColor="text1"/>
          <w:shd w:val="clear" w:color="auto" w:fill="FFFFFF"/>
          <w:lang w:val="en-GB"/>
        </w:rPr>
        <w:t>, which accounted for almost 1/3 of all bed places in the EU</w:t>
      </w:r>
      <w:r w:rsidR="00ED17AB">
        <w:rPr>
          <w:color w:val="000000" w:themeColor="text1"/>
          <w:shd w:val="clear" w:color="auto" w:fill="FFFFFF"/>
          <w:lang w:val="en-GB"/>
        </w:rPr>
        <w:t>.</w:t>
      </w:r>
      <w:r w:rsidR="00ED17AB" w:rsidRPr="00ED17AB">
        <w:rPr>
          <w:color w:val="000000" w:themeColor="text1"/>
          <w:shd w:val="clear" w:color="auto" w:fill="FFFFFF"/>
          <w:lang w:val="en-GB"/>
        </w:rPr>
        <w:t xml:space="preserve"> </w:t>
      </w:r>
      <w:r w:rsidR="00ED17AB">
        <w:rPr>
          <w:color w:val="000000" w:themeColor="text1"/>
          <w:shd w:val="clear" w:color="auto" w:fill="FFFFFF"/>
          <w:lang w:val="en-GB"/>
        </w:rPr>
        <w:t>I</w:t>
      </w:r>
      <w:r w:rsidR="00ED17AB" w:rsidRPr="00145E8D">
        <w:rPr>
          <w:color w:val="000000" w:themeColor="text1"/>
          <w:shd w:val="clear" w:color="auto" w:fill="FFFFFF"/>
          <w:lang w:val="en-GB"/>
        </w:rPr>
        <w:t>n 2018</w:t>
      </w:r>
      <w:r w:rsidR="00ED17AB">
        <w:rPr>
          <w:color w:val="000000" w:themeColor="text1"/>
          <w:shd w:val="clear" w:color="auto" w:fill="FFFFFF"/>
          <w:lang w:val="en-GB"/>
        </w:rPr>
        <w:t>,</w:t>
      </w:r>
      <w:r w:rsidRPr="00145E8D">
        <w:rPr>
          <w:color w:val="000000" w:themeColor="text1"/>
          <w:shd w:val="clear" w:color="auto" w:fill="FFFFFF"/>
          <w:lang w:val="en-GB"/>
        </w:rPr>
        <w:t xml:space="preserve"> </w:t>
      </w:r>
      <w:r w:rsidR="00ED17AB">
        <w:rPr>
          <w:color w:val="000000" w:themeColor="text1"/>
          <w:shd w:val="clear" w:color="auto" w:fill="FFFFFF"/>
          <w:lang w:val="en-GB"/>
        </w:rPr>
        <w:t>i</w:t>
      </w:r>
      <w:r w:rsidRPr="00145E8D">
        <w:rPr>
          <w:color w:val="000000" w:themeColor="text1"/>
          <w:shd w:val="clear" w:color="auto" w:fill="FFFFFF"/>
          <w:lang w:val="en-GB"/>
        </w:rPr>
        <w:t xml:space="preserve">n Poland tourist accommodation establishments offered 798.7 </w:t>
      </w:r>
      <w:r w:rsidR="00DC00B9">
        <w:rPr>
          <w:color w:val="000000" w:themeColor="text1"/>
          <w:shd w:val="clear" w:color="auto" w:fill="FFFFFF"/>
          <w:lang w:val="en-GB"/>
        </w:rPr>
        <w:t>thousand</w:t>
      </w:r>
      <w:r w:rsidRPr="00145E8D">
        <w:rPr>
          <w:color w:val="000000" w:themeColor="text1"/>
          <w:shd w:val="clear" w:color="auto" w:fill="FFFFFF"/>
          <w:lang w:val="en-GB"/>
        </w:rPr>
        <w:t xml:space="preserve"> bed places. Compared to 2017, the number of bed places in EU countries slightly increased (by 1.6%). The tourist accommodation establishments density rate measured by the number of bed places per 1 km</w:t>
      </w:r>
      <w:r w:rsidRPr="00145E8D">
        <w:rPr>
          <w:color w:val="000000" w:themeColor="text1"/>
          <w:shd w:val="clear" w:color="auto" w:fill="FFFFFF"/>
          <w:vertAlign w:val="superscript"/>
          <w:lang w:val="en-GB"/>
        </w:rPr>
        <w:t>2</w:t>
      </w:r>
      <w:r w:rsidRPr="00145E8D">
        <w:rPr>
          <w:color w:val="000000" w:themeColor="text1"/>
          <w:shd w:val="clear" w:color="auto" w:fill="FFFFFF"/>
          <w:lang w:val="en-GB"/>
        </w:rPr>
        <w:t xml:space="preserve"> of the EU area amounted to 7.4. The highest value of the rate was observed in Malta - 143.6. In Poland, such rate amounted to 2.6. </w:t>
      </w:r>
    </w:p>
    <w:p w14:paraId="444FA817" w14:textId="44299662" w:rsidR="00976BED" w:rsidRPr="00145E8D" w:rsidRDefault="00976BED" w:rsidP="00976BED">
      <w:pPr>
        <w:rPr>
          <w:color w:val="000000" w:themeColor="text1"/>
          <w:spacing w:val="-2"/>
          <w:szCs w:val="19"/>
          <w:shd w:val="clear" w:color="auto" w:fill="FFFFFF"/>
          <w:lang w:val="en-GB"/>
        </w:rPr>
      </w:pPr>
      <w:r w:rsidRPr="00145E8D">
        <w:rPr>
          <w:color w:val="000000" w:themeColor="text1"/>
          <w:spacing w:val="-2"/>
          <w:szCs w:val="19"/>
          <w:shd w:val="clear" w:color="auto" w:fill="FFFFFF"/>
          <w:lang w:val="en-GB"/>
        </w:rPr>
        <w:t xml:space="preserve">The largest number of bed places was offered by hotels and similar accommodation (14.1 </w:t>
      </w:r>
      <w:r w:rsidR="00DC00B9">
        <w:rPr>
          <w:color w:val="000000" w:themeColor="text1"/>
          <w:spacing w:val="-2"/>
          <w:szCs w:val="19"/>
          <w:shd w:val="clear" w:color="auto" w:fill="FFFFFF"/>
          <w:lang w:val="en-GB"/>
        </w:rPr>
        <w:t>million</w:t>
      </w:r>
      <w:r w:rsidRPr="00145E8D">
        <w:rPr>
          <w:color w:val="000000" w:themeColor="text1"/>
          <w:spacing w:val="-2"/>
          <w:szCs w:val="19"/>
          <w:shd w:val="clear" w:color="auto" w:fill="FFFFFF"/>
          <w:lang w:val="en-GB"/>
        </w:rPr>
        <w:t xml:space="preserve">, i.e. almost 43.7% of all bed places in the EU) and 2/3 of them was offered in five countries: Germany, Spain, France, Italy and United Kingdom, in which the number of bed places ranged from 1.3 to 2.3 </w:t>
      </w:r>
      <w:r w:rsidR="00DC00B9">
        <w:rPr>
          <w:color w:val="000000" w:themeColor="text1"/>
          <w:spacing w:val="-2"/>
          <w:szCs w:val="19"/>
          <w:shd w:val="clear" w:color="auto" w:fill="FFFFFF"/>
          <w:lang w:val="en-GB"/>
        </w:rPr>
        <w:t>million</w:t>
      </w:r>
      <w:r w:rsidRPr="00145E8D">
        <w:rPr>
          <w:color w:val="000000" w:themeColor="text1"/>
          <w:spacing w:val="-2"/>
          <w:szCs w:val="19"/>
          <w:shd w:val="clear" w:color="auto" w:fill="FFFFFF"/>
          <w:lang w:val="en-GB"/>
        </w:rPr>
        <w:t>. In Poland</w:t>
      </w:r>
      <w:r w:rsidR="00854B09">
        <w:rPr>
          <w:color w:val="000000" w:themeColor="text1"/>
          <w:spacing w:val="-2"/>
          <w:szCs w:val="19"/>
          <w:shd w:val="clear" w:color="auto" w:fill="FFFFFF"/>
          <w:lang w:val="en-GB"/>
        </w:rPr>
        <w:t>,</w:t>
      </w:r>
      <w:r w:rsidRPr="00145E8D">
        <w:rPr>
          <w:color w:val="000000" w:themeColor="text1"/>
          <w:spacing w:val="-2"/>
          <w:szCs w:val="19"/>
          <w:shd w:val="clear" w:color="auto" w:fill="FFFFFF"/>
          <w:lang w:val="en-GB"/>
        </w:rPr>
        <w:t xml:space="preserve"> hotels and similar accommodation in 2018 offered 354 </w:t>
      </w:r>
      <w:r w:rsidR="00DC00B9">
        <w:rPr>
          <w:color w:val="000000" w:themeColor="text1"/>
          <w:spacing w:val="-2"/>
          <w:szCs w:val="19"/>
          <w:shd w:val="clear" w:color="auto" w:fill="FFFFFF"/>
          <w:lang w:val="en-GB"/>
        </w:rPr>
        <w:t>thousand</w:t>
      </w:r>
      <w:r w:rsidRPr="00145E8D">
        <w:rPr>
          <w:color w:val="000000" w:themeColor="text1"/>
          <w:spacing w:val="-2"/>
          <w:szCs w:val="19"/>
          <w:shd w:val="clear" w:color="auto" w:fill="FFFFFF"/>
          <w:lang w:val="en-GB"/>
        </w:rPr>
        <w:t xml:space="preserve"> bed places. Compared to 2017</w:t>
      </w:r>
      <w:r w:rsidR="00854B09">
        <w:rPr>
          <w:color w:val="000000" w:themeColor="text1"/>
          <w:spacing w:val="-2"/>
          <w:szCs w:val="19"/>
          <w:shd w:val="clear" w:color="auto" w:fill="FFFFFF"/>
          <w:lang w:val="en-GB"/>
        </w:rPr>
        <w:t>,</w:t>
      </w:r>
      <w:r w:rsidRPr="00145E8D">
        <w:rPr>
          <w:color w:val="000000" w:themeColor="text1"/>
          <w:spacing w:val="-2"/>
          <w:szCs w:val="19"/>
          <w:shd w:val="clear" w:color="auto" w:fill="FFFFFF"/>
          <w:lang w:val="en-GB"/>
        </w:rPr>
        <w:t xml:space="preserve"> the number of bed places in this type of accommodation in the EU slightly increased (by 1.2%). The highest increase was observed in Lithuania (by 6.8%), the Netherlands (5.9%), Belgium (5.4%), Slovakia (5.0%), Denmark (4.6%), Greece (3.5%) and </w:t>
      </w:r>
      <w:proofErr w:type="spellStart"/>
      <w:r w:rsidRPr="00145E8D">
        <w:rPr>
          <w:color w:val="000000" w:themeColor="text1"/>
          <w:spacing w:val="-2"/>
          <w:szCs w:val="19"/>
          <w:shd w:val="clear" w:color="auto" w:fill="FFFFFF"/>
          <w:lang w:val="en-GB"/>
        </w:rPr>
        <w:t>Czechia</w:t>
      </w:r>
      <w:proofErr w:type="spellEnd"/>
      <w:r w:rsidRPr="00145E8D">
        <w:rPr>
          <w:color w:val="000000" w:themeColor="text1"/>
          <w:spacing w:val="-2"/>
          <w:szCs w:val="19"/>
          <w:shd w:val="clear" w:color="auto" w:fill="FFFFFF"/>
          <w:lang w:val="en-GB"/>
        </w:rPr>
        <w:t xml:space="preserve"> (3.2%). In Poland</w:t>
      </w:r>
      <w:r w:rsidR="00854B09">
        <w:rPr>
          <w:color w:val="000000" w:themeColor="text1"/>
          <w:spacing w:val="-2"/>
          <w:szCs w:val="19"/>
          <w:shd w:val="clear" w:color="auto" w:fill="FFFFFF"/>
          <w:lang w:val="en-GB"/>
        </w:rPr>
        <w:t>,</w:t>
      </w:r>
      <w:r w:rsidRPr="00145E8D">
        <w:rPr>
          <w:color w:val="000000" w:themeColor="text1"/>
          <w:spacing w:val="-2"/>
          <w:szCs w:val="19"/>
          <w:shd w:val="clear" w:color="auto" w:fill="FFFFFF"/>
          <w:lang w:val="en-GB"/>
        </w:rPr>
        <w:t xml:space="preserve"> the number of bed</w:t>
      </w:r>
      <w:r w:rsidR="006C4B14">
        <w:rPr>
          <w:color w:val="000000" w:themeColor="text1"/>
          <w:spacing w:val="-2"/>
          <w:szCs w:val="19"/>
          <w:shd w:val="clear" w:color="auto" w:fill="FFFFFF"/>
          <w:lang w:val="en-GB"/>
        </w:rPr>
        <w:t xml:space="preserve"> places</w:t>
      </w:r>
      <w:r w:rsidRPr="00145E8D">
        <w:rPr>
          <w:color w:val="000000" w:themeColor="text1"/>
          <w:spacing w:val="-2"/>
          <w:szCs w:val="19"/>
          <w:shd w:val="clear" w:color="auto" w:fill="FFFFFF"/>
          <w:lang w:val="en-GB"/>
        </w:rPr>
        <w:t xml:space="preserve"> in hotels and similar accommodation increased by 5.3%. A decrease in the number of bed places in hotels and similar accommodation was recorded in Bulgaria (by 5%), Portugal (1.2%), France (1.1%), Lithuania (0.5%) and Estonia (0</w:t>
      </w:r>
      <w:r w:rsidR="00854B09">
        <w:rPr>
          <w:color w:val="000000" w:themeColor="text1"/>
          <w:spacing w:val="-2"/>
          <w:szCs w:val="19"/>
          <w:shd w:val="clear" w:color="auto" w:fill="FFFFFF"/>
          <w:lang w:val="en-GB"/>
        </w:rPr>
        <w:t>.</w:t>
      </w:r>
      <w:r w:rsidRPr="00145E8D">
        <w:rPr>
          <w:color w:val="000000" w:themeColor="text1"/>
          <w:spacing w:val="-2"/>
          <w:szCs w:val="19"/>
          <w:shd w:val="clear" w:color="auto" w:fill="FFFFFF"/>
          <w:lang w:val="en-GB"/>
        </w:rPr>
        <w:t xml:space="preserve">1%). </w:t>
      </w:r>
    </w:p>
    <w:p w14:paraId="3EF05552" w14:textId="77777777" w:rsidR="00746187" w:rsidRPr="00145E8D" w:rsidRDefault="00746187" w:rsidP="00E76D26">
      <w:pPr>
        <w:rPr>
          <w:b/>
          <w:spacing w:val="-2"/>
          <w:sz w:val="18"/>
          <w:lang w:val="en-GB"/>
        </w:rPr>
      </w:pPr>
    </w:p>
    <w:p w14:paraId="2505F1E6" w14:textId="68531523" w:rsidR="00976BED" w:rsidRPr="00DC00B9" w:rsidRDefault="00976BED" w:rsidP="00976BED">
      <w:pPr>
        <w:rPr>
          <w:b/>
          <w:spacing w:val="-2"/>
          <w:sz w:val="18"/>
          <w:shd w:val="clear" w:color="auto" w:fill="FFFFFF"/>
          <w:lang w:val="en-GB"/>
        </w:rPr>
      </w:pPr>
      <w:r w:rsidRPr="00145E8D">
        <w:rPr>
          <w:b/>
          <w:spacing w:val="-2"/>
          <w:sz w:val="18"/>
          <w:shd w:val="clear" w:color="auto" w:fill="FFFFFF"/>
          <w:lang w:val="en-GB"/>
        </w:rPr>
        <w:lastRenderedPageBreak/>
        <w:t xml:space="preserve">Table 1. </w:t>
      </w:r>
      <w:r w:rsidRPr="00DC00B9">
        <w:rPr>
          <w:b/>
          <w:spacing w:val="-2"/>
          <w:sz w:val="18"/>
          <w:shd w:val="clear" w:color="auto" w:fill="FFFFFF"/>
          <w:lang w:val="en-GB"/>
        </w:rPr>
        <w:t xml:space="preserve">Tourist accommodation establishments and their occupancy in 2018 </w:t>
      </w:r>
    </w:p>
    <w:tbl>
      <w:tblPr>
        <w:tblStyle w:val="Tabela-Siatka1"/>
        <w:tblW w:w="4746" w:type="pct"/>
        <w:tblBorders>
          <w:top w:val="single" w:sz="4" w:space="0" w:color="002060"/>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1191"/>
        <w:gridCol w:w="1077"/>
        <w:gridCol w:w="1077"/>
        <w:gridCol w:w="1078"/>
        <w:gridCol w:w="1078"/>
        <w:gridCol w:w="1078"/>
        <w:gridCol w:w="1078"/>
      </w:tblGrid>
      <w:tr w:rsidR="00976BED" w:rsidRPr="00145E8D" w14:paraId="11AE3636" w14:textId="77777777" w:rsidTr="00976BED">
        <w:trPr>
          <w:trHeight w:val="397"/>
        </w:trPr>
        <w:tc>
          <w:tcPr>
            <w:tcW w:w="778" w:type="pct"/>
            <w:vMerge w:val="restart"/>
            <w:tcBorders>
              <w:top w:val="nil"/>
              <w:bottom w:val="single" w:sz="4" w:space="0" w:color="212492"/>
              <w:right w:val="single" w:sz="4" w:space="0" w:color="212492"/>
            </w:tcBorders>
            <w:vAlign w:val="center"/>
          </w:tcPr>
          <w:p w14:paraId="4154A39E"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COUNTRY</w:t>
            </w:r>
          </w:p>
        </w:tc>
        <w:tc>
          <w:tcPr>
            <w:tcW w:w="703" w:type="pct"/>
            <w:vMerge w:val="restart"/>
            <w:tcBorders>
              <w:top w:val="nil"/>
              <w:left w:val="single" w:sz="4" w:space="0" w:color="212492"/>
              <w:bottom w:val="single" w:sz="4" w:space="0" w:color="212492"/>
              <w:right w:val="single" w:sz="4" w:space="0" w:color="212492"/>
            </w:tcBorders>
            <w:vAlign w:val="center"/>
          </w:tcPr>
          <w:p w14:paraId="6715C820"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Establishments</w:t>
            </w:r>
          </w:p>
        </w:tc>
        <w:tc>
          <w:tcPr>
            <w:tcW w:w="703" w:type="pct"/>
            <w:vMerge w:val="restart"/>
            <w:tcBorders>
              <w:top w:val="nil"/>
              <w:left w:val="single" w:sz="4" w:space="0" w:color="212492"/>
              <w:bottom w:val="single" w:sz="4" w:space="0" w:color="212492"/>
              <w:right w:val="single" w:sz="4" w:space="0" w:color="212492"/>
            </w:tcBorders>
            <w:vAlign w:val="center"/>
          </w:tcPr>
          <w:p w14:paraId="49AB6AC3"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Bed places</w:t>
            </w:r>
          </w:p>
        </w:tc>
        <w:tc>
          <w:tcPr>
            <w:tcW w:w="1408" w:type="pct"/>
            <w:gridSpan w:val="2"/>
            <w:tcBorders>
              <w:top w:val="nil"/>
              <w:left w:val="single" w:sz="4" w:space="0" w:color="212492"/>
              <w:bottom w:val="single" w:sz="4" w:space="0" w:color="212492"/>
              <w:right w:val="single" w:sz="4" w:space="0" w:color="212492"/>
            </w:tcBorders>
            <w:vAlign w:val="center"/>
          </w:tcPr>
          <w:p w14:paraId="502B8D56" w14:textId="0C386450" w:rsidR="00976BED" w:rsidRPr="00145E8D" w:rsidRDefault="007C5593" w:rsidP="0033269E">
            <w:pPr>
              <w:spacing w:before="40" w:after="40" w:line="260" w:lineRule="exact"/>
              <w:jc w:val="center"/>
              <w:rPr>
                <w:sz w:val="16"/>
                <w:szCs w:val="16"/>
                <w:lang w:val="en-GB"/>
              </w:rPr>
            </w:pPr>
            <w:r w:rsidRPr="00145E8D">
              <w:rPr>
                <w:sz w:val="16"/>
                <w:szCs w:val="16"/>
                <w:lang w:val="en-GB"/>
              </w:rPr>
              <w:t xml:space="preserve">Tourists </w:t>
            </w:r>
            <w:r w:rsidR="00931837">
              <w:rPr>
                <w:sz w:val="16"/>
                <w:szCs w:val="16"/>
                <w:lang w:val="en-GB"/>
              </w:rPr>
              <w:br/>
            </w:r>
            <w:r w:rsidRPr="00145E8D">
              <w:rPr>
                <w:sz w:val="16"/>
                <w:szCs w:val="16"/>
                <w:lang w:val="en-GB"/>
              </w:rPr>
              <w:t>accommodated</w:t>
            </w:r>
          </w:p>
        </w:tc>
        <w:tc>
          <w:tcPr>
            <w:tcW w:w="1408" w:type="pct"/>
            <w:gridSpan w:val="2"/>
            <w:tcBorders>
              <w:top w:val="nil"/>
              <w:left w:val="single" w:sz="4" w:space="0" w:color="212492"/>
              <w:bottom w:val="single" w:sz="4" w:space="0" w:color="212492"/>
            </w:tcBorders>
            <w:vAlign w:val="center"/>
          </w:tcPr>
          <w:p w14:paraId="31D9F58F" w14:textId="0442B145" w:rsidR="00976BED" w:rsidRPr="00145E8D" w:rsidRDefault="007C5593" w:rsidP="0033269E">
            <w:pPr>
              <w:spacing w:before="40" w:after="40" w:line="260" w:lineRule="exact"/>
              <w:jc w:val="center"/>
              <w:rPr>
                <w:sz w:val="16"/>
                <w:szCs w:val="16"/>
                <w:lang w:val="en-GB"/>
              </w:rPr>
            </w:pPr>
            <w:r w:rsidRPr="00145E8D">
              <w:rPr>
                <w:sz w:val="16"/>
                <w:szCs w:val="16"/>
                <w:lang w:val="en-GB"/>
              </w:rPr>
              <w:t xml:space="preserve">Nights </w:t>
            </w:r>
            <w:r w:rsidR="0033269E">
              <w:rPr>
                <w:sz w:val="16"/>
                <w:szCs w:val="16"/>
                <w:lang w:val="en-GB"/>
              </w:rPr>
              <w:br/>
            </w:r>
            <w:r w:rsidRPr="00145E8D">
              <w:rPr>
                <w:sz w:val="16"/>
                <w:szCs w:val="16"/>
                <w:lang w:val="en-GB"/>
              </w:rPr>
              <w:t>spent</w:t>
            </w:r>
          </w:p>
        </w:tc>
      </w:tr>
      <w:tr w:rsidR="00976BED" w:rsidRPr="006C4B14" w14:paraId="444C5D9A" w14:textId="77777777" w:rsidTr="00976BED">
        <w:trPr>
          <w:trHeight w:val="397"/>
        </w:trPr>
        <w:tc>
          <w:tcPr>
            <w:tcW w:w="778" w:type="pct"/>
            <w:vMerge/>
            <w:tcBorders>
              <w:top w:val="single" w:sz="4" w:space="0" w:color="212492"/>
              <w:bottom w:val="single" w:sz="4" w:space="0" w:color="212492"/>
              <w:right w:val="single" w:sz="4" w:space="0" w:color="212492"/>
            </w:tcBorders>
            <w:vAlign w:val="center"/>
          </w:tcPr>
          <w:p w14:paraId="63625F20" w14:textId="77777777" w:rsidR="00976BED" w:rsidRPr="00145E8D" w:rsidRDefault="00976BED" w:rsidP="0033269E">
            <w:pPr>
              <w:spacing w:before="40" w:after="40" w:line="260" w:lineRule="exact"/>
              <w:ind w:right="-91"/>
              <w:jc w:val="center"/>
              <w:rPr>
                <w:b/>
                <w:bCs/>
                <w:sz w:val="16"/>
                <w:szCs w:val="16"/>
                <w:lang w:val="en-GB"/>
              </w:rPr>
            </w:pPr>
          </w:p>
        </w:tc>
        <w:tc>
          <w:tcPr>
            <w:tcW w:w="703" w:type="pct"/>
            <w:vMerge/>
            <w:tcBorders>
              <w:top w:val="single" w:sz="4" w:space="0" w:color="212492"/>
              <w:left w:val="single" w:sz="4" w:space="0" w:color="212492"/>
              <w:bottom w:val="single" w:sz="4" w:space="0" w:color="212492"/>
              <w:right w:val="single" w:sz="4" w:space="0" w:color="212492"/>
            </w:tcBorders>
            <w:vAlign w:val="center"/>
          </w:tcPr>
          <w:p w14:paraId="4FE84097" w14:textId="77777777" w:rsidR="00976BED" w:rsidRPr="00145E8D" w:rsidRDefault="00976BED" w:rsidP="0033269E">
            <w:pPr>
              <w:spacing w:before="40" w:after="40" w:line="260" w:lineRule="exact"/>
              <w:jc w:val="center"/>
              <w:rPr>
                <w:sz w:val="16"/>
                <w:szCs w:val="16"/>
                <w:lang w:val="en-GB"/>
              </w:rPr>
            </w:pPr>
          </w:p>
        </w:tc>
        <w:tc>
          <w:tcPr>
            <w:tcW w:w="703" w:type="pct"/>
            <w:vMerge/>
            <w:tcBorders>
              <w:top w:val="single" w:sz="4" w:space="0" w:color="212492"/>
              <w:left w:val="single" w:sz="4" w:space="0" w:color="212492"/>
              <w:bottom w:val="single" w:sz="4" w:space="0" w:color="212492"/>
              <w:right w:val="single" w:sz="4" w:space="0" w:color="212492"/>
            </w:tcBorders>
            <w:vAlign w:val="center"/>
          </w:tcPr>
          <w:p w14:paraId="1C02C543" w14:textId="77777777" w:rsidR="00976BED" w:rsidRPr="00145E8D" w:rsidRDefault="00976BED" w:rsidP="0033269E">
            <w:pPr>
              <w:spacing w:before="40" w:after="40" w:line="260" w:lineRule="exact"/>
              <w:jc w:val="center"/>
              <w:rPr>
                <w:sz w:val="16"/>
                <w:szCs w:val="16"/>
                <w:lang w:val="en-GB"/>
              </w:rPr>
            </w:pPr>
          </w:p>
        </w:tc>
        <w:tc>
          <w:tcPr>
            <w:tcW w:w="704" w:type="pct"/>
            <w:tcBorders>
              <w:top w:val="single" w:sz="4" w:space="0" w:color="212492"/>
              <w:left w:val="single" w:sz="4" w:space="0" w:color="212492"/>
              <w:bottom w:val="single" w:sz="4" w:space="0" w:color="212492"/>
              <w:right w:val="single" w:sz="4" w:space="0" w:color="212492"/>
            </w:tcBorders>
            <w:vAlign w:val="center"/>
          </w:tcPr>
          <w:p w14:paraId="31565E1A"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total</w:t>
            </w:r>
          </w:p>
        </w:tc>
        <w:tc>
          <w:tcPr>
            <w:tcW w:w="704" w:type="pct"/>
            <w:tcBorders>
              <w:top w:val="single" w:sz="4" w:space="0" w:color="212492"/>
              <w:left w:val="single" w:sz="4" w:space="0" w:color="212492"/>
              <w:bottom w:val="single" w:sz="4" w:space="0" w:color="212492"/>
              <w:right w:val="single" w:sz="4" w:space="0" w:color="212492"/>
            </w:tcBorders>
            <w:vAlign w:val="center"/>
          </w:tcPr>
          <w:p w14:paraId="5964DF37"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of which foreign</w:t>
            </w:r>
          </w:p>
        </w:tc>
        <w:tc>
          <w:tcPr>
            <w:tcW w:w="704" w:type="pct"/>
            <w:tcBorders>
              <w:top w:val="single" w:sz="4" w:space="0" w:color="212492"/>
              <w:left w:val="single" w:sz="4" w:space="0" w:color="212492"/>
              <w:bottom w:val="single" w:sz="4" w:space="0" w:color="212492"/>
              <w:right w:val="single" w:sz="4" w:space="0" w:color="212492"/>
            </w:tcBorders>
            <w:vAlign w:val="center"/>
          </w:tcPr>
          <w:p w14:paraId="0DD41DAC"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total</w:t>
            </w:r>
          </w:p>
        </w:tc>
        <w:tc>
          <w:tcPr>
            <w:tcW w:w="704" w:type="pct"/>
            <w:tcBorders>
              <w:top w:val="single" w:sz="4" w:space="0" w:color="212492"/>
              <w:left w:val="single" w:sz="4" w:space="0" w:color="212492"/>
              <w:bottom w:val="single" w:sz="4" w:space="0" w:color="212492"/>
            </w:tcBorders>
            <w:vAlign w:val="center"/>
          </w:tcPr>
          <w:p w14:paraId="1D82F70D" w14:textId="77777777" w:rsidR="00976BED" w:rsidRPr="00145E8D" w:rsidRDefault="007C5593" w:rsidP="0033269E">
            <w:pPr>
              <w:spacing w:before="40" w:after="40" w:line="260" w:lineRule="exact"/>
              <w:jc w:val="center"/>
              <w:rPr>
                <w:sz w:val="16"/>
                <w:szCs w:val="16"/>
                <w:lang w:val="en-GB"/>
              </w:rPr>
            </w:pPr>
            <w:r w:rsidRPr="00145E8D">
              <w:rPr>
                <w:sz w:val="16"/>
                <w:szCs w:val="16"/>
                <w:lang w:val="en-GB"/>
              </w:rPr>
              <w:t>of which to foreign tourists</w:t>
            </w:r>
          </w:p>
        </w:tc>
      </w:tr>
      <w:tr w:rsidR="00976BED" w:rsidRPr="00145E8D" w14:paraId="3A54EFDD" w14:textId="77777777" w:rsidTr="00976BED">
        <w:trPr>
          <w:trHeight w:val="283"/>
        </w:trPr>
        <w:tc>
          <w:tcPr>
            <w:tcW w:w="778" w:type="pct"/>
            <w:vMerge/>
            <w:tcBorders>
              <w:top w:val="single" w:sz="4" w:space="0" w:color="212492"/>
              <w:bottom w:val="single" w:sz="12" w:space="0" w:color="212492"/>
              <w:right w:val="single" w:sz="4" w:space="0" w:color="212492"/>
            </w:tcBorders>
            <w:vAlign w:val="center"/>
          </w:tcPr>
          <w:p w14:paraId="40AFB968" w14:textId="77777777" w:rsidR="00976BED" w:rsidRPr="00145E8D" w:rsidRDefault="00976BED" w:rsidP="0033269E">
            <w:pPr>
              <w:spacing w:before="40" w:after="40" w:line="260" w:lineRule="exact"/>
              <w:ind w:right="-91"/>
              <w:jc w:val="center"/>
              <w:rPr>
                <w:b/>
                <w:bCs/>
                <w:sz w:val="16"/>
                <w:szCs w:val="16"/>
                <w:lang w:val="en-GB"/>
              </w:rPr>
            </w:pPr>
          </w:p>
        </w:tc>
        <w:tc>
          <w:tcPr>
            <w:tcW w:w="4222" w:type="pct"/>
            <w:gridSpan w:val="6"/>
            <w:tcBorders>
              <w:top w:val="single" w:sz="4" w:space="0" w:color="212492"/>
              <w:left w:val="single" w:sz="4" w:space="0" w:color="212492"/>
              <w:bottom w:val="single" w:sz="12" w:space="0" w:color="212492"/>
            </w:tcBorders>
            <w:vAlign w:val="center"/>
          </w:tcPr>
          <w:p w14:paraId="3068AA2B" w14:textId="0EB8C374" w:rsidR="00976BED" w:rsidRPr="00145E8D" w:rsidRDefault="00173CB7" w:rsidP="0033269E">
            <w:pPr>
              <w:spacing w:before="40" w:after="40" w:line="260" w:lineRule="exact"/>
              <w:jc w:val="center"/>
              <w:rPr>
                <w:sz w:val="16"/>
                <w:szCs w:val="16"/>
                <w:lang w:val="en-GB"/>
              </w:rPr>
            </w:pPr>
            <w:r>
              <w:rPr>
                <w:sz w:val="16"/>
                <w:szCs w:val="16"/>
                <w:lang w:val="en-GB"/>
              </w:rPr>
              <w:t>in thousand</w:t>
            </w:r>
          </w:p>
        </w:tc>
      </w:tr>
      <w:tr w:rsidR="00976BED" w:rsidRPr="00145E8D" w14:paraId="4193397E" w14:textId="77777777" w:rsidTr="00976BED">
        <w:trPr>
          <w:trHeight w:val="397"/>
        </w:trPr>
        <w:tc>
          <w:tcPr>
            <w:tcW w:w="778" w:type="pct"/>
            <w:tcBorders>
              <w:top w:val="single" w:sz="12" w:space="0" w:color="212492"/>
              <w:bottom w:val="single" w:sz="4" w:space="0" w:color="212492"/>
              <w:right w:val="single" w:sz="4" w:space="0" w:color="212492"/>
            </w:tcBorders>
            <w:vAlign w:val="center"/>
          </w:tcPr>
          <w:p w14:paraId="6782CC9F" w14:textId="77777777" w:rsidR="00976BED" w:rsidRPr="00145E8D" w:rsidRDefault="007C5593" w:rsidP="00931837">
            <w:pPr>
              <w:spacing w:before="0" w:after="0" w:line="260" w:lineRule="exact"/>
              <w:ind w:right="-91"/>
              <w:contextualSpacing/>
              <w:rPr>
                <w:b/>
                <w:bCs/>
                <w:sz w:val="16"/>
                <w:szCs w:val="16"/>
                <w:lang w:val="en-GB"/>
              </w:rPr>
            </w:pPr>
            <w:r w:rsidRPr="00145E8D">
              <w:rPr>
                <w:b/>
                <w:bCs/>
                <w:sz w:val="16"/>
                <w:szCs w:val="16"/>
                <w:lang w:val="en-GB"/>
              </w:rPr>
              <w:t>Total</w:t>
            </w:r>
          </w:p>
        </w:tc>
        <w:tc>
          <w:tcPr>
            <w:tcW w:w="703" w:type="pct"/>
            <w:tcBorders>
              <w:top w:val="single" w:sz="12" w:space="0" w:color="212492"/>
              <w:left w:val="single" w:sz="4" w:space="0" w:color="212492"/>
              <w:bottom w:val="single" w:sz="4" w:space="0" w:color="212492"/>
              <w:right w:val="single" w:sz="4" w:space="0" w:color="212492"/>
            </w:tcBorders>
            <w:vAlign w:val="center"/>
          </w:tcPr>
          <w:p w14:paraId="1FF0D9B6" w14:textId="5CAA466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684</w:t>
            </w:r>
            <w:r w:rsidR="00721024">
              <w:rPr>
                <w:sz w:val="16"/>
                <w:szCs w:val="16"/>
                <w:lang w:val="en-GB"/>
              </w:rPr>
              <w:t>.</w:t>
            </w:r>
            <w:r w:rsidRPr="00145E8D">
              <w:rPr>
                <w:sz w:val="16"/>
                <w:szCs w:val="16"/>
                <w:lang w:val="en-GB"/>
              </w:rPr>
              <w:t>7</w:t>
            </w:r>
          </w:p>
        </w:tc>
        <w:tc>
          <w:tcPr>
            <w:tcW w:w="703" w:type="pct"/>
            <w:tcBorders>
              <w:top w:val="single" w:sz="12" w:space="0" w:color="212492"/>
              <w:left w:val="single" w:sz="4" w:space="0" w:color="212492"/>
              <w:bottom w:val="single" w:sz="4" w:space="0" w:color="212492"/>
              <w:right w:val="single" w:sz="4" w:space="0" w:color="212492"/>
            </w:tcBorders>
            <w:vAlign w:val="center"/>
          </w:tcPr>
          <w:p w14:paraId="75DCEECF" w14:textId="3F6B525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32 237</w:t>
            </w:r>
            <w:r w:rsidR="00721024">
              <w:rPr>
                <w:sz w:val="16"/>
                <w:szCs w:val="16"/>
                <w:lang w:val="en-GB"/>
              </w:rPr>
              <w:t>.</w:t>
            </w:r>
            <w:r w:rsidRPr="00145E8D">
              <w:rPr>
                <w:sz w:val="16"/>
                <w:szCs w:val="16"/>
                <w:lang w:val="en-GB"/>
              </w:rPr>
              <w:t>4</w:t>
            </w:r>
          </w:p>
        </w:tc>
        <w:tc>
          <w:tcPr>
            <w:tcW w:w="704" w:type="pct"/>
            <w:tcBorders>
              <w:top w:val="single" w:sz="12" w:space="0" w:color="212492"/>
              <w:left w:val="single" w:sz="4" w:space="0" w:color="212492"/>
              <w:bottom w:val="single" w:sz="4" w:space="0" w:color="212492"/>
              <w:right w:val="single" w:sz="4" w:space="0" w:color="212492"/>
            </w:tcBorders>
            <w:vAlign w:val="center"/>
          </w:tcPr>
          <w:p w14:paraId="37C27748" w14:textId="7DCB99B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1 083 262</w:t>
            </w:r>
            <w:r w:rsidR="00721024">
              <w:rPr>
                <w:sz w:val="16"/>
                <w:szCs w:val="16"/>
                <w:lang w:val="en-GB"/>
              </w:rPr>
              <w:t>.</w:t>
            </w:r>
            <w:r w:rsidRPr="00145E8D">
              <w:rPr>
                <w:sz w:val="16"/>
                <w:szCs w:val="16"/>
                <w:lang w:val="en-GB"/>
              </w:rPr>
              <w:t>4</w:t>
            </w:r>
          </w:p>
        </w:tc>
        <w:tc>
          <w:tcPr>
            <w:tcW w:w="704" w:type="pct"/>
            <w:tcBorders>
              <w:top w:val="single" w:sz="12" w:space="0" w:color="212492"/>
              <w:left w:val="single" w:sz="4" w:space="0" w:color="212492"/>
              <w:bottom w:val="single" w:sz="4" w:space="0" w:color="212492"/>
              <w:right w:val="single" w:sz="4" w:space="0" w:color="212492"/>
            </w:tcBorders>
            <w:vAlign w:val="center"/>
          </w:tcPr>
          <w:p w14:paraId="3A66D734" w14:textId="0DEBA6C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435 209</w:t>
            </w:r>
            <w:r w:rsidR="00721024">
              <w:rPr>
                <w:sz w:val="16"/>
                <w:szCs w:val="16"/>
                <w:lang w:val="en-GB"/>
              </w:rPr>
              <w:t>.</w:t>
            </w:r>
            <w:r w:rsidRPr="00145E8D">
              <w:rPr>
                <w:sz w:val="16"/>
                <w:szCs w:val="16"/>
                <w:lang w:val="en-GB"/>
              </w:rPr>
              <w:t>0</w:t>
            </w:r>
          </w:p>
        </w:tc>
        <w:tc>
          <w:tcPr>
            <w:tcW w:w="704" w:type="pct"/>
            <w:tcBorders>
              <w:top w:val="single" w:sz="12" w:space="0" w:color="212492"/>
              <w:left w:val="single" w:sz="4" w:space="0" w:color="212492"/>
              <w:bottom w:val="single" w:sz="4" w:space="0" w:color="212492"/>
              <w:right w:val="single" w:sz="4" w:space="0" w:color="212492"/>
            </w:tcBorders>
            <w:vAlign w:val="center"/>
          </w:tcPr>
          <w:p w14:paraId="165ABBC3" w14:textId="6E20E9F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3 262 077</w:t>
            </w:r>
            <w:r w:rsidR="00721024">
              <w:rPr>
                <w:sz w:val="16"/>
                <w:szCs w:val="16"/>
                <w:lang w:val="en-GB"/>
              </w:rPr>
              <w:t>.</w:t>
            </w:r>
            <w:r w:rsidRPr="00145E8D">
              <w:rPr>
                <w:sz w:val="16"/>
                <w:szCs w:val="16"/>
                <w:lang w:val="en-GB"/>
              </w:rPr>
              <w:t>8</w:t>
            </w:r>
          </w:p>
        </w:tc>
        <w:tc>
          <w:tcPr>
            <w:tcW w:w="704" w:type="pct"/>
            <w:tcBorders>
              <w:top w:val="single" w:sz="12" w:space="0" w:color="212492"/>
              <w:left w:val="single" w:sz="4" w:space="0" w:color="212492"/>
              <w:bottom w:val="single" w:sz="4" w:space="0" w:color="212492"/>
            </w:tcBorders>
            <w:vAlign w:val="center"/>
          </w:tcPr>
          <w:p w14:paraId="31E1E176" w14:textId="756FAE5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1 605 503</w:t>
            </w:r>
            <w:r w:rsidR="00721024">
              <w:rPr>
                <w:sz w:val="16"/>
                <w:szCs w:val="16"/>
                <w:lang w:val="en-GB"/>
              </w:rPr>
              <w:t>.</w:t>
            </w:r>
            <w:r w:rsidRPr="00145E8D">
              <w:rPr>
                <w:sz w:val="16"/>
                <w:szCs w:val="16"/>
                <w:lang w:val="en-GB"/>
              </w:rPr>
              <w:t>1</w:t>
            </w:r>
          </w:p>
        </w:tc>
      </w:tr>
      <w:tr w:rsidR="00976BED" w:rsidRPr="00145E8D" w14:paraId="50B4DE84"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48117781" w14:textId="77777777" w:rsidR="00976BED" w:rsidRPr="00145E8D" w:rsidRDefault="00976BED" w:rsidP="00931837">
            <w:pPr>
              <w:spacing w:before="0" w:after="0" w:line="260" w:lineRule="exact"/>
              <w:contextualSpacing/>
              <w:rPr>
                <w:sz w:val="16"/>
                <w:szCs w:val="16"/>
                <w:lang w:val="en-GB"/>
              </w:rPr>
            </w:pPr>
            <w:r w:rsidRPr="00145E8D">
              <w:rPr>
                <w:sz w:val="16"/>
                <w:szCs w:val="16"/>
                <w:lang w:val="en-GB"/>
              </w:rPr>
              <w:t xml:space="preserve">Austria </w:t>
            </w:r>
          </w:p>
        </w:tc>
        <w:tc>
          <w:tcPr>
            <w:tcW w:w="703" w:type="pct"/>
            <w:tcBorders>
              <w:top w:val="single" w:sz="4" w:space="0" w:color="212492"/>
              <w:left w:val="single" w:sz="4" w:space="0" w:color="212492"/>
              <w:bottom w:val="single" w:sz="4" w:space="0" w:color="212492"/>
              <w:right w:val="single" w:sz="4" w:space="0" w:color="212492"/>
            </w:tcBorders>
            <w:vAlign w:val="center"/>
          </w:tcPr>
          <w:p w14:paraId="61227CCF" w14:textId="57262F4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21</w:t>
            </w:r>
            <w:r w:rsidR="00721024">
              <w:rPr>
                <w:sz w:val="16"/>
                <w:szCs w:val="16"/>
                <w:lang w:val="en-GB"/>
              </w:rPr>
              <w:t>.</w:t>
            </w:r>
            <w:r w:rsidRPr="00145E8D">
              <w:rPr>
                <w:sz w:val="16"/>
                <w:szCs w:val="16"/>
                <w:lang w:val="en-GB"/>
              </w:rPr>
              <w:t>5</w:t>
            </w:r>
          </w:p>
        </w:tc>
        <w:tc>
          <w:tcPr>
            <w:tcW w:w="703" w:type="pct"/>
            <w:tcBorders>
              <w:top w:val="single" w:sz="4" w:space="0" w:color="212492"/>
              <w:left w:val="single" w:sz="4" w:space="0" w:color="212492"/>
              <w:bottom w:val="single" w:sz="4" w:space="0" w:color="212492"/>
              <w:right w:val="single" w:sz="4" w:space="0" w:color="212492"/>
            </w:tcBorders>
            <w:vAlign w:val="center"/>
          </w:tcPr>
          <w:p w14:paraId="031AEF17" w14:textId="4BFB75E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1 045</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3B52E952" w14:textId="1B80EE9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40 093</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76CDCFD2" w14:textId="0EAB785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27 006</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50AAA4BF" w14:textId="43F0CB1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125 229</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tcBorders>
            <w:vAlign w:val="center"/>
          </w:tcPr>
          <w:p w14:paraId="3D7F1E29" w14:textId="74C5034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89 293</w:t>
            </w:r>
            <w:r w:rsidR="00721024">
              <w:rPr>
                <w:sz w:val="16"/>
                <w:szCs w:val="16"/>
                <w:lang w:val="en-GB"/>
              </w:rPr>
              <w:t>.</w:t>
            </w:r>
            <w:r w:rsidRPr="00145E8D">
              <w:rPr>
                <w:sz w:val="16"/>
                <w:szCs w:val="16"/>
                <w:lang w:val="en-GB"/>
              </w:rPr>
              <w:t>8</w:t>
            </w:r>
          </w:p>
        </w:tc>
      </w:tr>
      <w:tr w:rsidR="00976BED" w:rsidRPr="00145E8D" w14:paraId="1C2006B6"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45C93CB4" w14:textId="612EFD2C" w:rsidR="00976BED" w:rsidRPr="00145E8D" w:rsidRDefault="00976BED" w:rsidP="00931837">
            <w:pPr>
              <w:spacing w:before="0" w:after="0" w:line="260" w:lineRule="exact"/>
              <w:contextualSpacing/>
              <w:rPr>
                <w:sz w:val="16"/>
                <w:szCs w:val="16"/>
                <w:lang w:val="en-GB"/>
              </w:rPr>
            </w:pPr>
            <w:r w:rsidRPr="00145E8D">
              <w:rPr>
                <w:sz w:val="16"/>
                <w:szCs w:val="16"/>
                <w:lang w:val="en-GB"/>
              </w:rPr>
              <w:t>Belg</w:t>
            </w:r>
            <w:r w:rsidR="00106837">
              <w:rPr>
                <w:sz w:val="16"/>
                <w:szCs w:val="16"/>
                <w:lang w:val="en-GB"/>
              </w:rPr>
              <w:t>ium</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542A9B8F" w14:textId="7D957A1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9</w:t>
            </w:r>
            <w:r w:rsidR="00721024">
              <w:rPr>
                <w:sz w:val="16"/>
                <w:szCs w:val="16"/>
                <w:lang w:val="en-GB"/>
              </w:rPr>
              <w:t>.</w:t>
            </w:r>
            <w:r w:rsidRPr="00145E8D">
              <w:rPr>
                <w:sz w:val="16"/>
                <w:szCs w:val="16"/>
                <w:lang w:val="en-GB"/>
              </w:rPr>
              <w:t>2</w:t>
            </w:r>
          </w:p>
        </w:tc>
        <w:tc>
          <w:tcPr>
            <w:tcW w:w="703" w:type="pct"/>
            <w:tcBorders>
              <w:top w:val="single" w:sz="4" w:space="0" w:color="212492"/>
              <w:left w:val="single" w:sz="4" w:space="0" w:color="212492"/>
              <w:bottom w:val="single" w:sz="4" w:space="0" w:color="212492"/>
              <w:right w:val="single" w:sz="4" w:space="0" w:color="212492"/>
            </w:tcBorders>
            <w:vAlign w:val="center"/>
          </w:tcPr>
          <w:p w14:paraId="019E9272" w14:textId="3566158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389</w:t>
            </w:r>
            <w:r w:rsidR="00721024">
              <w:rPr>
                <w:sz w:val="16"/>
                <w:szCs w:val="16"/>
                <w:lang w:val="en-GB"/>
              </w:rPr>
              <w:t>.</w:t>
            </w:r>
            <w:r w:rsidRPr="00145E8D">
              <w:rPr>
                <w:sz w:val="16"/>
                <w:szCs w:val="16"/>
                <w:lang w:val="en-GB"/>
              </w:rPr>
              <w:t>8</w:t>
            </w:r>
          </w:p>
        </w:tc>
        <w:tc>
          <w:tcPr>
            <w:tcW w:w="704" w:type="pct"/>
            <w:tcBorders>
              <w:top w:val="single" w:sz="4" w:space="0" w:color="212492"/>
              <w:left w:val="single" w:sz="4" w:space="0" w:color="212492"/>
              <w:bottom w:val="single" w:sz="4" w:space="0" w:color="212492"/>
              <w:right w:val="single" w:sz="4" w:space="0" w:color="212492"/>
            </w:tcBorders>
            <w:vAlign w:val="center"/>
          </w:tcPr>
          <w:p w14:paraId="3B64DC8E" w14:textId="6FE4D8F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17 559</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276E15D2" w14:textId="5EEAB1E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9 118</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4547DD40" w14:textId="460E6EA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41 320</w:t>
            </w:r>
            <w:r w:rsidR="00721024">
              <w:rPr>
                <w:sz w:val="16"/>
                <w:szCs w:val="16"/>
                <w:lang w:val="en-GB"/>
              </w:rPr>
              <w:t>.</w:t>
            </w:r>
            <w:r w:rsidRPr="00145E8D">
              <w:rPr>
                <w:sz w:val="16"/>
                <w:szCs w:val="16"/>
                <w:lang w:val="en-GB"/>
              </w:rPr>
              <w:t>3</w:t>
            </w:r>
          </w:p>
        </w:tc>
        <w:tc>
          <w:tcPr>
            <w:tcW w:w="704" w:type="pct"/>
            <w:tcBorders>
              <w:top w:val="single" w:sz="4" w:space="0" w:color="212492"/>
              <w:left w:val="single" w:sz="4" w:space="0" w:color="212492"/>
              <w:bottom w:val="single" w:sz="4" w:space="0" w:color="212492"/>
            </w:tcBorders>
            <w:vAlign w:val="center"/>
          </w:tcPr>
          <w:p w14:paraId="70FFB06C" w14:textId="5CA84C6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20 564</w:t>
            </w:r>
            <w:r w:rsidR="00721024">
              <w:rPr>
                <w:sz w:val="16"/>
                <w:szCs w:val="16"/>
                <w:lang w:val="en-GB"/>
              </w:rPr>
              <w:t>.</w:t>
            </w:r>
            <w:r w:rsidRPr="00145E8D">
              <w:rPr>
                <w:sz w:val="16"/>
                <w:szCs w:val="16"/>
                <w:lang w:val="en-GB"/>
              </w:rPr>
              <w:t>7</w:t>
            </w:r>
          </w:p>
        </w:tc>
      </w:tr>
      <w:tr w:rsidR="00976BED" w:rsidRPr="00145E8D" w14:paraId="1A047D81"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13AE481D" w14:textId="62B37E7D" w:rsidR="00976BED" w:rsidRPr="00145E8D" w:rsidRDefault="00976BED" w:rsidP="00931837">
            <w:pPr>
              <w:spacing w:before="0" w:after="0" w:line="260" w:lineRule="exact"/>
              <w:contextualSpacing/>
              <w:rPr>
                <w:sz w:val="16"/>
                <w:szCs w:val="16"/>
                <w:lang w:val="en-GB"/>
              </w:rPr>
            </w:pPr>
            <w:r w:rsidRPr="00145E8D">
              <w:rPr>
                <w:sz w:val="16"/>
                <w:szCs w:val="16"/>
                <w:lang w:val="en-GB"/>
              </w:rPr>
              <w:t>Bu</w:t>
            </w:r>
            <w:r w:rsidR="00106837">
              <w:rPr>
                <w:sz w:val="16"/>
                <w:szCs w:val="16"/>
                <w:lang w:val="en-GB"/>
              </w:rPr>
              <w:t>lgaria</w:t>
            </w:r>
          </w:p>
        </w:tc>
        <w:tc>
          <w:tcPr>
            <w:tcW w:w="703" w:type="pct"/>
            <w:tcBorders>
              <w:top w:val="single" w:sz="4" w:space="0" w:color="212492"/>
              <w:left w:val="single" w:sz="4" w:space="0" w:color="212492"/>
              <w:bottom w:val="single" w:sz="4" w:space="0" w:color="212492"/>
              <w:right w:val="single" w:sz="4" w:space="0" w:color="212492"/>
            </w:tcBorders>
            <w:vAlign w:val="center"/>
          </w:tcPr>
          <w:p w14:paraId="20114BC4" w14:textId="720A627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w:t>
            </w:r>
            <w:r w:rsidR="00721024">
              <w:rPr>
                <w:sz w:val="16"/>
                <w:szCs w:val="16"/>
                <w:lang w:val="en-GB"/>
              </w:rPr>
              <w:t>.</w:t>
            </w:r>
            <w:r w:rsidRPr="00145E8D">
              <w:rPr>
                <w:sz w:val="16"/>
                <w:szCs w:val="16"/>
                <w:lang w:val="en-GB"/>
              </w:rPr>
              <w:t>5</w:t>
            </w:r>
          </w:p>
        </w:tc>
        <w:tc>
          <w:tcPr>
            <w:tcW w:w="703" w:type="pct"/>
            <w:tcBorders>
              <w:top w:val="single" w:sz="4" w:space="0" w:color="212492"/>
              <w:left w:val="single" w:sz="4" w:space="0" w:color="212492"/>
              <w:bottom w:val="single" w:sz="4" w:space="0" w:color="212492"/>
              <w:right w:val="single" w:sz="4" w:space="0" w:color="212492"/>
            </w:tcBorders>
            <w:vAlign w:val="center"/>
          </w:tcPr>
          <w:p w14:paraId="52945FC4" w14:textId="381C9DE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335</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212AB992" w14:textId="015FECC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7 799</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7F1DE7EF" w14:textId="28A9427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3 910</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3957AA1F" w14:textId="31360EC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26 845</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tcBorders>
            <w:vAlign w:val="center"/>
          </w:tcPr>
          <w:p w14:paraId="7326291F" w14:textId="680DB97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17 748</w:t>
            </w:r>
            <w:r w:rsidR="00721024">
              <w:rPr>
                <w:sz w:val="16"/>
                <w:szCs w:val="16"/>
                <w:lang w:val="en-GB"/>
              </w:rPr>
              <w:t>.</w:t>
            </w:r>
            <w:r w:rsidRPr="00145E8D">
              <w:rPr>
                <w:sz w:val="16"/>
                <w:szCs w:val="16"/>
                <w:lang w:val="en-GB"/>
              </w:rPr>
              <w:t>9</w:t>
            </w:r>
          </w:p>
        </w:tc>
      </w:tr>
      <w:tr w:rsidR="00976BED" w:rsidRPr="00145E8D" w14:paraId="39B7B9FA"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394F7F6D" w14:textId="1B0864C5" w:rsidR="00976BED" w:rsidRPr="00145E8D" w:rsidRDefault="00976BED" w:rsidP="00931837">
            <w:pPr>
              <w:spacing w:before="0" w:after="0" w:line="260" w:lineRule="exact"/>
              <w:contextualSpacing/>
              <w:rPr>
                <w:sz w:val="16"/>
                <w:szCs w:val="16"/>
                <w:lang w:val="en-GB"/>
              </w:rPr>
            </w:pPr>
            <w:r w:rsidRPr="00145E8D">
              <w:rPr>
                <w:sz w:val="16"/>
                <w:szCs w:val="16"/>
                <w:lang w:val="en-GB"/>
              </w:rPr>
              <w:t>C</w:t>
            </w:r>
            <w:r w:rsidR="00106837">
              <w:rPr>
                <w:sz w:val="16"/>
                <w:szCs w:val="16"/>
                <w:lang w:val="en-GB"/>
              </w:rPr>
              <w:t>roatia</w:t>
            </w:r>
          </w:p>
        </w:tc>
        <w:tc>
          <w:tcPr>
            <w:tcW w:w="703" w:type="pct"/>
            <w:tcBorders>
              <w:top w:val="single" w:sz="4" w:space="0" w:color="212492"/>
              <w:left w:val="single" w:sz="4" w:space="0" w:color="212492"/>
              <w:bottom w:val="single" w:sz="4" w:space="0" w:color="212492"/>
              <w:right w:val="single" w:sz="4" w:space="0" w:color="212492"/>
            </w:tcBorders>
            <w:vAlign w:val="center"/>
          </w:tcPr>
          <w:p w14:paraId="39D84FF7" w14:textId="3B7C42F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108</w:t>
            </w:r>
            <w:r w:rsidR="00721024">
              <w:rPr>
                <w:sz w:val="16"/>
                <w:szCs w:val="16"/>
                <w:lang w:val="en-GB"/>
              </w:rPr>
              <w:t>.</w:t>
            </w:r>
            <w:r w:rsidRPr="00145E8D">
              <w:rPr>
                <w:sz w:val="16"/>
                <w:szCs w:val="16"/>
                <w:lang w:val="en-GB"/>
              </w:rPr>
              <w:t>2</w:t>
            </w:r>
          </w:p>
        </w:tc>
        <w:tc>
          <w:tcPr>
            <w:tcW w:w="703" w:type="pct"/>
            <w:tcBorders>
              <w:top w:val="single" w:sz="4" w:space="0" w:color="212492"/>
              <w:left w:val="single" w:sz="4" w:space="0" w:color="212492"/>
              <w:bottom w:val="single" w:sz="4" w:space="0" w:color="212492"/>
              <w:right w:val="single" w:sz="4" w:space="0" w:color="212492"/>
            </w:tcBorders>
            <w:vAlign w:val="center"/>
          </w:tcPr>
          <w:p w14:paraId="3A8088A1" w14:textId="18CF833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1 115</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7006506B" w14:textId="054AF64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18 648</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3D480119" w14:textId="4952494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16 635</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0E5EE909" w14:textId="3981FE1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89 567</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tcBorders>
            <w:vAlign w:val="center"/>
          </w:tcPr>
          <w:p w14:paraId="6A1EC6A6" w14:textId="7CF558C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83 139</w:t>
            </w:r>
            <w:r w:rsidR="00721024">
              <w:rPr>
                <w:sz w:val="16"/>
                <w:szCs w:val="16"/>
                <w:lang w:val="en-GB"/>
              </w:rPr>
              <w:t>.</w:t>
            </w:r>
            <w:r w:rsidRPr="00145E8D">
              <w:rPr>
                <w:sz w:val="16"/>
                <w:szCs w:val="16"/>
                <w:lang w:val="en-GB"/>
              </w:rPr>
              <w:t>9</w:t>
            </w:r>
          </w:p>
        </w:tc>
      </w:tr>
      <w:tr w:rsidR="00976BED" w:rsidRPr="00145E8D" w14:paraId="53E70E50"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58668655" w14:textId="489B8000" w:rsidR="00976BED" w:rsidRPr="00145E8D" w:rsidRDefault="00976BED" w:rsidP="00931837">
            <w:pPr>
              <w:spacing w:before="0" w:after="0" w:line="260" w:lineRule="exact"/>
              <w:contextualSpacing/>
              <w:rPr>
                <w:sz w:val="16"/>
                <w:szCs w:val="16"/>
                <w:lang w:val="en-GB"/>
              </w:rPr>
            </w:pPr>
            <w:r w:rsidRPr="00145E8D">
              <w:rPr>
                <w:sz w:val="16"/>
                <w:szCs w:val="16"/>
                <w:lang w:val="en-GB"/>
              </w:rPr>
              <w:t>Cypr</w:t>
            </w:r>
            <w:r w:rsidR="00106837">
              <w:rPr>
                <w:sz w:val="16"/>
                <w:szCs w:val="16"/>
                <w:lang w:val="en-GB"/>
              </w:rPr>
              <w:t>us</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703C54E6" w14:textId="58F0A84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0</w:t>
            </w:r>
            <w:r w:rsidR="00721024">
              <w:rPr>
                <w:sz w:val="16"/>
                <w:szCs w:val="16"/>
                <w:lang w:val="en-GB"/>
              </w:rPr>
              <w:t>.</w:t>
            </w:r>
            <w:r w:rsidRPr="00145E8D">
              <w:rPr>
                <w:sz w:val="16"/>
                <w:szCs w:val="16"/>
                <w:lang w:val="en-GB"/>
              </w:rPr>
              <w:t>8</w:t>
            </w:r>
          </w:p>
        </w:tc>
        <w:tc>
          <w:tcPr>
            <w:tcW w:w="703" w:type="pct"/>
            <w:tcBorders>
              <w:top w:val="single" w:sz="4" w:space="0" w:color="212492"/>
              <w:left w:val="single" w:sz="4" w:space="0" w:color="212492"/>
              <w:bottom w:val="single" w:sz="4" w:space="0" w:color="212492"/>
              <w:right w:val="single" w:sz="4" w:space="0" w:color="212492"/>
            </w:tcBorders>
            <w:vAlign w:val="center"/>
          </w:tcPr>
          <w:p w14:paraId="5591FC95" w14:textId="42F0664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87</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5C93B1E0" w14:textId="3E45287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3 177</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291BBEBC" w14:textId="4CBBCDF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2 665</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2870FC67" w14:textId="2BF4A7D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17 164</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tcBorders>
            <w:vAlign w:val="center"/>
          </w:tcPr>
          <w:p w14:paraId="118FC78C" w14:textId="61485D5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16 247</w:t>
            </w:r>
            <w:r w:rsidR="00721024">
              <w:rPr>
                <w:sz w:val="16"/>
                <w:szCs w:val="16"/>
                <w:lang w:val="en-GB"/>
              </w:rPr>
              <w:t>.</w:t>
            </w:r>
            <w:r w:rsidRPr="00145E8D">
              <w:rPr>
                <w:sz w:val="16"/>
                <w:szCs w:val="16"/>
                <w:lang w:val="en-GB"/>
              </w:rPr>
              <w:t>3</w:t>
            </w:r>
          </w:p>
        </w:tc>
      </w:tr>
      <w:tr w:rsidR="00976BED" w:rsidRPr="00145E8D" w14:paraId="532F7AE7"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621D05B3" w14:textId="2C0E8780" w:rsidR="00976BED" w:rsidRPr="00145E8D" w:rsidRDefault="00976BED" w:rsidP="00931837">
            <w:pPr>
              <w:spacing w:before="0" w:after="0" w:line="260" w:lineRule="exact"/>
              <w:contextualSpacing/>
              <w:rPr>
                <w:sz w:val="16"/>
                <w:szCs w:val="16"/>
                <w:lang w:val="en-GB"/>
              </w:rPr>
            </w:pPr>
            <w:proofErr w:type="spellStart"/>
            <w:r w:rsidRPr="00145E8D">
              <w:rPr>
                <w:sz w:val="16"/>
                <w:szCs w:val="16"/>
                <w:lang w:val="en-GB"/>
              </w:rPr>
              <w:t>Czec</w:t>
            </w:r>
            <w:r w:rsidR="00106837">
              <w:rPr>
                <w:sz w:val="16"/>
                <w:szCs w:val="16"/>
                <w:lang w:val="en-GB"/>
              </w:rPr>
              <w:t>hia</w:t>
            </w:r>
            <w:proofErr w:type="spellEnd"/>
          </w:p>
        </w:tc>
        <w:tc>
          <w:tcPr>
            <w:tcW w:w="703" w:type="pct"/>
            <w:tcBorders>
              <w:top w:val="single" w:sz="4" w:space="0" w:color="212492"/>
              <w:left w:val="single" w:sz="4" w:space="0" w:color="212492"/>
              <w:bottom w:val="single" w:sz="4" w:space="0" w:color="212492"/>
              <w:right w:val="single" w:sz="4" w:space="0" w:color="212492"/>
            </w:tcBorders>
            <w:vAlign w:val="center"/>
          </w:tcPr>
          <w:p w14:paraId="0E70A0C9" w14:textId="74BE3EA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9</w:t>
            </w:r>
            <w:r w:rsidR="00721024">
              <w:rPr>
                <w:sz w:val="16"/>
                <w:szCs w:val="16"/>
                <w:lang w:val="en-GB"/>
              </w:rPr>
              <w:t>.</w:t>
            </w:r>
            <w:r w:rsidRPr="00145E8D">
              <w:rPr>
                <w:sz w:val="16"/>
                <w:szCs w:val="16"/>
                <w:lang w:val="en-GB"/>
              </w:rPr>
              <w:t>4</w:t>
            </w:r>
          </w:p>
        </w:tc>
        <w:tc>
          <w:tcPr>
            <w:tcW w:w="703" w:type="pct"/>
            <w:tcBorders>
              <w:top w:val="single" w:sz="4" w:space="0" w:color="212492"/>
              <w:left w:val="single" w:sz="4" w:space="0" w:color="212492"/>
              <w:bottom w:val="single" w:sz="4" w:space="0" w:color="212492"/>
              <w:right w:val="single" w:sz="4" w:space="0" w:color="212492"/>
            </w:tcBorders>
            <w:vAlign w:val="center"/>
          </w:tcPr>
          <w:p w14:paraId="11D5030F" w14:textId="70C6DA5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741</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33E3073B" w14:textId="50EDB2A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21 247</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27991F6D" w14:textId="0C811A9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10 611</w:t>
            </w:r>
            <w:r w:rsidR="00721024">
              <w:rPr>
                <w:sz w:val="16"/>
                <w:szCs w:val="16"/>
                <w:lang w:val="en-GB"/>
              </w:rPr>
              <w:t>.</w:t>
            </w:r>
            <w:r w:rsidRPr="00145E8D">
              <w:rPr>
                <w:sz w:val="16"/>
                <w:szCs w:val="16"/>
                <w:lang w:val="en-GB"/>
              </w:rPr>
              <w:t>4</w:t>
            </w:r>
          </w:p>
        </w:tc>
        <w:tc>
          <w:tcPr>
            <w:tcW w:w="704" w:type="pct"/>
            <w:tcBorders>
              <w:top w:val="single" w:sz="4" w:space="0" w:color="212492"/>
              <w:left w:val="single" w:sz="4" w:space="0" w:color="212492"/>
              <w:bottom w:val="single" w:sz="4" w:space="0" w:color="212492"/>
              <w:right w:val="single" w:sz="4" w:space="0" w:color="212492"/>
            </w:tcBorders>
            <w:vAlign w:val="center"/>
          </w:tcPr>
          <w:p w14:paraId="38576CE5" w14:textId="245C77E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55 513</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tcBorders>
            <w:vAlign w:val="center"/>
          </w:tcPr>
          <w:p w14:paraId="0CF94DEF" w14:textId="2289170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26 760</w:t>
            </w:r>
            <w:r w:rsidR="00721024">
              <w:rPr>
                <w:sz w:val="16"/>
                <w:szCs w:val="16"/>
                <w:lang w:val="en-GB"/>
              </w:rPr>
              <w:t>.</w:t>
            </w:r>
            <w:r w:rsidRPr="00145E8D">
              <w:rPr>
                <w:sz w:val="16"/>
                <w:szCs w:val="16"/>
                <w:lang w:val="en-GB"/>
              </w:rPr>
              <w:t>0</w:t>
            </w:r>
          </w:p>
        </w:tc>
      </w:tr>
      <w:tr w:rsidR="00976BED" w:rsidRPr="00145E8D" w14:paraId="27CCB044"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5F8AC8C8" w14:textId="4470FA3D" w:rsidR="00976BED" w:rsidRPr="00145E8D" w:rsidRDefault="00976BED" w:rsidP="00931837">
            <w:pPr>
              <w:spacing w:before="0" w:after="0" w:line="260" w:lineRule="exact"/>
              <w:contextualSpacing/>
              <w:rPr>
                <w:sz w:val="16"/>
                <w:szCs w:val="16"/>
                <w:lang w:val="en-GB"/>
              </w:rPr>
            </w:pPr>
            <w:r w:rsidRPr="00145E8D">
              <w:rPr>
                <w:sz w:val="16"/>
                <w:szCs w:val="16"/>
                <w:lang w:val="en-GB"/>
              </w:rPr>
              <w:t>D</w:t>
            </w:r>
            <w:r w:rsidR="00106837">
              <w:rPr>
                <w:sz w:val="16"/>
                <w:szCs w:val="16"/>
                <w:lang w:val="en-GB"/>
              </w:rPr>
              <w:t>enmark</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6A458AD4" w14:textId="524A5DA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w:t>
            </w:r>
            <w:r w:rsidR="00721024">
              <w:rPr>
                <w:sz w:val="16"/>
                <w:szCs w:val="16"/>
                <w:lang w:val="en-GB"/>
              </w:rPr>
              <w:t>.</w:t>
            </w:r>
            <w:r w:rsidRPr="00145E8D">
              <w:rPr>
                <w:sz w:val="16"/>
                <w:szCs w:val="16"/>
                <w:lang w:val="en-GB"/>
              </w:rPr>
              <w:t>2</w:t>
            </w:r>
          </w:p>
        </w:tc>
        <w:tc>
          <w:tcPr>
            <w:tcW w:w="703" w:type="pct"/>
            <w:tcBorders>
              <w:top w:val="single" w:sz="4" w:space="0" w:color="212492"/>
              <w:left w:val="single" w:sz="4" w:space="0" w:color="212492"/>
              <w:bottom w:val="single" w:sz="4" w:space="0" w:color="212492"/>
              <w:right w:val="single" w:sz="4" w:space="0" w:color="212492"/>
            </w:tcBorders>
            <w:vAlign w:val="center"/>
          </w:tcPr>
          <w:p w14:paraId="08EBCF9F" w14:textId="2C54C13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426</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5988A9C1" w14:textId="201E099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7 966</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6AE52448" w14:textId="2E704D5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3 031</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73ADCFD2" w14:textId="293DA8D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33 280</w:t>
            </w:r>
            <w:r w:rsidR="00721024">
              <w:rPr>
                <w:sz w:val="16"/>
                <w:szCs w:val="16"/>
                <w:lang w:val="en-GB"/>
              </w:rPr>
              <w:t>.</w:t>
            </w:r>
            <w:r w:rsidRPr="00145E8D">
              <w:rPr>
                <w:sz w:val="16"/>
                <w:szCs w:val="16"/>
                <w:lang w:val="en-GB"/>
              </w:rPr>
              <w:t>4</w:t>
            </w:r>
          </w:p>
        </w:tc>
        <w:tc>
          <w:tcPr>
            <w:tcW w:w="704" w:type="pct"/>
            <w:tcBorders>
              <w:top w:val="single" w:sz="4" w:space="0" w:color="212492"/>
              <w:left w:val="single" w:sz="4" w:space="0" w:color="212492"/>
              <w:bottom w:val="single" w:sz="4" w:space="0" w:color="212492"/>
            </w:tcBorders>
            <w:vAlign w:val="center"/>
          </w:tcPr>
          <w:p w14:paraId="6E0A9A41" w14:textId="64AA829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12 594</w:t>
            </w:r>
            <w:r w:rsidR="00721024">
              <w:rPr>
                <w:sz w:val="16"/>
                <w:szCs w:val="16"/>
                <w:lang w:val="en-GB"/>
              </w:rPr>
              <w:t>.</w:t>
            </w:r>
            <w:r w:rsidRPr="00145E8D">
              <w:rPr>
                <w:sz w:val="16"/>
                <w:szCs w:val="16"/>
                <w:lang w:val="en-GB"/>
              </w:rPr>
              <w:t>6</w:t>
            </w:r>
          </w:p>
        </w:tc>
      </w:tr>
      <w:tr w:rsidR="00976BED" w:rsidRPr="00145E8D" w14:paraId="7603BEA6"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7292F5E5" w14:textId="77777777" w:rsidR="00976BED" w:rsidRPr="00145E8D" w:rsidRDefault="00976BED" w:rsidP="00931837">
            <w:pPr>
              <w:spacing w:before="0" w:after="0" w:line="260" w:lineRule="exact"/>
              <w:contextualSpacing/>
              <w:rPr>
                <w:sz w:val="16"/>
                <w:szCs w:val="16"/>
                <w:lang w:val="en-GB"/>
              </w:rPr>
            </w:pPr>
            <w:r w:rsidRPr="00145E8D">
              <w:rPr>
                <w:sz w:val="16"/>
                <w:szCs w:val="16"/>
                <w:lang w:val="en-GB"/>
              </w:rPr>
              <w:t xml:space="preserve">Estonia </w:t>
            </w:r>
          </w:p>
        </w:tc>
        <w:tc>
          <w:tcPr>
            <w:tcW w:w="703" w:type="pct"/>
            <w:tcBorders>
              <w:top w:val="single" w:sz="4" w:space="0" w:color="212492"/>
              <w:left w:val="single" w:sz="4" w:space="0" w:color="212492"/>
              <w:bottom w:val="single" w:sz="4" w:space="0" w:color="212492"/>
              <w:right w:val="single" w:sz="4" w:space="0" w:color="212492"/>
            </w:tcBorders>
            <w:vAlign w:val="center"/>
          </w:tcPr>
          <w:p w14:paraId="0AF04031" w14:textId="1C64258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w:t>
            </w:r>
            <w:r w:rsidR="00721024">
              <w:rPr>
                <w:sz w:val="16"/>
                <w:szCs w:val="16"/>
                <w:lang w:val="en-GB"/>
              </w:rPr>
              <w:t>.</w:t>
            </w:r>
            <w:r w:rsidRPr="00145E8D">
              <w:rPr>
                <w:sz w:val="16"/>
                <w:szCs w:val="16"/>
                <w:lang w:val="en-GB"/>
              </w:rPr>
              <w:t>5</w:t>
            </w:r>
          </w:p>
        </w:tc>
        <w:tc>
          <w:tcPr>
            <w:tcW w:w="703" w:type="pct"/>
            <w:tcBorders>
              <w:top w:val="single" w:sz="4" w:space="0" w:color="212492"/>
              <w:left w:val="single" w:sz="4" w:space="0" w:color="212492"/>
              <w:bottom w:val="single" w:sz="4" w:space="0" w:color="212492"/>
              <w:right w:val="single" w:sz="4" w:space="0" w:color="212492"/>
            </w:tcBorders>
            <w:vAlign w:val="center"/>
          </w:tcPr>
          <w:p w14:paraId="3DDB3DCA" w14:textId="3650676D"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61</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1EDE4BBF" w14:textId="237BD0C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3 591</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510C9E4D" w14:textId="251118E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2 140</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6C21C77D" w14:textId="1B4C4BE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6 630</w:t>
            </w:r>
            <w:r w:rsidR="00721024">
              <w:rPr>
                <w:sz w:val="16"/>
                <w:szCs w:val="16"/>
                <w:lang w:val="en-GB"/>
              </w:rPr>
              <w:t>.</w:t>
            </w:r>
            <w:r w:rsidRPr="00145E8D">
              <w:rPr>
                <w:sz w:val="16"/>
                <w:szCs w:val="16"/>
                <w:lang w:val="en-GB"/>
              </w:rPr>
              <w:t>3</w:t>
            </w:r>
          </w:p>
        </w:tc>
        <w:tc>
          <w:tcPr>
            <w:tcW w:w="704" w:type="pct"/>
            <w:tcBorders>
              <w:top w:val="single" w:sz="4" w:space="0" w:color="212492"/>
              <w:left w:val="single" w:sz="4" w:space="0" w:color="212492"/>
              <w:bottom w:val="single" w:sz="4" w:space="0" w:color="212492"/>
            </w:tcBorders>
            <w:vAlign w:val="center"/>
          </w:tcPr>
          <w:p w14:paraId="66EEE63E" w14:textId="135C713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4 174</w:t>
            </w:r>
            <w:r w:rsidR="00721024">
              <w:rPr>
                <w:sz w:val="16"/>
                <w:szCs w:val="16"/>
                <w:lang w:val="en-GB"/>
              </w:rPr>
              <w:t>.</w:t>
            </w:r>
            <w:r w:rsidRPr="00145E8D">
              <w:rPr>
                <w:sz w:val="16"/>
                <w:szCs w:val="16"/>
                <w:lang w:val="en-GB"/>
              </w:rPr>
              <w:t>6</w:t>
            </w:r>
          </w:p>
        </w:tc>
      </w:tr>
      <w:tr w:rsidR="00976BED" w:rsidRPr="00145E8D" w14:paraId="5A4F1C7F"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08B5D640" w14:textId="3D3CCD9A" w:rsidR="00976BED" w:rsidRPr="00145E8D" w:rsidRDefault="00976BED" w:rsidP="00931837">
            <w:pPr>
              <w:spacing w:before="0" w:after="0" w:line="260" w:lineRule="exact"/>
              <w:contextualSpacing/>
              <w:rPr>
                <w:sz w:val="16"/>
                <w:szCs w:val="16"/>
                <w:lang w:val="en-GB"/>
              </w:rPr>
            </w:pPr>
            <w:r w:rsidRPr="00145E8D">
              <w:rPr>
                <w:sz w:val="16"/>
                <w:szCs w:val="16"/>
                <w:lang w:val="en-GB"/>
              </w:rPr>
              <w:t xml:space="preserve">Finland </w:t>
            </w:r>
          </w:p>
        </w:tc>
        <w:tc>
          <w:tcPr>
            <w:tcW w:w="703" w:type="pct"/>
            <w:tcBorders>
              <w:top w:val="single" w:sz="4" w:space="0" w:color="212492"/>
              <w:left w:val="single" w:sz="4" w:space="0" w:color="212492"/>
              <w:bottom w:val="single" w:sz="4" w:space="0" w:color="212492"/>
              <w:right w:val="single" w:sz="4" w:space="0" w:color="212492"/>
            </w:tcBorders>
            <w:vAlign w:val="center"/>
          </w:tcPr>
          <w:p w14:paraId="42E9171D" w14:textId="4AE7153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w:t>
            </w:r>
            <w:r w:rsidR="00721024">
              <w:rPr>
                <w:sz w:val="16"/>
                <w:szCs w:val="16"/>
                <w:lang w:val="en-GB"/>
              </w:rPr>
              <w:t>.</w:t>
            </w:r>
            <w:r w:rsidRPr="00145E8D">
              <w:rPr>
                <w:sz w:val="16"/>
                <w:szCs w:val="16"/>
                <w:lang w:val="en-GB"/>
              </w:rPr>
              <w:t>4</w:t>
            </w:r>
          </w:p>
        </w:tc>
        <w:tc>
          <w:tcPr>
            <w:tcW w:w="703" w:type="pct"/>
            <w:tcBorders>
              <w:top w:val="single" w:sz="4" w:space="0" w:color="212492"/>
              <w:left w:val="single" w:sz="4" w:space="0" w:color="212492"/>
              <w:bottom w:val="single" w:sz="4" w:space="0" w:color="212492"/>
              <w:right w:val="single" w:sz="4" w:space="0" w:color="212492"/>
            </w:tcBorders>
            <w:vAlign w:val="center"/>
          </w:tcPr>
          <w:p w14:paraId="0328806A" w14:textId="115F28C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260</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43D323EC" w14:textId="64A74BA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11 967</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1615DE2B" w14:textId="3F0B358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3 224</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5FF8E266" w14:textId="35A49C5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22 235</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tcBorders>
            <w:vAlign w:val="center"/>
          </w:tcPr>
          <w:p w14:paraId="6A124788" w14:textId="643A867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6 842</w:t>
            </w:r>
            <w:r w:rsidR="00721024">
              <w:rPr>
                <w:sz w:val="16"/>
                <w:szCs w:val="16"/>
                <w:lang w:val="en-GB"/>
              </w:rPr>
              <w:t>.</w:t>
            </w:r>
            <w:r w:rsidRPr="00145E8D">
              <w:rPr>
                <w:sz w:val="16"/>
                <w:szCs w:val="16"/>
                <w:lang w:val="en-GB"/>
              </w:rPr>
              <w:t>6</w:t>
            </w:r>
          </w:p>
        </w:tc>
      </w:tr>
      <w:tr w:rsidR="00976BED" w:rsidRPr="00145E8D" w14:paraId="77B07413"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28052A27" w14:textId="60A865CF" w:rsidR="00976BED" w:rsidRPr="00145E8D" w:rsidRDefault="00976BED" w:rsidP="00931837">
            <w:pPr>
              <w:spacing w:before="0" w:after="0" w:line="260" w:lineRule="exact"/>
              <w:contextualSpacing/>
              <w:rPr>
                <w:sz w:val="16"/>
                <w:szCs w:val="16"/>
                <w:lang w:val="en-GB"/>
              </w:rPr>
            </w:pPr>
            <w:r w:rsidRPr="00145E8D">
              <w:rPr>
                <w:sz w:val="16"/>
                <w:szCs w:val="16"/>
                <w:lang w:val="en-GB"/>
              </w:rPr>
              <w:t>Fran</w:t>
            </w:r>
            <w:r w:rsidR="00106837">
              <w:rPr>
                <w:sz w:val="16"/>
                <w:szCs w:val="16"/>
                <w:lang w:val="en-GB"/>
              </w:rPr>
              <w:t>ce</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692ED0DD" w14:textId="518C427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29</w:t>
            </w:r>
            <w:r w:rsidR="00721024">
              <w:rPr>
                <w:sz w:val="16"/>
                <w:szCs w:val="16"/>
                <w:lang w:val="en-GB"/>
              </w:rPr>
              <w:t>.</w:t>
            </w:r>
            <w:r w:rsidRPr="00145E8D">
              <w:rPr>
                <w:sz w:val="16"/>
                <w:szCs w:val="16"/>
                <w:lang w:val="en-GB"/>
              </w:rPr>
              <w:t>7</w:t>
            </w:r>
          </w:p>
        </w:tc>
        <w:tc>
          <w:tcPr>
            <w:tcW w:w="703" w:type="pct"/>
            <w:tcBorders>
              <w:top w:val="single" w:sz="4" w:space="0" w:color="212492"/>
              <w:left w:val="single" w:sz="4" w:space="0" w:color="212492"/>
              <w:bottom w:val="single" w:sz="4" w:space="0" w:color="212492"/>
              <w:right w:val="single" w:sz="4" w:space="0" w:color="212492"/>
            </w:tcBorders>
            <w:vAlign w:val="center"/>
          </w:tcPr>
          <w:p w14:paraId="440F9F0D" w14:textId="5B837E9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5 112</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26559DBA" w14:textId="2B735DF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171 475</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3D90A08B" w14:textId="76607FA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52 505</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706BC245" w14:textId="37B55AA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442 760</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tcBorders>
            <w:vAlign w:val="center"/>
          </w:tcPr>
          <w:p w14:paraId="7108BFBC" w14:textId="6D77246D"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140 721</w:t>
            </w:r>
            <w:r w:rsidR="00721024">
              <w:rPr>
                <w:sz w:val="16"/>
                <w:szCs w:val="16"/>
                <w:lang w:val="en-GB"/>
              </w:rPr>
              <w:t>.</w:t>
            </w:r>
            <w:r w:rsidRPr="00145E8D">
              <w:rPr>
                <w:sz w:val="16"/>
                <w:szCs w:val="16"/>
                <w:lang w:val="en-GB"/>
              </w:rPr>
              <w:t>4</w:t>
            </w:r>
          </w:p>
        </w:tc>
      </w:tr>
      <w:tr w:rsidR="00976BED" w:rsidRPr="00145E8D" w14:paraId="01FCE700"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4761E294" w14:textId="1153451D" w:rsidR="00976BED" w:rsidRPr="00145E8D" w:rsidRDefault="00976BED" w:rsidP="00931837">
            <w:pPr>
              <w:spacing w:before="0" w:after="0" w:line="260" w:lineRule="exact"/>
              <w:contextualSpacing/>
              <w:rPr>
                <w:sz w:val="16"/>
                <w:szCs w:val="16"/>
                <w:lang w:val="en-GB"/>
              </w:rPr>
            </w:pPr>
            <w:r w:rsidRPr="00145E8D">
              <w:rPr>
                <w:sz w:val="16"/>
                <w:szCs w:val="16"/>
                <w:lang w:val="en-GB"/>
              </w:rPr>
              <w:t>Gre</w:t>
            </w:r>
            <w:r w:rsidR="00106837">
              <w:rPr>
                <w:sz w:val="16"/>
                <w:szCs w:val="16"/>
                <w:lang w:val="en-GB"/>
              </w:rPr>
              <w:t>ece</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113E3457" w14:textId="121B000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38</w:t>
            </w:r>
            <w:r w:rsidR="00721024">
              <w:rPr>
                <w:sz w:val="16"/>
                <w:szCs w:val="16"/>
                <w:lang w:val="en-GB"/>
              </w:rPr>
              <w:t>.</w:t>
            </w:r>
            <w:r w:rsidRPr="00145E8D">
              <w:rPr>
                <w:sz w:val="16"/>
                <w:szCs w:val="16"/>
                <w:lang w:val="en-GB"/>
              </w:rPr>
              <w:t>2</w:t>
            </w:r>
          </w:p>
        </w:tc>
        <w:tc>
          <w:tcPr>
            <w:tcW w:w="703" w:type="pct"/>
            <w:tcBorders>
              <w:top w:val="single" w:sz="4" w:space="0" w:color="212492"/>
              <w:left w:val="single" w:sz="4" w:space="0" w:color="212492"/>
              <w:bottom w:val="single" w:sz="4" w:space="0" w:color="212492"/>
              <w:right w:val="single" w:sz="4" w:space="0" w:color="212492"/>
            </w:tcBorders>
            <w:vAlign w:val="center"/>
          </w:tcPr>
          <w:p w14:paraId="1A6AA8A7" w14:textId="2C05242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1 340</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08D4C73E" w14:textId="5572515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28 718</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65EC4E51" w14:textId="1BBF0E6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20 913</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35856D7E" w14:textId="44BAC5C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123 087</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tcBorders>
            <w:vAlign w:val="center"/>
          </w:tcPr>
          <w:p w14:paraId="5AC63C1C" w14:textId="165212B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102 571</w:t>
            </w:r>
            <w:r w:rsidR="00721024">
              <w:rPr>
                <w:sz w:val="16"/>
                <w:szCs w:val="16"/>
                <w:lang w:val="en-GB"/>
              </w:rPr>
              <w:t>.</w:t>
            </w:r>
            <w:r w:rsidRPr="00145E8D">
              <w:rPr>
                <w:sz w:val="16"/>
                <w:szCs w:val="16"/>
                <w:lang w:val="en-GB"/>
              </w:rPr>
              <w:t>2</w:t>
            </w:r>
          </w:p>
        </w:tc>
      </w:tr>
      <w:tr w:rsidR="00976BED" w:rsidRPr="00145E8D" w14:paraId="38BF9574"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5E36A2E5" w14:textId="428F32E4" w:rsidR="00976BED" w:rsidRPr="00145E8D" w:rsidRDefault="00106837" w:rsidP="00931837">
            <w:pPr>
              <w:spacing w:before="0" w:after="0" w:line="260" w:lineRule="exact"/>
              <w:contextualSpacing/>
              <w:rPr>
                <w:sz w:val="16"/>
                <w:szCs w:val="16"/>
                <w:lang w:val="en-GB"/>
              </w:rPr>
            </w:pPr>
            <w:r>
              <w:rPr>
                <w:sz w:val="16"/>
                <w:szCs w:val="16"/>
                <w:lang w:val="en-GB"/>
              </w:rPr>
              <w:t>Spain</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7114185D" w14:textId="251A12D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51</w:t>
            </w:r>
            <w:r w:rsidR="00721024">
              <w:rPr>
                <w:sz w:val="16"/>
                <w:szCs w:val="16"/>
                <w:lang w:val="en-GB"/>
              </w:rPr>
              <w:t>.</w:t>
            </w:r>
            <w:r w:rsidRPr="00145E8D">
              <w:rPr>
                <w:sz w:val="16"/>
                <w:szCs w:val="16"/>
                <w:lang w:val="en-GB"/>
              </w:rPr>
              <w:t>4</w:t>
            </w:r>
          </w:p>
        </w:tc>
        <w:tc>
          <w:tcPr>
            <w:tcW w:w="703" w:type="pct"/>
            <w:tcBorders>
              <w:top w:val="single" w:sz="4" w:space="0" w:color="212492"/>
              <w:left w:val="single" w:sz="4" w:space="0" w:color="212492"/>
              <w:bottom w:val="single" w:sz="4" w:space="0" w:color="212492"/>
              <w:right w:val="single" w:sz="4" w:space="0" w:color="212492"/>
            </w:tcBorders>
            <w:vAlign w:val="center"/>
          </w:tcPr>
          <w:p w14:paraId="2AF78B37" w14:textId="055AC00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3 599</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75A49851" w14:textId="72A0570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130 803</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46744560" w14:textId="50A93F6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65 771</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759647B8" w14:textId="0F31B13D"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466 940</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tcBorders>
            <w:vAlign w:val="center"/>
          </w:tcPr>
          <w:p w14:paraId="214A4180" w14:textId="5E33616D"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301 022</w:t>
            </w:r>
            <w:r w:rsidR="00721024">
              <w:rPr>
                <w:sz w:val="16"/>
                <w:szCs w:val="16"/>
                <w:lang w:val="en-GB"/>
              </w:rPr>
              <w:t>.</w:t>
            </w:r>
            <w:r w:rsidRPr="00145E8D">
              <w:rPr>
                <w:sz w:val="16"/>
                <w:szCs w:val="16"/>
                <w:lang w:val="en-GB"/>
              </w:rPr>
              <w:t>6</w:t>
            </w:r>
          </w:p>
        </w:tc>
      </w:tr>
      <w:tr w:rsidR="00976BED" w:rsidRPr="00145E8D" w14:paraId="2963DB00"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28D567B2" w14:textId="3D2B534E" w:rsidR="00976BED" w:rsidRPr="00145E8D" w:rsidRDefault="00106837" w:rsidP="00931837">
            <w:pPr>
              <w:spacing w:before="0" w:after="0" w:line="260" w:lineRule="exact"/>
              <w:contextualSpacing/>
              <w:rPr>
                <w:sz w:val="16"/>
                <w:szCs w:val="16"/>
                <w:lang w:val="en-GB"/>
              </w:rPr>
            </w:pPr>
            <w:r>
              <w:rPr>
                <w:sz w:val="16"/>
                <w:szCs w:val="16"/>
                <w:lang w:val="en-GB"/>
              </w:rPr>
              <w:t>Netherlands</w:t>
            </w:r>
            <w:r w:rsidR="00976BED"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1DF7E85D" w14:textId="1071A48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9</w:t>
            </w:r>
            <w:r w:rsidR="00721024">
              <w:rPr>
                <w:sz w:val="16"/>
                <w:szCs w:val="16"/>
                <w:lang w:val="en-GB"/>
              </w:rPr>
              <w:t>.</w:t>
            </w:r>
            <w:r w:rsidRPr="00145E8D">
              <w:rPr>
                <w:sz w:val="16"/>
                <w:szCs w:val="16"/>
                <w:lang w:val="en-GB"/>
              </w:rPr>
              <w:t>1</w:t>
            </w:r>
          </w:p>
        </w:tc>
        <w:tc>
          <w:tcPr>
            <w:tcW w:w="703" w:type="pct"/>
            <w:tcBorders>
              <w:top w:val="single" w:sz="4" w:space="0" w:color="212492"/>
              <w:left w:val="single" w:sz="4" w:space="0" w:color="212492"/>
              <w:bottom w:val="single" w:sz="4" w:space="0" w:color="212492"/>
              <w:right w:val="single" w:sz="4" w:space="0" w:color="212492"/>
            </w:tcBorders>
            <w:vAlign w:val="center"/>
          </w:tcPr>
          <w:p w14:paraId="4A9A0350" w14:textId="2224272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1 397</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117DF180" w14:textId="5296433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43 912</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27A68262" w14:textId="2EEED56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18 780</w:t>
            </w:r>
            <w:r w:rsidR="00721024">
              <w:rPr>
                <w:sz w:val="16"/>
                <w:szCs w:val="16"/>
                <w:lang w:val="en-GB"/>
              </w:rPr>
              <w:t>.</w:t>
            </w:r>
            <w:r w:rsidRPr="00145E8D">
              <w:rPr>
                <w:sz w:val="16"/>
                <w:szCs w:val="16"/>
                <w:lang w:val="en-GB"/>
              </w:rPr>
              <w:t>3</w:t>
            </w:r>
          </w:p>
        </w:tc>
        <w:tc>
          <w:tcPr>
            <w:tcW w:w="704" w:type="pct"/>
            <w:tcBorders>
              <w:top w:val="single" w:sz="4" w:space="0" w:color="212492"/>
              <w:left w:val="single" w:sz="4" w:space="0" w:color="212492"/>
              <w:bottom w:val="single" w:sz="4" w:space="0" w:color="212492"/>
              <w:right w:val="single" w:sz="4" w:space="0" w:color="212492"/>
            </w:tcBorders>
            <w:vAlign w:val="center"/>
          </w:tcPr>
          <w:p w14:paraId="39E4BCFF" w14:textId="4FD135A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116 081</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tcBorders>
            <w:vAlign w:val="center"/>
          </w:tcPr>
          <w:p w14:paraId="173362D9" w14:textId="4C310F0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47 001</w:t>
            </w:r>
            <w:r w:rsidR="00721024">
              <w:rPr>
                <w:sz w:val="16"/>
                <w:szCs w:val="16"/>
                <w:lang w:val="en-GB"/>
              </w:rPr>
              <w:t>.</w:t>
            </w:r>
            <w:r w:rsidRPr="00145E8D">
              <w:rPr>
                <w:sz w:val="16"/>
                <w:szCs w:val="16"/>
                <w:lang w:val="en-GB"/>
              </w:rPr>
              <w:t>5</w:t>
            </w:r>
          </w:p>
        </w:tc>
      </w:tr>
      <w:tr w:rsidR="00976BED" w:rsidRPr="00145E8D" w14:paraId="36DAEAEF"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76D5635E" w14:textId="42279FDE" w:rsidR="00976BED" w:rsidRPr="00145E8D" w:rsidRDefault="00976BED" w:rsidP="00931837">
            <w:pPr>
              <w:spacing w:before="0" w:after="0" w:line="260" w:lineRule="exact"/>
              <w:contextualSpacing/>
              <w:rPr>
                <w:sz w:val="16"/>
                <w:szCs w:val="16"/>
                <w:lang w:val="en-GB"/>
              </w:rPr>
            </w:pPr>
            <w:proofErr w:type="spellStart"/>
            <w:r w:rsidRPr="00145E8D">
              <w:rPr>
                <w:sz w:val="16"/>
                <w:szCs w:val="16"/>
                <w:lang w:val="en-GB"/>
              </w:rPr>
              <w:t>Ir</w:t>
            </w:r>
            <w:r w:rsidR="00106837">
              <w:rPr>
                <w:sz w:val="16"/>
                <w:szCs w:val="16"/>
                <w:lang w:val="en-GB"/>
              </w:rPr>
              <w:t>eland</w:t>
            </w:r>
            <w:r w:rsidRPr="00145E8D">
              <w:rPr>
                <w:sz w:val="16"/>
                <w:szCs w:val="16"/>
                <w:vertAlign w:val="superscript"/>
                <w:lang w:val="en-GB"/>
              </w:rPr>
              <w:t>a</w:t>
            </w:r>
            <w:proofErr w:type="spellEnd"/>
            <w:r w:rsidRPr="00145E8D">
              <w:rPr>
                <w:sz w:val="16"/>
                <w:szCs w:val="16"/>
                <w:vertAlign w:val="superscript"/>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7351FB37" w14:textId="4BC713C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w:t>
            </w:r>
            <w:r w:rsidR="00721024">
              <w:rPr>
                <w:sz w:val="16"/>
                <w:szCs w:val="16"/>
                <w:lang w:val="en-GB"/>
              </w:rPr>
              <w:t>.</w:t>
            </w:r>
            <w:r w:rsidRPr="00145E8D">
              <w:rPr>
                <w:sz w:val="16"/>
                <w:szCs w:val="16"/>
                <w:lang w:val="en-GB"/>
              </w:rPr>
              <w:t>1</w:t>
            </w:r>
          </w:p>
        </w:tc>
        <w:tc>
          <w:tcPr>
            <w:tcW w:w="703" w:type="pct"/>
            <w:tcBorders>
              <w:top w:val="single" w:sz="4" w:space="0" w:color="212492"/>
              <w:left w:val="single" w:sz="4" w:space="0" w:color="212492"/>
              <w:bottom w:val="single" w:sz="4" w:space="0" w:color="212492"/>
              <w:right w:val="single" w:sz="4" w:space="0" w:color="212492"/>
            </w:tcBorders>
            <w:vAlign w:val="center"/>
          </w:tcPr>
          <w:p w14:paraId="2B1F66BE" w14:textId="65A2BB7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199</w:t>
            </w:r>
            <w:r w:rsidR="00721024">
              <w:rPr>
                <w:sz w:val="16"/>
                <w:szCs w:val="16"/>
                <w:lang w:val="en-GB"/>
              </w:rPr>
              <w:t>.</w:t>
            </w:r>
            <w:r w:rsidRPr="00145E8D">
              <w:rPr>
                <w:sz w:val="16"/>
                <w:szCs w:val="16"/>
                <w:lang w:val="en-GB"/>
              </w:rPr>
              <w:t>8</w:t>
            </w:r>
          </w:p>
        </w:tc>
        <w:tc>
          <w:tcPr>
            <w:tcW w:w="704" w:type="pct"/>
            <w:tcBorders>
              <w:top w:val="single" w:sz="4" w:space="0" w:color="212492"/>
              <w:left w:val="single" w:sz="4" w:space="0" w:color="212492"/>
              <w:bottom w:val="single" w:sz="4" w:space="0" w:color="212492"/>
              <w:right w:val="single" w:sz="4" w:space="0" w:color="212492"/>
            </w:tcBorders>
            <w:vAlign w:val="center"/>
          </w:tcPr>
          <w:p w14:paraId="6EB540F1" w14:textId="07C9C00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10 555</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3A89470D" w14:textId="41C6ACC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3 172</w:t>
            </w:r>
            <w:r w:rsidR="00721024">
              <w:rPr>
                <w:sz w:val="16"/>
                <w:szCs w:val="16"/>
                <w:lang w:val="en-GB"/>
              </w:rPr>
              <w:t>.</w:t>
            </w:r>
            <w:r w:rsidRPr="00145E8D">
              <w:rPr>
                <w:sz w:val="16"/>
                <w:szCs w:val="16"/>
                <w:lang w:val="en-GB"/>
              </w:rPr>
              <w:t>4</w:t>
            </w:r>
          </w:p>
        </w:tc>
        <w:tc>
          <w:tcPr>
            <w:tcW w:w="704" w:type="pct"/>
            <w:tcBorders>
              <w:top w:val="single" w:sz="4" w:space="0" w:color="212492"/>
              <w:left w:val="single" w:sz="4" w:space="0" w:color="212492"/>
              <w:bottom w:val="single" w:sz="4" w:space="0" w:color="212492"/>
              <w:right w:val="single" w:sz="4" w:space="0" w:color="212492"/>
            </w:tcBorders>
            <w:vAlign w:val="center"/>
          </w:tcPr>
          <w:p w14:paraId="3F778DF9" w14:textId="0B15748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31 105</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tcBorders>
            <w:vAlign w:val="center"/>
          </w:tcPr>
          <w:p w14:paraId="688E5189" w14:textId="0F35616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16 190</w:t>
            </w:r>
            <w:r w:rsidR="00721024">
              <w:rPr>
                <w:sz w:val="16"/>
                <w:szCs w:val="16"/>
                <w:lang w:val="en-GB"/>
              </w:rPr>
              <w:t>.</w:t>
            </w:r>
            <w:r w:rsidRPr="00145E8D">
              <w:rPr>
                <w:sz w:val="16"/>
                <w:szCs w:val="16"/>
                <w:lang w:val="en-GB"/>
              </w:rPr>
              <w:t>4</w:t>
            </w:r>
          </w:p>
        </w:tc>
      </w:tr>
      <w:tr w:rsidR="00976BED" w:rsidRPr="00145E8D" w14:paraId="273026A2"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07739776" w14:textId="24D65577" w:rsidR="00976BED" w:rsidRPr="00145E8D" w:rsidRDefault="00976BED" w:rsidP="00931837">
            <w:pPr>
              <w:spacing w:before="0" w:after="0" w:line="260" w:lineRule="exact"/>
              <w:contextualSpacing/>
              <w:rPr>
                <w:sz w:val="16"/>
                <w:szCs w:val="16"/>
                <w:lang w:val="en-GB"/>
              </w:rPr>
            </w:pPr>
            <w:r w:rsidRPr="00145E8D">
              <w:rPr>
                <w:sz w:val="16"/>
                <w:szCs w:val="16"/>
                <w:lang w:val="en-GB"/>
              </w:rPr>
              <w:t>Li</w:t>
            </w:r>
            <w:r w:rsidR="00106837">
              <w:rPr>
                <w:sz w:val="16"/>
                <w:szCs w:val="16"/>
                <w:lang w:val="en-GB"/>
              </w:rPr>
              <w:t>thuania</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78864C07" w14:textId="0511F58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w:t>
            </w:r>
            <w:r w:rsidR="00721024">
              <w:rPr>
                <w:sz w:val="16"/>
                <w:szCs w:val="16"/>
                <w:lang w:val="en-GB"/>
              </w:rPr>
              <w:t>.</w:t>
            </w:r>
            <w:r w:rsidRPr="00145E8D">
              <w:rPr>
                <w:sz w:val="16"/>
                <w:szCs w:val="16"/>
                <w:lang w:val="en-GB"/>
              </w:rPr>
              <w:t>6</w:t>
            </w:r>
          </w:p>
        </w:tc>
        <w:tc>
          <w:tcPr>
            <w:tcW w:w="703" w:type="pct"/>
            <w:tcBorders>
              <w:top w:val="single" w:sz="4" w:space="0" w:color="212492"/>
              <w:left w:val="single" w:sz="4" w:space="0" w:color="212492"/>
              <w:bottom w:val="single" w:sz="4" w:space="0" w:color="212492"/>
              <w:right w:val="single" w:sz="4" w:space="0" w:color="212492"/>
            </w:tcBorders>
            <w:vAlign w:val="center"/>
          </w:tcPr>
          <w:p w14:paraId="531F914B" w14:textId="4E716D4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89</w:t>
            </w:r>
            <w:r w:rsidR="00721024">
              <w:rPr>
                <w:sz w:val="16"/>
                <w:szCs w:val="16"/>
                <w:lang w:val="en-GB"/>
              </w:rPr>
              <w:t>.</w:t>
            </w:r>
            <w:r w:rsidRPr="00145E8D">
              <w:rPr>
                <w:sz w:val="16"/>
                <w:szCs w:val="16"/>
                <w:lang w:val="en-GB"/>
              </w:rPr>
              <w:t>8</w:t>
            </w:r>
          </w:p>
        </w:tc>
        <w:tc>
          <w:tcPr>
            <w:tcW w:w="704" w:type="pct"/>
            <w:tcBorders>
              <w:top w:val="single" w:sz="4" w:space="0" w:color="212492"/>
              <w:left w:val="single" w:sz="4" w:space="0" w:color="212492"/>
              <w:bottom w:val="single" w:sz="4" w:space="0" w:color="212492"/>
              <w:right w:val="single" w:sz="4" w:space="0" w:color="212492"/>
            </w:tcBorders>
            <w:vAlign w:val="center"/>
          </w:tcPr>
          <w:p w14:paraId="7D15C1AF" w14:textId="29D3FAE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3 620</w:t>
            </w:r>
            <w:r w:rsidR="00721024">
              <w:rPr>
                <w:sz w:val="16"/>
                <w:szCs w:val="16"/>
                <w:lang w:val="en-GB"/>
              </w:rPr>
              <w:t>.</w:t>
            </w:r>
            <w:r w:rsidRPr="00145E8D">
              <w:rPr>
                <w:sz w:val="16"/>
                <w:szCs w:val="16"/>
                <w:lang w:val="en-GB"/>
              </w:rPr>
              <w:t>4</w:t>
            </w:r>
          </w:p>
        </w:tc>
        <w:tc>
          <w:tcPr>
            <w:tcW w:w="704" w:type="pct"/>
            <w:tcBorders>
              <w:top w:val="single" w:sz="4" w:space="0" w:color="212492"/>
              <w:left w:val="single" w:sz="4" w:space="0" w:color="212492"/>
              <w:bottom w:val="single" w:sz="4" w:space="0" w:color="212492"/>
              <w:right w:val="single" w:sz="4" w:space="0" w:color="212492"/>
            </w:tcBorders>
            <w:vAlign w:val="center"/>
          </w:tcPr>
          <w:p w14:paraId="46B455CD" w14:textId="09F0351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1 744</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0F4C83CD" w14:textId="6165A81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8 091</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tcBorders>
            <w:vAlign w:val="center"/>
          </w:tcPr>
          <w:p w14:paraId="0568F949" w14:textId="61E8FE1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3 736</w:t>
            </w:r>
            <w:r w:rsidR="00721024">
              <w:rPr>
                <w:sz w:val="16"/>
                <w:szCs w:val="16"/>
                <w:lang w:val="en-GB"/>
              </w:rPr>
              <w:t>.</w:t>
            </w:r>
            <w:r w:rsidRPr="00145E8D">
              <w:rPr>
                <w:sz w:val="16"/>
                <w:szCs w:val="16"/>
                <w:lang w:val="en-GB"/>
              </w:rPr>
              <w:t>9</w:t>
            </w:r>
          </w:p>
        </w:tc>
      </w:tr>
      <w:tr w:rsidR="00976BED" w:rsidRPr="00145E8D" w14:paraId="547A46E8"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7D46E8C5" w14:textId="1402B933" w:rsidR="00976BED" w:rsidRPr="00145E8D" w:rsidRDefault="00976BED" w:rsidP="00931837">
            <w:pPr>
              <w:spacing w:before="0" w:after="0" w:line="260" w:lineRule="exact"/>
              <w:contextualSpacing/>
              <w:rPr>
                <w:sz w:val="16"/>
                <w:szCs w:val="16"/>
                <w:lang w:val="en-GB"/>
              </w:rPr>
            </w:pPr>
            <w:proofErr w:type="spellStart"/>
            <w:r w:rsidRPr="00145E8D">
              <w:rPr>
                <w:sz w:val="16"/>
                <w:szCs w:val="16"/>
                <w:lang w:val="en-GB"/>
              </w:rPr>
              <w:t>Lu</w:t>
            </w:r>
            <w:r w:rsidR="00106837">
              <w:rPr>
                <w:sz w:val="16"/>
                <w:szCs w:val="16"/>
                <w:lang w:val="en-GB"/>
              </w:rPr>
              <w:t>x</w:t>
            </w:r>
            <w:r w:rsidRPr="00145E8D">
              <w:rPr>
                <w:sz w:val="16"/>
                <w:szCs w:val="16"/>
                <w:lang w:val="en-GB"/>
              </w:rPr>
              <w:t>emb</w:t>
            </w:r>
            <w:r w:rsidR="00106837">
              <w:rPr>
                <w:sz w:val="16"/>
                <w:szCs w:val="16"/>
                <w:lang w:val="en-GB"/>
              </w:rPr>
              <w:t>ou</w:t>
            </w:r>
            <w:r w:rsidRPr="00145E8D">
              <w:rPr>
                <w:sz w:val="16"/>
                <w:szCs w:val="16"/>
                <w:lang w:val="en-GB"/>
              </w:rPr>
              <w:t>rg</w:t>
            </w:r>
            <w:r w:rsidRPr="00145E8D">
              <w:rPr>
                <w:i/>
                <w:sz w:val="16"/>
                <w:szCs w:val="16"/>
                <w:vertAlign w:val="superscript"/>
                <w:lang w:val="en-GB"/>
              </w:rPr>
              <w:t>b</w:t>
            </w:r>
            <w:proofErr w:type="spellEnd"/>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245CB831" w14:textId="7383D10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0</w:t>
            </w:r>
            <w:r w:rsidR="00721024">
              <w:rPr>
                <w:sz w:val="16"/>
                <w:szCs w:val="16"/>
                <w:lang w:val="en-GB"/>
              </w:rPr>
              <w:t>.</w:t>
            </w:r>
            <w:r w:rsidRPr="00145E8D">
              <w:rPr>
                <w:sz w:val="16"/>
                <w:szCs w:val="16"/>
                <w:lang w:val="en-GB"/>
              </w:rPr>
              <w:t>4</w:t>
            </w:r>
          </w:p>
        </w:tc>
        <w:tc>
          <w:tcPr>
            <w:tcW w:w="703" w:type="pct"/>
            <w:tcBorders>
              <w:top w:val="single" w:sz="4" w:space="0" w:color="212492"/>
              <w:left w:val="single" w:sz="4" w:space="0" w:color="212492"/>
              <w:bottom w:val="single" w:sz="4" w:space="0" w:color="212492"/>
              <w:right w:val="single" w:sz="4" w:space="0" w:color="212492"/>
            </w:tcBorders>
            <w:vAlign w:val="center"/>
          </w:tcPr>
          <w:p w14:paraId="1412F590" w14:textId="6DA5DB8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63</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36634CE9" w14:textId="0024464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1 139</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1A8A57F2" w14:textId="72B3CAE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1 017</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485C9576" w14:textId="34A93F1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2 920</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tcBorders>
            <w:vAlign w:val="center"/>
          </w:tcPr>
          <w:p w14:paraId="22DEB2B3" w14:textId="3169BE3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2 574</w:t>
            </w:r>
            <w:r w:rsidR="00721024">
              <w:rPr>
                <w:sz w:val="16"/>
                <w:szCs w:val="16"/>
                <w:lang w:val="en-GB"/>
              </w:rPr>
              <w:t>.</w:t>
            </w:r>
            <w:r w:rsidRPr="00145E8D">
              <w:rPr>
                <w:sz w:val="16"/>
                <w:szCs w:val="16"/>
                <w:lang w:val="en-GB"/>
              </w:rPr>
              <w:t>6</w:t>
            </w:r>
          </w:p>
        </w:tc>
      </w:tr>
      <w:tr w:rsidR="00976BED" w:rsidRPr="00145E8D" w14:paraId="1829832F"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71FF0FDD" w14:textId="4787A847" w:rsidR="00976BED" w:rsidRPr="00145E8D" w:rsidRDefault="00106837" w:rsidP="00931837">
            <w:pPr>
              <w:spacing w:before="0" w:after="0" w:line="260" w:lineRule="exact"/>
              <w:contextualSpacing/>
              <w:rPr>
                <w:sz w:val="16"/>
                <w:szCs w:val="16"/>
                <w:lang w:val="en-GB"/>
              </w:rPr>
            </w:pPr>
            <w:r>
              <w:rPr>
                <w:sz w:val="16"/>
                <w:szCs w:val="16"/>
                <w:lang w:val="en-GB"/>
              </w:rPr>
              <w:t>Latvia</w:t>
            </w:r>
          </w:p>
        </w:tc>
        <w:tc>
          <w:tcPr>
            <w:tcW w:w="703" w:type="pct"/>
            <w:tcBorders>
              <w:top w:val="single" w:sz="4" w:space="0" w:color="212492"/>
              <w:left w:val="single" w:sz="4" w:space="0" w:color="212492"/>
              <w:bottom w:val="single" w:sz="4" w:space="0" w:color="212492"/>
              <w:right w:val="single" w:sz="4" w:space="0" w:color="212492"/>
            </w:tcBorders>
            <w:vAlign w:val="center"/>
          </w:tcPr>
          <w:p w14:paraId="61108C77" w14:textId="3AACF55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w:t>
            </w:r>
            <w:r w:rsidR="00721024">
              <w:rPr>
                <w:sz w:val="16"/>
                <w:szCs w:val="16"/>
                <w:lang w:val="en-GB"/>
              </w:rPr>
              <w:t>.</w:t>
            </w:r>
            <w:r w:rsidRPr="00145E8D">
              <w:rPr>
                <w:sz w:val="16"/>
                <w:szCs w:val="16"/>
                <w:lang w:val="en-GB"/>
              </w:rPr>
              <w:t>1</w:t>
            </w:r>
          </w:p>
        </w:tc>
        <w:tc>
          <w:tcPr>
            <w:tcW w:w="703" w:type="pct"/>
            <w:tcBorders>
              <w:top w:val="single" w:sz="4" w:space="0" w:color="212492"/>
              <w:left w:val="single" w:sz="4" w:space="0" w:color="212492"/>
              <w:bottom w:val="single" w:sz="4" w:space="0" w:color="212492"/>
              <w:right w:val="single" w:sz="4" w:space="0" w:color="212492"/>
            </w:tcBorders>
            <w:vAlign w:val="center"/>
          </w:tcPr>
          <w:p w14:paraId="52E9A2BF" w14:textId="48E1B38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53</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68155A58" w14:textId="250600A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2 808</w:t>
            </w:r>
            <w:r w:rsidR="00721024">
              <w:rPr>
                <w:sz w:val="16"/>
                <w:szCs w:val="16"/>
                <w:lang w:val="en-GB"/>
              </w:rPr>
              <w:t>.</w:t>
            </w:r>
            <w:r w:rsidRPr="00145E8D">
              <w:rPr>
                <w:sz w:val="16"/>
                <w:szCs w:val="16"/>
                <w:lang w:val="en-GB"/>
              </w:rPr>
              <w:t>8</w:t>
            </w:r>
          </w:p>
        </w:tc>
        <w:tc>
          <w:tcPr>
            <w:tcW w:w="704" w:type="pct"/>
            <w:tcBorders>
              <w:top w:val="single" w:sz="4" w:space="0" w:color="212492"/>
              <w:left w:val="single" w:sz="4" w:space="0" w:color="212492"/>
              <w:bottom w:val="single" w:sz="4" w:space="0" w:color="212492"/>
              <w:right w:val="single" w:sz="4" w:space="0" w:color="212492"/>
            </w:tcBorders>
            <w:vAlign w:val="center"/>
          </w:tcPr>
          <w:p w14:paraId="1637BD76" w14:textId="422A79F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1 925</w:t>
            </w:r>
            <w:r w:rsidR="00721024">
              <w:rPr>
                <w:sz w:val="16"/>
                <w:szCs w:val="16"/>
                <w:lang w:val="en-GB"/>
              </w:rPr>
              <w:t>.</w:t>
            </w:r>
            <w:r w:rsidRPr="00145E8D">
              <w:rPr>
                <w:sz w:val="16"/>
                <w:szCs w:val="16"/>
                <w:lang w:val="en-GB"/>
              </w:rPr>
              <w:t>4</w:t>
            </w:r>
          </w:p>
        </w:tc>
        <w:tc>
          <w:tcPr>
            <w:tcW w:w="704" w:type="pct"/>
            <w:tcBorders>
              <w:top w:val="single" w:sz="4" w:space="0" w:color="212492"/>
              <w:left w:val="single" w:sz="4" w:space="0" w:color="212492"/>
              <w:bottom w:val="single" w:sz="4" w:space="0" w:color="212492"/>
              <w:right w:val="single" w:sz="4" w:space="0" w:color="212492"/>
            </w:tcBorders>
            <w:vAlign w:val="center"/>
          </w:tcPr>
          <w:p w14:paraId="736C0306" w14:textId="706CDC6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5 368</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tcBorders>
            <w:vAlign w:val="center"/>
          </w:tcPr>
          <w:p w14:paraId="11BCEF00" w14:textId="7D605238"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3 743</w:t>
            </w:r>
            <w:r w:rsidR="00721024">
              <w:rPr>
                <w:sz w:val="16"/>
                <w:szCs w:val="16"/>
                <w:lang w:val="en-GB"/>
              </w:rPr>
              <w:t>.</w:t>
            </w:r>
            <w:r w:rsidRPr="00145E8D">
              <w:rPr>
                <w:sz w:val="16"/>
                <w:szCs w:val="16"/>
                <w:lang w:val="en-GB"/>
              </w:rPr>
              <w:t>0</w:t>
            </w:r>
          </w:p>
        </w:tc>
      </w:tr>
      <w:tr w:rsidR="00976BED" w:rsidRPr="00145E8D" w14:paraId="0011C80D"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0B9A4DB0" w14:textId="77777777" w:rsidR="00976BED" w:rsidRPr="00145E8D" w:rsidRDefault="00976BED" w:rsidP="00931837">
            <w:pPr>
              <w:spacing w:before="0" w:after="0" w:line="260" w:lineRule="exact"/>
              <w:contextualSpacing/>
              <w:rPr>
                <w:sz w:val="16"/>
                <w:szCs w:val="16"/>
                <w:lang w:val="en-GB"/>
              </w:rPr>
            </w:pPr>
            <w:r w:rsidRPr="00145E8D">
              <w:rPr>
                <w:sz w:val="16"/>
                <w:szCs w:val="16"/>
                <w:lang w:val="en-GB"/>
              </w:rPr>
              <w:t xml:space="preserve">Malta </w:t>
            </w:r>
          </w:p>
        </w:tc>
        <w:tc>
          <w:tcPr>
            <w:tcW w:w="703" w:type="pct"/>
            <w:tcBorders>
              <w:top w:val="single" w:sz="4" w:space="0" w:color="212492"/>
              <w:left w:val="single" w:sz="4" w:space="0" w:color="212492"/>
              <w:bottom w:val="single" w:sz="4" w:space="0" w:color="212492"/>
              <w:right w:val="single" w:sz="4" w:space="0" w:color="212492"/>
            </w:tcBorders>
            <w:vAlign w:val="center"/>
          </w:tcPr>
          <w:p w14:paraId="39A30179" w14:textId="5734C1D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0</w:t>
            </w:r>
            <w:r w:rsidR="00721024">
              <w:rPr>
                <w:sz w:val="16"/>
                <w:szCs w:val="16"/>
                <w:lang w:val="en-GB"/>
              </w:rPr>
              <w:t>.</w:t>
            </w:r>
            <w:r w:rsidRPr="00145E8D">
              <w:rPr>
                <w:sz w:val="16"/>
                <w:szCs w:val="16"/>
                <w:lang w:val="en-GB"/>
              </w:rPr>
              <w:t>2</w:t>
            </w:r>
          </w:p>
        </w:tc>
        <w:tc>
          <w:tcPr>
            <w:tcW w:w="703" w:type="pct"/>
            <w:tcBorders>
              <w:top w:val="single" w:sz="4" w:space="0" w:color="212492"/>
              <w:left w:val="single" w:sz="4" w:space="0" w:color="212492"/>
              <w:bottom w:val="single" w:sz="4" w:space="0" w:color="212492"/>
              <w:right w:val="single" w:sz="4" w:space="0" w:color="212492"/>
            </w:tcBorders>
            <w:vAlign w:val="center"/>
          </w:tcPr>
          <w:p w14:paraId="3D7C6310" w14:textId="21E2B71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45</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67F12A10" w14:textId="0C79DF1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1 982</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29E78C11" w14:textId="144A2BA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1 798</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32F5435D" w14:textId="467D28F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10 114</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tcBorders>
            <w:vAlign w:val="center"/>
          </w:tcPr>
          <w:p w14:paraId="062622CD" w14:textId="102CE29D"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9 685</w:t>
            </w:r>
            <w:r w:rsidR="00721024">
              <w:rPr>
                <w:sz w:val="16"/>
                <w:szCs w:val="16"/>
                <w:lang w:val="en-GB"/>
              </w:rPr>
              <w:t>.</w:t>
            </w:r>
            <w:r w:rsidRPr="00145E8D">
              <w:rPr>
                <w:sz w:val="16"/>
                <w:szCs w:val="16"/>
                <w:lang w:val="en-GB"/>
              </w:rPr>
              <w:t>2</w:t>
            </w:r>
          </w:p>
        </w:tc>
      </w:tr>
      <w:tr w:rsidR="00976BED" w:rsidRPr="00145E8D" w14:paraId="4E192BE2"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45344954" w14:textId="3A4F81F6" w:rsidR="00976BED" w:rsidRPr="00145E8D" w:rsidRDefault="00106837" w:rsidP="00931837">
            <w:pPr>
              <w:spacing w:before="0" w:after="0" w:line="260" w:lineRule="exact"/>
              <w:contextualSpacing/>
              <w:rPr>
                <w:sz w:val="16"/>
                <w:szCs w:val="16"/>
                <w:lang w:val="en-GB"/>
              </w:rPr>
            </w:pPr>
            <w:r>
              <w:rPr>
                <w:sz w:val="16"/>
                <w:szCs w:val="16"/>
                <w:lang w:val="en-GB"/>
              </w:rPr>
              <w:t>Germany</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01EDF49C" w14:textId="4E7B1A8D"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50</w:t>
            </w:r>
            <w:r w:rsidR="00721024">
              <w:rPr>
                <w:sz w:val="16"/>
                <w:szCs w:val="16"/>
                <w:lang w:val="en-GB"/>
              </w:rPr>
              <w:t>.</w:t>
            </w:r>
            <w:r w:rsidRPr="00145E8D">
              <w:rPr>
                <w:sz w:val="16"/>
                <w:szCs w:val="16"/>
                <w:lang w:val="en-GB"/>
              </w:rPr>
              <w:t>0</w:t>
            </w:r>
          </w:p>
        </w:tc>
        <w:tc>
          <w:tcPr>
            <w:tcW w:w="703" w:type="pct"/>
            <w:tcBorders>
              <w:top w:val="single" w:sz="4" w:space="0" w:color="212492"/>
              <w:left w:val="single" w:sz="4" w:space="0" w:color="212492"/>
              <w:bottom w:val="single" w:sz="4" w:space="0" w:color="212492"/>
              <w:right w:val="single" w:sz="4" w:space="0" w:color="212492"/>
            </w:tcBorders>
            <w:vAlign w:val="center"/>
          </w:tcPr>
          <w:p w14:paraId="20CDC4AA" w14:textId="6951C72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3 473</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10FE65E2" w14:textId="5F986B8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179 242</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0A975B75" w14:textId="32F9898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38 747</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6B9C4E80" w14:textId="700FDB5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419 556</w:t>
            </w:r>
            <w:r w:rsidR="00721024">
              <w:rPr>
                <w:sz w:val="16"/>
                <w:szCs w:val="16"/>
                <w:lang w:val="en-GB"/>
              </w:rPr>
              <w:t>.</w:t>
            </w:r>
            <w:r w:rsidRPr="00145E8D">
              <w:rPr>
                <w:sz w:val="16"/>
                <w:szCs w:val="16"/>
                <w:lang w:val="en-GB"/>
              </w:rPr>
              <w:t>3</w:t>
            </w:r>
          </w:p>
        </w:tc>
        <w:tc>
          <w:tcPr>
            <w:tcW w:w="704" w:type="pct"/>
            <w:tcBorders>
              <w:top w:val="single" w:sz="4" w:space="0" w:color="212492"/>
              <w:left w:val="single" w:sz="4" w:space="0" w:color="212492"/>
              <w:bottom w:val="single" w:sz="4" w:space="0" w:color="212492"/>
            </w:tcBorders>
            <w:vAlign w:val="center"/>
          </w:tcPr>
          <w:p w14:paraId="667C6AC6" w14:textId="49E19F7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86 961</w:t>
            </w:r>
            <w:r w:rsidR="00721024">
              <w:rPr>
                <w:sz w:val="16"/>
                <w:szCs w:val="16"/>
                <w:lang w:val="en-GB"/>
              </w:rPr>
              <w:t>.</w:t>
            </w:r>
            <w:r w:rsidRPr="00145E8D">
              <w:rPr>
                <w:sz w:val="16"/>
                <w:szCs w:val="16"/>
                <w:lang w:val="en-GB"/>
              </w:rPr>
              <w:t>9</w:t>
            </w:r>
          </w:p>
        </w:tc>
      </w:tr>
      <w:tr w:rsidR="00976BED" w:rsidRPr="00145E8D" w14:paraId="17BC89E0"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36B563E7" w14:textId="17398FDD" w:rsidR="00976BED" w:rsidRPr="00145E8D" w:rsidRDefault="00976BED" w:rsidP="00931837">
            <w:pPr>
              <w:spacing w:before="0" w:after="0" w:line="260" w:lineRule="exact"/>
              <w:contextualSpacing/>
              <w:rPr>
                <w:b/>
                <w:bCs/>
                <w:sz w:val="16"/>
                <w:szCs w:val="16"/>
                <w:lang w:val="en-GB"/>
              </w:rPr>
            </w:pPr>
            <w:r w:rsidRPr="00145E8D">
              <w:rPr>
                <w:b/>
                <w:bCs/>
                <w:sz w:val="16"/>
                <w:szCs w:val="16"/>
                <w:lang w:val="en-GB"/>
              </w:rPr>
              <w:t>Pol</w:t>
            </w:r>
            <w:r w:rsidR="00106837">
              <w:rPr>
                <w:b/>
                <w:bCs/>
                <w:sz w:val="16"/>
                <w:szCs w:val="16"/>
                <w:lang w:val="en-GB"/>
              </w:rPr>
              <w:t>and</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67C676D9" w14:textId="25A429F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11</w:t>
            </w:r>
            <w:r w:rsidR="00721024">
              <w:rPr>
                <w:sz w:val="16"/>
                <w:szCs w:val="16"/>
                <w:lang w:val="en-GB"/>
              </w:rPr>
              <w:t>.</w:t>
            </w:r>
            <w:r w:rsidRPr="00145E8D">
              <w:rPr>
                <w:sz w:val="16"/>
                <w:szCs w:val="16"/>
                <w:lang w:val="en-GB"/>
              </w:rPr>
              <w:t>1</w:t>
            </w:r>
          </w:p>
        </w:tc>
        <w:tc>
          <w:tcPr>
            <w:tcW w:w="703" w:type="pct"/>
            <w:tcBorders>
              <w:top w:val="single" w:sz="4" w:space="0" w:color="212492"/>
              <w:left w:val="single" w:sz="4" w:space="0" w:color="212492"/>
              <w:bottom w:val="single" w:sz="4" w:space="0" w:color="212492"/>
              <w:right w:val="single" w:sz="4" w:space="0" w:color="212492"/>
            </w:tcBorders>
            <w:vAlign w:val="center"/>
          </w:tcPr>
          <w:p w14:paraId="43CA4C2E" w14:textId="0F191D5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798</w:t>
            </w:r>
            <w:r w:rsidR="00721024">
              <w:rPr>
                <w:sz w:val="16"/>
                <w:szCs w:val="16"/>
                <w:lang w:val="en-GB"/>
              </w:rPr>
              <w:t>.</w:t>
            </w:r>
            <w:r w:rsidRPr="00145E8D">
              <w:rPr>
                <w:sz w:val="16"/>
                <w:szCs w:val="16"/>
                <w:lang w:val="en-GB"/>
              </w:rPr>
              <w:t>7</w:t>
            </w:r>
          </w:p>
        </w:tc>
        <w:tc>
          <w:tcPr>
            <w:tcW w:w="704" w:type="pct"/>
            <w:tcBorders>
              <w:top w:val="single" w:sz="4" w:space="0" w:color="212492"/>
              <w:left w:val="single" w:sz="4" w:space="0" w:color="212492"/>
              <w:bottom w:val="single" w:sz="4" w:space="0" w:color="212492"/>
              <w:right w:val="single" w:sz="4" w:space="0" w:color="212492"/>
            </w:tcBorders>
            <w:vAlign w:val="center"/>
          </w:tcPr>
          <w:p w14:paraId="42D96963" w14:textId="39680DD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33 895</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29ACCB4A" w14:textId="31E5B57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7 082</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64FFA4EE" w14:textId="281B58A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88 860</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tcBorders>
            <w:vAlign w:val="center"/>
          </w:tcPr>
          <w:p w14:paraId="3E673081" w14:textId="0010E46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17 742</w:t>
            </w:r>
            <w:r w:rsidR="00721024">
              <w:rPr>
                <w:sz w:val="16"/>
                <w:szCs w:val="16"/>
                <w:lang w:val="en-GB"/>
              </w:rPr>
              <w:t>.</w:t>
            </w:r>
            <w:r w:rsidRPr="00145E8D">
              <w:rPr>
                <w:sz w:val="16"/>
                <w:szCs w:val="16"/>
                <w:lang w:val="en-GB"/>
              </w:rPr>
              <w:t>7</w:t>
            </w:r>
          </w:p>
        </w:tc>
      </w:tr>
      <w:tr w:rsidR="00976BED" w:rsidRPr="00145E8D" w14:paraId="0544E7FC"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37021504" w14:textId="1650CE6E" w:rsidR="00976BED" w:rsidRPr="00145E8D" w:rsidRDefault="00976BED" w:rsidP="00931837">
            <w:pPr>
              <w:spacing w:before="0" w:after="0" w:line="260" w:lineRule="exact"/>
              <w:contextualSpacing/>
              <w:rPr>
                <w:sz w:val="16"/>
                <w:szCs w:val="16"/>
                <w:lang w:val="en-GB"/>
              </w:rPr>
            </w:pPr>
            <w:r w:rsidRPr="00145E8D">
              <w:rPr>
                <w:sz w:val="16"/>
                <w:szCs w:val="16"/>
                <w:lang w:val="en-GB"/>
              </w:rPr>
              <w:t xml:space="preserve">Portugal </w:t>
            </w:r>
          </w:p>
        </w:tc>
        <w:tc>
          <w:tcPr>
            <w:tcW w:w="703" w:type="pct"/>
            <w:tcBorders>
              <w:top w:val="single" w:sz="4" w:space="0" w:color="212492"/>
              <w:left w:val="single" w:sz="4" w:space="0" w:color="212492"/>
              <w:bottom w:val="single" w:sz="4" w:space="0" w:color="212492"/>
              <w:right w:val="single" w:sz="4" w:space="0" w:color="212492"/>
            </w:tcBorders>
            <w:vAlign w:val="center"/>
          </w:tcPr>
          <w:p w14:paraId="65ED0E98" w14:textId="34B0E62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w:t>
            </w:r>
            <w:r w:rsidR="00721024">
              <w:rPr>
                <w:sz w:val="16"/>
                <w:szCs w:val="16"/>
                <w:lang w:val="en-GB"/>
              </w:rPr>
              <w:t>.</w:t>
            </w:r>
            <w:r w:rsidRPr="00145E8D">
              <w:rPr>
                <w:sz w:val="16"/>
                <w:szCs w:val="16"/>
                <w:lang w:val="en-GB"/>
              </w:rPr>
              <w:t>0</w:t>
            </w:r>
          </w:p>
        </w:tc>
        <w:tc>
          <w:tcPr>
            <w:tcW w:w="703" w:type="pct"/>
            <w:tcBorders>
              <w:top w:val="single" w:sz="4" w:space="0" w:color="212492"/>
              <w:left w:val="single" w:sz="4" w:space="0" w:color="212492"/>
              <w:bottom w:val="single" w:sz="4" w:space="0" w:color="212492"/>
              <w:right w:val="single" w:sz="4" w:space="0" w:color="212492"/>
            </w:tcBorders>
            <w:vAlign w:val="center"/>
          </w:tcPr>
          <w:p w14:paraId="5255DCBF" w14:textId="3C54BB6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648</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43026B12" w14:textId="1553C0F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25 866</w:t>
            </w:r>
            <w:r w:rsidR="00721024">
              <w:rPr>
                <w:sz w:val="16"/>
                <w:szCs w:val="16"/>
                <w:lang w:val="en-GB"/>
              </w:rPr>
              <w:t>.</w:t>
            </w:r>
            <w:r w:rsidRPr="00145E8D">
              <w:rPr>
                <w:sz w:val="16"/>
                <w:szCs w:val="16"/>
                <w:lang w:val="en-GB"/>
              </w:rPr>
              <w:t>4</w:t>
            </w:r>
          </w:p>
        </w:tc>
        <w:tc>
          <w:tcPr>
            <w:tcW w:w="704" w:type="pct"/>
            <w:tcBorders>
              <w:top w:val="single" w:sz="4" w:space="0" w:color="212492"/>
              <w:left w:val="single" w:sz="4" w:space="0" w:color="212492"/>
              <w:bottom w:val="single" w:sz="4" w:space="0" w:color="212492"/>
              <w:right w:val="single" w:sz="4" w:space="0" w:color="212492"/>
            </w:tcBorders>
            <w:vAlign w:val="center"/>
          </w:tcPr>
          <w:p w14:paraId="4ED269A7" w14:textId="190AAFB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15 035</w:t>
            </w:r>
            <w:r w:rsidR="00721024">
              <w:rPr>
                <w:sz w:val="16"/>
                <w:szCs w:val="16"/>
                <w:lang w:val="en-GB"/>
              </w:rPr>
              <w:t>.</w:t>
            </w:r>
            <w:r w:rsidRPr="00145E8D">
              <w:rPr>
                <w:sz w:val="16"/>
                <w:szCs w:val="16"/>
                <w:lang w:val="en-GB"/>
              </w:rPr>
              <w:t>8</w:t>
            </w:r>
          </w:p>
        </w:tc>
        <w:tc>
          <w:tcPr>
            <w:tcW w:w="704" w:type="pct"/>
            <w:tcBorders>
              <w:top w:val="single" w:sz="4" w:space="0" w:color="212492"/>
              <w:left w:val="single" w:sz="4" w:space="0" w:color="212492"/>
              <w:bottom w:val="single" w:sz="4" w:space="0" w:color="212492"/>
              <w:right w:val="single" w:sz="4" w:space="0" w:color="212492"/>
            </w:tcBorders>
            <w:vAlign w:val="center"/>
          </w:tcPr>
          <w:p w14:paraId="792C1CE2" w14:textId="0782BA6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74 407</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tcBorders>
            <w:vAlign w:val="center"/>
          </w:tcPr>
          <w:p w14:paraId="2C5CF58D" w14:textId="3379F42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49 852</w:t>
            </w:r>
            <w:r w:rsidR="00721024">
              <w:rPr>
                <w:sz w:val="16"/>
                <w:szCs w:val="16"/>
                <w:lang w:val="en-GB"/>
              </w:rPr>
              <w:t>.</w:t>
            </w:r>
            <w:r w:rsidRPr="00145E8D">
              <w:rPr>
                <w:sz w:val="16"/>
                <w:szCs w:val="16"/>
                <w:lang w:val="en-GB"/>
              </w:rPr>
              <w:t>3</w:t>
            </w:r>
          </w:p>
        </w:tc>
      </w:tr>
      <w:tr w:rsidR="00976BED" w:rsidRPr="00145E8D" w14:paraId="036D188B"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3F846625" w14:textId="2A7B5CE0" w:rsidR="00976BED" w:rsidRPr="00145E8D" w:rsidRDefault="00976BED" w:rsidP="00931837">
            <w:pPr>
              <w:spacing w:before="0" w:after="0" w:line="260" w:lineRule="exact"/>
              <w:contextualSpacing/>
              <w:rPr>
                <w:sz w:val="16"/>
                <w:szCs w:val="16"/>
                <w:lang w:val="en-GB"/>
              </w:rPr>
            </w:pPr>
            <w:r w:rsidRPr="00145E8D">
              <w:rPr>
                <w:sz w:val="16"/>
                <w:szCs w:val="16"/>
                <w:lang w:val="en-GB"/>
              </w:rPr>
              <w:t>R</w:t>
            </w:r>
            <w:r w:rsidR="00106837">
              <w:rPr>
                <w:sz w:val="16"/>
                <w:szCs w:val="16"/>
                <w:lang w:val="en-GB"/>
              </w:rPr>
              <w:t>o</w:t>
            </w:r>
            <w:r w:rsidRPr="00145E8D">
              <w:rPr>
                <w:sz w:val="16"/>
                <w:szCs w:val="16"/>
                <w:lang w:val="en-GB"/>
              </w:rPr>
              <w:t>m</w:t>
            </w:r>
            <w:r w:rsidR="00106837">
              <w:rPr>
                <w:sz w:val="16"/>
                <w:szCs w:val="16"/>
                <w:lang w:val="en-GB"/>
              </w:rPr>
              <w:t>a</w:t>
            </w:r>
            <w:r w:rsidRPr="00145E8D">
              <w:rPr>
                <w:sz w:val="16"/>
                <w:szCs w:val="16"/>
                <w:lang w:val="en-GB"/>
              </w:rPr>
              <w:t xml:space="preserve">nia </w:t>
            </w:r>
          </w:p>
        </w:tc>
        <w:tc>
          <w:tcPr>
            <w:tcW w:w="703" w:type="pct"/>
            <w:tcBorders>
              <w:top w:val="single" w:sz="4" w:space="0" w:color="212492"/>
              <w:left w:val="single" w:sz="4" w:space="0" w:color="212492"/>
              <w:bottom w:val="single" w:sz="4" w:space="0" w:color="212492"/>
              <w:right w:val="single" w:sz="4" w:space="0" w:color="212492"/>
            </w:tcBorders>
            <w:vAlign w:val="center"/>
          </w:tcPr>
          <w:p w14:paraId="554F6ABD" w14:textId="1F18518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w:t>
            </w:r>
            <w:r w:rsidR="00721024">
              <w:rPr>
                <w:sz w:val="16"/>
                <w:szCs w:val="16"/>
                <w:lang w:val="en-GB"/>
              </w:rPr>
              <w:t>.</w:t>
            </w:r>
            <w:r w:rsidRPr="00145E8D">
              <w:rPr>
                <w:sz w:val="16"/>
                <w:szCs w:val="16"/>
                <w:lang w:val="en-GB"/>
              </w:rPr>
              <w:t>7</w:t>
            </w:r>
          </w:p>
        </w:tc>
        <w:tc>
          <w:tcPr>
            <w:tcW w:w="703" w:type="pct"/>
            <w:tcBorders>
              <w:top w:val="single" w:sz="4" w:space="0" w:color="212492"/>
              <w:left w:val="single" w:sz="4" w:space="0" w:color="212492"/>
              <w:bottom w:val="single" w:sz="4" w:space="0" w:color="212492"/>
              <w:right w:val="single" w:sz="4" w:space="0" w:color="212492"/>
            </w:tcBorders>
            <w:vAlign w:val="center"/>
          </w:tcPr>
          <w:p w14:paraId="62BEB192" w14:textId="442B171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348</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48AF10DF" w14:textId="78DF0F5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12 816</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7F2704E3" w14:textId="2A3247D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2 786</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16F37C6B" w14:textId="0D5B850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28 461</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tcBorders>
            <w:vAlign w:val="center"/>
          </w:tcPr>
          <w:p w14:paraId="15F8C368" w14:textId="3DA5178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5 306</w:t>
            </w:r>
            <w:r w:rsidR="00721024">
              <w:rPr>
                <w:sz w:val="16"/>
                <w:szCs w:val="16"/>
                <w:lang w:val="en-GB"/>
              </w:rPr>
              <w:t>.</w:t>
            </w:r>
            <w:r w:rsidRPr="00145E8D">
              <w:rPr>
                <w:sz w:val="16"/>
                <w:szCs w:val="16"/>
                <w:lang w:val="en-GB"/>
              </w:rPr>
              <w:t>5</w:t>
            </w:r>
          </w:p>
        </w:tc>
      </w:tr>
      <w:tr w:rsidR="00976BED" w:rsidRPr="00145E8D" w14:paraId="48015499"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0B5342F9" w14:textId="59A6D590" w:rsidR="00976BED" w:rsidRPr="00145E8D" w:rsidRDefault="00976BED" w:rsidP="00931837">
            <w:pPr>
              <w:spacing w:before="0" w:after="0" w:line="260" w:lineRule="exact"/>
              <w:contextualSpacing/>
              <w:rPr>
                <w:sz w:val="16"/>
                <w:szCs w:val="16"/>
                <w:lang w:val="en-GB"/>
              </w:rPr>
            </w:pPr>
            <w:r w:rsidRPr="00145E8D">
              <w:rPr>
                <w:sz w:val="16"/>
                <w:szCs w:val="16"/>
                <w:lang w:val="en-GB"/>
              </w:rPr>
              <w:t>S</w:t>
            </w:r>
            <w:r w:rsidR="00106837">
              <w:rPr>
                <w:sz w:val="16"/>
                <w:szCs w:val="16"/>
                <w:lang w:val="en-GB"/>
              </w:rPr>
              <w:t>lovakia</w:t>
            </w:r>
          </w:p>
        </w:tc>
        <w:tc>
          <w:tcPr>
            <w:tcW w:w="703" w:type="pct"/>
            <w:tcBorders>
              <w:top w:val="single" w:sz="4" w:space="0" w:color="212492"/>
              <w:left w:val="single" w:sz="4" w:space="0" w:color="212492"/>
              <w:bottom w:val="single" w:sz="4" w:space="0" w:color="212492"/>
              <w:right w:val="single" w:sz="4" w:space="0" w:color="212492"/>
            </w:tcBorders>
            <w:vAlign w:val="center"/>
          </w:tcPr>
          <w:p w14:paraId="143CFFF5" w14:textId="47594F47"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w:t>
            </w:r>
            <w:r w:rsidR="00721024">
              <w:rPr>
                <w:sz w:val="16"/>
                <w:szCs w:val="16"/>
                <w:lang w:val="en-GB"/>
              </w:rPr>
              <w:t>.</w:t>
            </w:r>
            <w:r w:rsidRPr="00145E8D">
              <w:rPr>
                <w:sz w:val="16"/>
                <w:szCs w:val="16"/>
                <w:lang w:val="en-GB"/>
              </w:rPr>
              <w:t>1</w:t>
            </w:r>
          </w:p>
        </w:tc>
        <w:tc>
          <w:tcPr>
            <w:tcW w:w="703" w:type="pct"/>
            <w:tcBorders>
              <w:top w:val="single" w:sz="4" w:space="0" w:color="212492"/>
              <w:left w:val="single" w:sz="4" w:space="0" w:color="212492"/>
              <w:bottom w:val="single" w:sz="4" w:space="0" w:color="212492"/>
              <w:right w:val="single" w:sz="4" w:space="0" w:color="212492"/>
            </w:tcBorders>
            <w:vAlign w:val="center"/>
          </w:tcPr>
          <w:p w14:paraId="03342802" w14:textId="55572C5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190</w:t>
            </w:r>
            <w:r w:rsidR="00721024">
              <w:rPr>
                <w:sz w:val="16"/>
                <w:szCs w:val="16"/>
                <w:lang w:val="en-GB"/>
              </w:rPr>
              <w:t>.</w:t>
            </w:r>
            <w:r w:rsidRPr="00145E8D">
              <w:rPr>
                <w:sz w:val="16"/>
                <w:szCs w:val="16"/>
                <w:lang w:val="en-GB"/>
              </w:rPr>
              <w:t>8</w:t>
            </w:r>
          </w:p>
        </w:tc>
        <w:tc>
          <w:tcPr>
            <w:tcW w:w="704" w:type="pct"/>
            <w:tcBorders>
              <w:top w:val="single" w:sz="4" w:space="0" w:color="212492"/>
              <w:left w:val="single" w:sz="4" w:space="0" w:color="212492"/>
              <w:bottom w:val="single" w:sz="4" w:space="0" w:color="212492"/>
              <w:right w:val="single" w:sz="4" w:space="0" w:color="212492"/>
            </w:tcBorders>
            <w:vAlign w:val="center"/>
          </w:tcPr>
          <w:p w14:paraId="02EF8B94" w14:textId="15AD840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5 487</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3ACA5EBF" w14:textId="711515E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2 214</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00A195C9" w14:textId="2278DAD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15 188</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tcBorders>
            <w:vAlign w:val="center"/>
          </w:tcPr>
          <w:p w14:paraId="51FBE808" w14:textId="3FB724C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5 558</w:t>
            </w:r>
            <w:r w:rsidR="00721024">
              <w:rPr>
                <w:sz w:val="16"/>
                <w:szCs w:val="16"/>
                <w:lang w:val="en-GB"/>
              </w:rPr>
              <w:t>.</w:t>
            </w:r>
            <w:r w:rsidRPr="00145E8D">
              <w:rPr>
                <w:sz w:val="16"/>
                <w:szCs w:val="16"/>
                <w:lang w:val="en-GB"/>
              </w:rPr>
              <w:t>9</w:t>
            </w:r>
          </w:p>
        </w:tc>
      </w:tr>
      <w:tr w:rsidR="00976BED" w:rsidRPr="00145E8D" w14:paraId="2360AD80"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761740C7" w14:textId="705BED7F" w:rsidR="00976BED" w:rsidRPr="00145E8D" w:rsidRDefault="00976BED" w:rsidP="00931837">
            <w:pPr>
              <w:spacing w:before="0" w:after="0" w:line="260" w:lineRule="exact"/>
              <w:contextualSpacing/>
              <w:rPr>
                <w:sz w:val="16"/>
                <w:szCs w:val="16"/>
                <w:lang w:val="en-GB"/>
              </w:rPr>
            </w:pPr>
            <w:proofErr w:type="spellStart"/>
            <w:r w:rsidRPr="00145E8D">
              <w:rPr>
                <w:sz w:val="16"/>
                <w:szCs w:val="16"/>
                <w:lang w:val="en-GB"/>
              </w:rPr>
              <w:t>S</w:t>
            </w:r>
            <w:r w:rsidR="00106837">
              <w:rPr>
                <w:sz w:val="16"/>
                <w:szCs w:val="16"/>
                <w:lang w:val="en-GB"/>
              </w:rPr>
              <w:t>lovenia</w:t>
            </w:r>
            <w:r w:rsidRPr="00145E8D">
              <w:rPr>
                <w:sz w:val="16"/>
                <w:szCs w:val="16"/>
                <w:vertAlign w:val="superscript"/>
                <w:lang w:val="en-GB"/>
              </w:rPr>
              <w:t>b</w:t>
            </w:r>
            <w:proofErr w:type="spellEnd"/>
          </w:p>
        </w:tc>
        <w:tc>
          <w:tcPr>
            <w:tcW w:w="703" w:type="pct"/>
            <w:tcBorders>
              <w:top w:val="single" w:sz="4" w:space="0" w:color="212492"/>
              <w:left w:val="single" w:sz="4" w:space="0" w:color="212492"/>
              <w:bottom w:val="single" w:sz="4" w:space="0" w:color="212492"/>
              <w:right w:val="single" w:sz="4" w:space="0" w:color="212492"/>
            </w:tcBorders>
            <w:vAlign w:val="center"/>
          </w:tcPr>
          <w:p w14:paraId="751D1244" w14:textId="72C847C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w:t>
            </w:r>
            <w:r w:rsidR="00721024">
              <w:rPr>
                <w:sz w:val="16"/>
                <w:szCs w:val="16"/>
                <w:lang w:val="en-GB"/>
              </w:rPr>
              <w:t>.</w:t>
            </w:r>
            <w:r w:rsidRPr="00145E8D">
              <w:rPr>
                <w:sz w:val="16"/>
                <w:szCs w:val="16"/>
                <w:lang w:val="en-GB"/>
              </w:rPr>
              <w:t>7</w:t>
            </w:r>
          </w:p>
        </w:tc>
        <w:tc>
          <w:tcPr>
            <w:tcW w:w="703" w:type="pct"/>
            <w:tcBorders>
              <w:top w:val="single" w:sz="4" w:space="0" w:color="212492"/>
              <w:left w:val="single" w:sz="4" w:space="0" w:color="212492"/>
              <w:bottom w:val="single" w:sz="4" w:space="0" w:color="212492"/>
              <w:right w:val="single" w:sz="4" w:space="0" w:color="212492"/>
            </w:tcBorders>
            <w:vAlign w:val="center"/>
          </w:tcPr>
          <w:p w14:paraId="7752C432" w14:textId="59B5E86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117</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3D3D97FE" w14:textId="7158B55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4 892</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7EFCBF6A" w14:textId="70CCBE2F"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3 543</w:t>
            </w:r>
            <w:r w:rsidR="00721024">
              <w:rPr>
                <w:sz w:val="16"/>
                <w:szCs w:val="16"/>
                <w:lang w:val="en-GB"/>
              </w:rPr>
              <w:t>.</w:t>
            </w:r>
            <w:r w:rsidRPr="00145E8D">
              <w:rPr>
                <w:sz w:val="16"/>
                <w:szCs w:val="16"/>
                <w:lang w:val="en-GB"/>
              </w:rPr>
              <w:t>0</w:t>
            </w:r>
          </w:p>
        </w:tc>
        <w:tc>
          <w:tcPr>
            <w:tcW w:w="704" w:type="pct"/>
            <w:tcBorders>
              <w:top w:val="single" w:sz="4" w:space="0" w:color="212492"/>
              <w:left w:val="single" w:sz="4" w:space="0" w:color="212492"/>
              <w:bottom w:val="single" w:sz="4" w:space="0" w:color="212492"/>
              <w:right w:val="single" w:sz="4" w:space="0" w:color="212492"/>
            </w:tcBorders>
            <w:vAlign w:val="center"/>
          </w:tcPr>
          <w:p w14:paraId="41484509" w14:textId="62B5C8D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12 460</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tcBorders>
            <w:vAlign w:val="center"/>
          </w:tcPr>
          <w:p w14:paraId="0C8D4A1B" w14:textId="7B8B97BA"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8 478</w:t>
            </w:r>
            <w:r w:rsidR="00721024">
              <w:rPr>
                <w:sz w:val="16"/>
                <w:szCs w:val="16"/>
                <w:lang w:val="en-GB"/>
              </w:rPr>
              <w:t>.</w:t>
            </w:r>
            <w:r w:rsidRPr="00145E8D">
              <w:rPr>
                <w:sz w:val="16"/>
                <w:szCs w:val="16"/>
                <w:lang w:val="en-GB"/>
              </w:rPr>
              <w:t>0</w:t>
            </w:r>
          </w:p>
        </w:tc>
      </w:tr>
      <w:tr w:rsidR="00976BED" w:rsidRPr="00145E8D" w14:paraId="2C5A43F4"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4EECCA1C" w14:textId="11B30877" w:rsidR="00976BED" w:rsidRPr="00145E8D" w:rsidRDefault="00976BED" w:rsidP="00931837">
            <w:pPr>
              <w:spacing w:before="0" w:after="0" w:line="260" w:lineRule="exact"/>
              <w:contextualSpacing/>
              <w:rPr>
                <w:sz w:val="16"/>
                <w:szCs w:val="16"/>
                <w:lang w:val="en-GB"/>
              </w:rPr>
            </w:pPr>
            <w:r w:rsidRPr="00145E8D">
              <w:rPr>
                <w:sz w:val="16"/>
                <w:szCs w:val="16"/>
                <w:lang w:val="en-GB"/>
              </w:rPr>
              <w:t>S</w:t>
            </w:r>
            <w:r w:rsidR="00106837">
              <w:rPr>
                <w:sz w:val="16"/>
                <w:szCs w:val="16"/>
                <w:lang w:val="en-GB"/>
              </w:rPr>
              <w:t>weden</w:t>
            </w:r>
            <w:r w:rsidRPr="00145E8D">
              <w:rPr>
                <w:sz w:val="16"/>
                <w:szCs w:val="16"/>
                <w:lang w:val="en-GB"/>
              </w:rPr>
              <w:t xml:space="preserve"> </w:t>
            </w:r>
          </w:p>
        </w:tc>
        <w:tc>
          <w:tcPr>
            <w:tcW w:w="703" w:type="pct"/>
            <w:tcBorders>
              <w:top w:val="single" w:sz="4" w:space="0" w:color="212492"/>
              <w:left w:val="single" w:sz="4" w:space="0" w:color="212492"/>
              <w:bottom w:val="single" w:sz="4" w:space="0" w:color="212492"/>
              <w:right w:val="single" w:sz="4" w:space="0" w:color="212492"/>
            </w:tcBorders>
            <w:vAlign w:val="center"/>
          </w:tcPr>
          <w:p w14:paraId="6D12805E" w14:textId="4088A2D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w:t>
            </w:r>
            <w:r w:rsidR="00721024">
              <w:rPr>
                <w:sz w:val="16"/>
                <w:szCs w:val="16"/>
                <w:lang w:val="en-GB"/>
              </w:rPr>
              <w:t>.</w:t>
            </w:r>
            <w:r w:rsidRPr="00145E8D">
              <w:rPr>
                <w:sz w:val="16"/>
                <w:szCs w:val="16"/>
                <w:lang w:val="en-GB"/>
              </w:rPr>
              <w:t>2</w:t>
            </w:r>
          </w:p>
        </w:tc>
        <w:tc>
          <w:tcPr>
            <w:tcW w:w="703" w:type="pct"/>
            <w:tcBorders>
              <w:top w:val="single" w:sz="4" w:space="0" w:color="212492"/>
              <w:left w:val="single" w:sz="4" w:space="0" w:color="212492"/>
              <w:bottom w:val="single" w:sz="4" w:space="0" w:color="212492"/>
              <w:right w:val="single" w:sz="4" w:space="0" w:color="212492"/>
            </w:tcBorders>
            <w:vAlign w:val="center"/>
          </w:tcPr>
          <w:p w14:paraId="79D37B13" w14:textId="71DD9D5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819</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41257B84" w14:textId="7EF06F86"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30 736</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right w:val="single" w:sz="4" w:space="0" w:color="212492"/>
            </w:tcBorders>
            <w:vAlign w:val="center"/>
          </w:tcPr>
          <w:p w14:paraId="56005B48" w14:textId="598F615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7 217</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66BABB4F" w14:textId="4C609A93"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60 856</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single" w:sz="4" w:space="0" w:color="212492"/>
            </w:tcBorders>
            <w:vAlign w:val="center"/>
          </w:tcPr>
          <w:p w14:paraId="24B0C3F5" w14:textId="533A08A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15 685</w:t>
            </w:r>
            <w:r w:rsidR="00721024">
              <w:rPr>
                <w:sz w:val="16"/>
                <w:szCs w:val="16"/>
                <w:lang w:val="en-GB"/>
              </w:rPr>
              <w:t>.</w:t>
            </w:r>
            <w:r w:rsidRPr="00145E8D">
              <w:rPr>
                <w:sz w:val="16"/>
                <w:szCs w:val="16"/>
                <w:lang w:val="en-GB"/>
              </w:rPr>
              <w:t>7</w:t>
            </w:r>
          </w:p>
        </w:tc>
      </w:tr>
      <w:tr w:rsidR="00976BED" w:rsidRPr="00145E8D" w14:paraId="3510C400"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1DEDB917" w14:textId="1C58834A" w:rsidR="00976BED" w:rsidRPr="00145E8D" w:rsidRDefault="00106837" w:rsidP="00931837">
            <w:pPr>
              <w:spacing w:before="0" w:after="0" w:line="260" w:lineRule="exact"/>
              <w:contextualSpacing/>
              <w:rPr>
                <w:sz w:val="16"/>
                <w:szCs w:val="16"/>
                <w:lang w:val="en-GB"/>
              </w:rPr>
            </w:pPr>
            <w:r>
              <w:rPr>
                <w:sz w:val="16"/>
                <w:szCs w:val="16"/>
                <w:lang w:val="en-GB"/>
              </w:rPr>
              <w:t>Hungary</w:t>
            </w:r>
          </w:p>
        </w:tc>
        <w:tc>
          <w:tcPr>
            <w:tcW w:w="703" w:type="pct"/>
            <w:tcBorders>
              <w:top w:val="single" w:sz="4" w:space="0" w:color="212492"/>
              <w:left w:val="single" w:sz="4" w:space="0" w:color="212492"/>
              <w:bottom w:val="single" w:sz="4" w:space="0" w:color="212492"/>
              <w:right w:val="single" w:sz="4" w:space="0" w:color="212492"/>
            </w:tcBorders>
            <w:vAlign w:val="center"/>
          </w:tcPr>
          <w:p w14:paraId="43E26BD7" w14:textId="1A3CA34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w:t>
            </w:r>
            <w:r w:rsidR="00721024">
              <w:rPr>
                <w:sz w:val="16"/>
                <w:szCs w:val="16"/>
                <w:lang w:val="en-GB"/>
              </w:rPr>
              <w:t>.</w:t>
            </w:r>
            <w:r w:rsidRPr="00145E8D">
              <w:rPr>
                <w:sz w:val="16"/>
                <w:szCs w:val="16"/>
                <w:lang w:val="en-GB"/>
              </w:rPr>
              <w:t>6</w:t>
            </w:r>
          </w:p>
        </w:tc>
        <w:tc>
          <w:tcPr>
            <w:tcW w:w="703" w:type="pct"/>
            <w:tcBorders>
              <w:top w:val="single" w:sz="4" w:space="0" w:color="212492"/>
              <w:left w:val="single" w:sz="4" w:space="0" w:color="212492"/>
              <w:bottom w:val="single" w:sz="4" w:space="0" w:color="212492"/>
              <w:right w:val="single" w:sz="4" w:space="0" w:color="212492"/>
            </w:tcBorders>
            <w:vAlign w:val="center"/>
          </w:tcPr>
          <w:p w14:paraId="604FF1B1" w14:textId="0401D314"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419</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single" w:sz="4" w:space="0" w:color="212492"/>
              <w:right w:val="single" w:sz="4" w:space="0" w:color="212492"/>
            </w:tcBorders>
            <w:vAlign w:val="center"/>
          </w:tcPr>
          <w:p w14:paraId="75F8044A" w14:textId="2F05E521"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13 116</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46C987CA" w14:textId="329743C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5 945</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3C6B226E" w14:textId="4B2297D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32 830</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tcBorders>
            <w:vAlign w:val="center"/>
          </w:tcPr>
          <w:p w14:paraId="7514ABD3" w14:textId="50FDCD3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15 340</w:t>
            </w:r>
            <w:r w:rsidR="00721024">
              <w:rPr>
                <w:sz w:val="16"/>
                <w:szCs w:val="16"/>
                <w:lang w:val="en-GB"/>
              </w:rPr>
              <w:t>.</w:t>
            </w:r>
            <w:r w:rsidRPr="00145E8D">
              <w:rPr>
                <w:sz w:val="16"/>
                <w:szCs w:val="16"/>
                <w:lang w:val="en-GB"/>
              </w:rPr>
              <w:t>4</w:t>
            </w:r>
          </w:p>
        </w:tc>
      </w:tr>
      <w:tr w:rsidR="00976BED" w:rsidRPr="00145E8D" w14:paraId="2AE371D3" w14:textId="77777777" w:rsidTr="00976BED">
        <w:trPr>
          <w:trHeight w:val="397"/>
        </w:trPr>
        <w:tc>
          <w:tcPr>
            <w:tcW w:w="778" w:type="pct"/>
            <w:tcBorders>
              <w:top w:val="single" w:sz="4" w:space="0" w:color="212492"/>
              <w:bottom w:val="single" w:sz="4" w:space="0" w:color="212492"/>
              <w:right w:val="single" w:sz="4" w:space="0" w:color="212492"/>
            </w:tcBorders>
            <w:vAlign w:val="center"/>
          </w:tcPr>
          <w:p w14:paraId="1C1A17BB" w14:textId="2ED1C8FB" w:rsidR="00976BED" w:rsidRPr="00145E8D" w:rsidRDefault="00106837" w:rsidP="00931837">
            <w:pPr>
              <w:spacing w:before="0" w:after="0" w:line="260" w:lineRule="exact"/>
              <w:contextualSpacing/>
              <w:rPr>
                <w:sz w:val="16"/>
                <w:szCs w:val="16"/>
                <w:lang w:val="en-GB"/>
              </w:rPr>
            </w:pPr>
            <w:r>
              <w:rPr>
                <w:sz w:val="16"/>
                <w:szCs w:val="16"/>
                <w:lang w:val="en-GB"/>
              </w:rPr>
              <w:t xml:space="preserve">United </w:t>
            </w:r>
            <w:proofErr w:type="spellStart"/>
            <w:r>
              <w:rPr>
                <w:sz w:val="16"/>
                <w:szCs w:val="16"/>
                <w:lang w:val="en-GB"/>
              </w:rPr>
              <w:t>Kingdom</w:t>
            </w:r>
            <w:r w:rsidR="00976BED" w:rsidRPr="00145E8D">
              <w:rPr>
                <w:i/>
                <w:sz w:val="16"/>
                <w:szCs w:val="16"/>
                <w:vertAlign w:val="superscript"/>
                <w:lang w:val="en-GB"/>
              </w:rPr>
              <w:t>a</w:t>
            </w:r>
            <w:proofErr w:type="spellEnd"/>
          </w:p>
        </w:tc>
        <w:tc>
          <w:tcPr>
            <w:tcW w:w="703" w:type="pct"/>
            <w:tcBorders>
              <w:top w:val="single" w:sz="4" w:space="0" w:color="212492"/>
              <w:left w:val="single" w:sz="4" w:space="0" w:color="212492"/>
              <w:bottom w:val="single" w:sz="4" w:space="0" w:color="212492"/>
              <w:right w:val="single" w:sz="4" w:space="0" w:color="212492"/>
            </w:tcBorders>
            <w:vAlign w:val="center"/>
          </w:tcPr>
          <w:p w14:paraId="300D2365" w14:textId="078C6A7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84</w:t>
            </w:r>
            <w:r w:rsidR="00721024">
              <w:rPr>
                <w:sz w:val="16"/>
                <w:szCs w:val="16"/>
                <w:lang w:val="en-GB"/>
              </w:rPr>
              <w:t>.</w:t>
            </w:r>
            <w:r w:rsidRPr="00145E8D">
              <w:rPr>
                <w:sz w:val="16"/>
                <w:szCs w:val="16"/>
                <w:lang w:val="en-GB"/>
              </w:rPr>
              <w:t>6</w:t>
            </w:r>
          </w:p>
        </w:tc>
        <w:tc>
          <w:tcPr>
            <w:tcW w:w="703" w:type="pct"/>
            <w:tcBorders>
              <w:top w:val="single" w:sz="4" w:space="0" w:color="212492"/>
              <w:left w:val="single" w:sz="4" w:space="0" w:color="212492"/>
              <w:bottom w:val="single" w:sz="4" w:space="0" w:color="212492"/>
              <w:right w:val="single" w:sz="4" w:space="0" w:color="212492"/>
            </w:tcBorders>
            <w:vAlign w:val="center"/>
          </w:tcPr>
          <w:p w14:paraId="0313B7F5" w14:textId="49EE2E7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3 943</w:t>
            </w:r>
            <w:r w:rsidR="00721024">
              <w:rPr>
                <w:sz w:val="16"/>
                <w:szCs w:val="16"/>
                <w:lang w:val="en-GB"/>
              </w:rPr>
              <w:t>.</w:t>
            </w:r>
            <w:r w:rsidRPr="00145E8D">
              <w:rPr>
                <w:sz w:val="16"/>
                <w:szCs w:val="16"/>
                <w:lang w:val="en-GB"/>
              </w:rPr>
              <w:t>5</w:t>
            </w:r>
          </w:p>
        </w:tc>
        <w:tc>
          <w:tcPr>
            <w:tcW w:w="704" w:type="pct"/>
            <w:tcBorders>
              <w:top w:val="single" w:sz="4" w:space="0" w:color="212492"/>
              <w:left w:val="single" w:sz="4" w:space="0" w:color="212492"/>
              <w:bottom w:val="single" w:sz="4" w:space="0" w:color="212492"/>
              <w:right w:val="single" w:sz="4" w:space="0" w:color="212492"/>
            </w:tcBorders>
            <w:vAlign w:val="center"/>
          </w:tcPr>
          <w:p w14:paraId="2684D273" w14:textId="58CB88C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122 041</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right w:val="single" w:sz="4" w:space="0" w:color="212492"/>
            </w:tcBorders>
            <w:vAlign w:val="center"/>
          </w:tcPr>
          <w:p w14:paraId="508A5235" w14:textId="3863205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43 469</w:t>
            </w:r>
            <w:r w:rsidR="00721024">
              <w:rPr>
                <w:sz w:val="16"/>
                <w:szCs w:val="16"/>
                <w:lang w:val="en-GB"/>
              </w:rPr>
              <w:t>.</w:t>
            </w:r>
            <w:r w:rsidRPr="00145E8D">
              <w:rPr>
                <w:sz w:val="16"/>
                <w:szCs w:val="16"/>
                <w:lang w:val="en-GB"/>
              </w:rPr>
              <w:t>6</w:t>
            </w:r>
          </w:p>
        </w:tc>
        <w:tc>
          <w:tcPr>
            <w:tcW w:w="704" w:type="pct"/>
            <w:tcBorders>
              <w:top w:val="single" w:sz="4" w:space="0" w:color="212492"/>
              <w:left w:val="single" w:sz="4" w:space="0" w:color="212492"/>
              <w:bottom w:val="single" w:sz="4" w:space="0" w:color="212492"/>
              <w:right w:val="single" w:sz="4" w:space="0" w:color="212492"/>
            </w:tcBorders>
            <w:vAlign w:val="center"/>
          </w:tcPr>
          <w:p w14:paraId="65809038" w14:textId="2AE03D0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476 356</w:t>
            </w:r>
            <w:r w:rsidR="00721024">
              <w:rPr>
                <w:sz w:val="16"/>
                <w:szCs w:val="16"/>
                <w:lang w:val="en-GB"/>
              </w:rPr>
              <w:t>.</w:t>
            </w:r>
            <w:r w:rsidRPr="00145E8D">
              <w:rPr>
                <w:sz w:val="16"/>
                <w:szCs w:val="16"/>
                <w:lang w:val="en-GB"/>
              </w:rPr>
              <w:t>1</w:t>
            </w:r>
          </w:p>
        </w:tc>
        <w:tc>
          <w:tcPr>
            <w:tcW w:w="704" w:type="pct"/>
            <w:tcBorders>
              <w:top w:val="single" w:sz="4" w:space="0" w:color="212492"/>
              <w:left w:val="single" w:sz="4" w:space="0" w:color="212492"/>
              <w:bottom w:val="single" w:sz="4" w:space="0" w:color="212492"/>
            </w:tcBorders>
            <w:vAlign w:val="center"/>
          </w:tcPr>
          <w:p w14:paraId="1029B3CD" w14:textId="2CA38730"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279 453</w:t>
            </w:r>
            <w:r w:rsidR="00721024">
              <w:rPr>
                <w:sz w:val="16"/>
                <w:szCs w:val="16"/>
                <w:lang w:val="en-GB"/>
              </w:rPr>
              <w:t>.</w:t>
            </w:r>
            <w:r w:rsidRPr="00145E8D">
              <w:rPr>
                <w:sz w:val="16"/>
                <w:szCs w:val="16"/>
                <w:lang w:val="en-GB"/>
              </w:rPr>
              <w:t>1</w:t>
            </w:r>
          </w:p>
        </w:tc>
      </w:tr>
      <w:tr w:rsidR="00976BED" w:rsidRPr="00145E8D" w14:paraId="5D89FD76" w14:textId="77777777" w:rsidTr="00976BED">
        <w:trPr>
          <w:trHeight w:val="397"/>
        </w:trPr>
        <w:tc>
          <w:tcPr>
            <w:tcW w:w="778" w:type="pct"/>
            <w:tcBorders>
              <w:top w:val="single" w:sz="4" w:space="0" w:color="212492"/>
              <w:bottom w:val="nil"/>
              <w:right w:val="single" w:sz="4" w:space="0" w:color="212492"/>
            </w:tcBorders>
            <w:vAlign w:val="center"/>
          </w:tcPr>
          <w:p w14:paraId="729287E3" w14:textId="4118095E" w:rsidR="00976BED" w:rsidRPr="00145E8D" w:rsidRDefault="00106837" w:rsidP="00931837">
            <w:pPr>
              <w:spacing w:before="0" w:after="0" w:line="260" w:lineRule="exact"/>
              <w:contextualSpacing/>
              <w:rPr>
                <w:sz w:val="16"/>
                <w:szCs w:val="16"/>
                <w:lang w:val="en-GB"/>
              </w:rPr>
            </w:pPr>
            <w:r>
              <w:rPr>
                <w:sz w:val="16"/>
                <w:szCs w:val="16"/>
                <w:lang w:val="en-GB"/>
              </w:rPr>
              <w:t>Italy</w:t>
            </w:r>
          </w:p>
        </w:tc>
        <w:tc>
          <w:tcPr>
            <w:tcW w:w="703" w:type="pct"/>
            <w:tcBorders>
              <w:top w:val="single" w:sz="4" w:space="0" w:color="212492"/>
              <w:left w:val="single" w:sz="4" w:space="0" w:color="212492"/>
              <w:bottom w:val="nil"/>
              <w:right w:val="single" w:sz="4" w:space="0" w:color="212492"/>
            </w:tcBorders>
            <w:vAlign w:val="center"/>
          </w:tcPr>
          <w:p w14:paraId="7A74004E" w14:textId="6B33F1E9"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216</w:t>
            </w:r>
            <w:r w:rsidR="00721024">
              <w:rPr>
                <w:sz w:val="16"/>
                <w:szCs w:val="16"/>
                <w:lang w:val="en-GB"/>
              </w:rPr>
              <w:t>.</w:t>
            </w:r>
            <w:r w:rsidRPr="00145E8D">
              <w:rPr>
                <w:sz w:val="16"/>
                <w:szCs w:val="16"/>
                <w:lang w:val="en-GB"/>
              </w:rPr>
              <w:t>1</w:t>
            </w:r>
          </w:p>
        </w:tc>
        <w:tc>
          <w:tcPr>
            <w:tcW w:w="703" w:type="pct"/>
            <w:tcBorders>
              <w:top w:val="single" w:sz="4" w:space="0" w:color="212492"/>
              <w:left w:val="single" w:sz="4" w:space="0" w:color="212492"/>
              <w:bottom w:val="nil"/>
              <w:right w:val="single" w:sz="4" w:space="0" w:color="212492"/>
            </w:tcBorders>
            <w:vAlign w:val="center"/>
          </w:tcPr>
          <w:p w14:paraId="4F3C9F74" w14:textId="6A4BE57E"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5 113</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nil"/>
              <w:right w:val="single" w:sz="4" w:space="0" w:color="212492"/>
            </w:tcBorders>
            <w:vAlign w:val="center"/>
          </w:tcPr>
          <w:p w14:paraId="63BE0D5D" w14:textId="082E4582"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128 100</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nil"/>
              <w:right w:val="single" w:sz="4" w:space="0" w:color="212492"/>
            </w:tcBorders>
            <w:vAlign w:val="center"/>
          </w:tcPr>
          <w:p w14:paraId="0D139C07" w14:textId="4BAFBC8C"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63 195</w:t>
            </w:r>
            <w:r w:rsidR="00721024">
              <w:rPr>
                <w:sz w:val="16"/>
                <w:szCs w:val="16"/>
                <w:lang w:val="en-GB"/>
              </w:rPr>
              <w:t>.</w:t>
            </w:r>
            <w:r w:rsidRPr="00145E8D">
              <w:rPr>
                <w:sz w:val="16"/>
                <w:szCs w:val="16"/>
                <w:lang w:val="en-GB"/>
              </w:rPr>
              <w:t>2</w:t>
            </w:r>
          </w:p>
        </w:tc>
        <w:tc>
          <w:tcPr>
            <w:tcW w:w="704" w:type="pct"/>
            <w:tcBorders>
              <w:top w:val="single" w:sz="4" w:space="0" w:color="212492"/>
              <w:left w:val="single" w:sz="4" w:space="0" w:color="212492"/>
              <w:bottom w:val="nil"/>
              <w:right w:val="single" w:sz="4" w:space="0" w:color="212492"/>
            </w:tcBorders>
            <w:vAlign w:val="center"/>
          </w:tcPr>
          <w:p w14:paraId="445579F5" w14:textId="6AD2C325"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428 844</w:t>
            </w:r>
            <w:r w:rsidR="00721024">
              <w:rPr>
                <w:sz w:val="16"/>
                <w:szCs w:val="16"/>
                <w:lang w:val="en-GB"/>
              </w:rPr>
              <w:t>.</w:t>
            </w:r>
            <w:r w:rsidRPr="00145E8D">
              <w:rPr>
                <w:sz w:val="16"/>
                <w:szCs w:val="16"/>
                <w:lang w:val="en-GB"/>
              </w:rPr>
              <w:t>9</w:t>
            </w:r>
          </w:p>
        </w:tc>
        <w:tc>
          <w:tcPr>
            <w:tcW w:w="704" w:type="pct"/>
            <w:tcBorders>
              <w:top w:val="single" w:sz="4" w:space="0" w:color="212492"/>
              <w:left w:val="single" w:sz="4" w:space="0" w:color="212492"/>
              <w:bottom w:val="nil"/>
            </w:tcBorders>
            <w:vAlign w:val="center"/>
          </w:tcPr>
          <w:p w14:paraId="1E347570" w14:textId="263B799B" w:rsidR="00976BED" w:rsidRPr="00145E8D" w:rsidRDefault="00976BED" w:rsidP="00931837">
            <w:pPr>
              <w:spacing w:before="0" w:after="0" w:line="260" w:lineRule="exact"/>
              <w:contextualSpacing/>
              <w:jc w:val="right"/>
              <w:rPr>
                <w:sz w:val="16"/>
                <w:szCs w:val="16"/>
                <w:lang w:val="en-GB"/>
              </w:rPr>
            </w:pPr>
            <w:r w:rsidRPr="00145E8D">
              <w:rPr>
                <w:sz w:val="16"/>
                <w:szCs w:val="16"/>
                <w:lang w:val="en-GB"/>
              </w:rPr>
              <w:t>216 510</w:t>
            </w:r>
            <w:r w:rsidR="00721024">
              <w:rPr>
                <w:sz w:val="16"/>
                <w:szCs w:val="16"/>
                <w:lang w:val="en-GB"/>
              </w:rPr>
              <w:t>.</w:t>
            </w:r>
            <w:r w:rsidRPr="00145E8D">
              <w:rPr>
                <w:sz w:val="16"/>
                <w:szCs w:val="16"/>
                <w:lang w:val="en-GB"/>
              </w:rPr>
              <w:t>5</w:t>
            </w:r>
          </w:p>
        </w:tc>
      </w:tr>
    </w:tbl>
    <w:p w14:paraId="11CD856A" w14:textId="0DDC4566" w:rsidR="00976BED" w:rsidRPr="00145E8D" w:rsidRDefault="00976BED" w:rsidP="00976BED">
      <w:pPr>
        <w:rPr>
          <w:sz w:val="16"/>
          <w:szCs w:val="16"/>
          <w:shd w:val="clear" w:color="auto" w:fill="FFFFFF"/>
          <w:lang w:val="en-GB"/>
        </w:rPr>
      </w:pPr>
      <w:r w:rsidRPr="00145E8D">
        <w:rPr>
          <w:sz w:val="16"/>
          <w:szCs w:val="16"/>
          <w:shd w:val="clear" w:color="auto" w:fill="FFFFFF"/>
          <w:lang w:val="en-GB"/>
        </w:rPr>
        <w:t xml:space="preserve">  </w:t>
      </w:r>
      <w:r w:rsidRPr="00145E8D">
        <w:rPr>
          <w:sz w:val="16"/>
          <w:szCs w:val="16"/>
          <w:shd w:val="clear" w:color="auto" w:fill="FFFFFF"/>
          <w:vertAlign w:val="superscript"/>
          <w:lang w:val="en-GB"/>
        </w:rPr>
        <w:t>a</w:t>
      </w:r>
      <w:r w:rsidRPr="00145E8D">
        <w:rPr>
          <w:sz w:val="16"/>
          <w:szCs w:val="16"/>
          <w:shd w:val="clear" w:color="auto" w:fill="FFFFFF"/>
          <w:lang w:val="en-GB"/>
        </w:rPr>
        <w:t xml:space="preserve"> Data for 2016 ,  </w:t>
      </w:r>
      <w:r w:rsidRPr="00145E8D">
        <w:rPr>
          <w:sz w:val="16"/>
          <w:szCs w:val="16"/>
          <w:shd w:val="clear" w:color="auto" w:fill="FFFFFF"/>
          <w:vertAlign w:val="superscript"/>
          <w:lang w:val="en-GB"/>
        </w:rPr>
        <w:t>b</w:t>
      </w:r>
      <w:r w:rsidRPr="00145E8D">
        <w:rPr>
          <w:sz w:val="16"/>
          <w:szCs w:val="16"/>
          <w:shd w:val="clear" w:color="auto" w:fill="FFFFFF"/>
          <w:lang w:val="en-GB"/>
        </w:rPr>
        <w:t xml:space="preserve"> Data for 2017</w:t>
      </w:r>
      <w:r w:rsidR="00721024">
        <w:rPr>
          <w:sz w:val="16"/>
          <w:szCs w:val="16"/>
          <w:shd w:val="clear" w:color="auto" w:fill="FFFFFF"/>
          <w:lang w:val="en-GB"/>
        </w:rPr>
        <w:t>.</w:t>
      </w:r>
      <w:r w:rsidRPr="00145E8D">
        <w:rPr>
          <w:sz w:val="16"/>
          <w:szCs w:val="16"/>
          <w:shd w:val="clear" w:color="auto" w:fill="FFFFFF"/>
          <w:lang w:val="en-GB"/>
        </w:rPr>
        <w:t xml:space="preserve"> </w:t>
      </w:r>
    </w:p>
    <w:p w14:paraId="5EDE2B85" w14:textId="77777777" w:rsidR="00931837" w:rsidRPr="00145E8D" w:rsidRDefault="00931837" w:rsidP="00976BED">
      <w:pPr>
        <w:rPr>
          <w:color w:val="000000" w:themeColor="text1"/>
          <w:shd w:val="clear" w:color="auto" w:fill="FFFFFF"/>
          <w:lang w:val="en-GB"/>
        </w:rPr>
      </w:pPr>
    </w:p>
    <w:p w14:paraId="26773E3C" w14:textId="0A7B0CD7"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lastRenderedPageBreak/>
        <w:t>In 2018</w:t>
      </w:r>
      <w:r w:rsidR="00854B09">
        <w:rPr>
          <w:color w:val="000000" w:themeColor="text1"/>
          <w:shd w:val="clear" w:color="auto" w:fill="FFFFFF"/>
          <w:lang w:val="en-GB"/>
        </w:rPr>
        <w:t>,</w:t>
      </w:r>
      <w:r w:rsidRPr="00145E8D">
        <w:rPr>
          <w:color w:val="000000" w:themeColor="text1"/>
          <w:shd w:val="clear" w:color="auto" w:fill="FFFFFF"/>
          <w:lang w:val="en-GB"/>
        </w:rPr>
        <w:t xml:space="preserve"> one tourist accommodation establishment in the EU had on average 47 bed places, and establishments with the largest number of bed places were located in Denmark (365), Malta (214) as well as in Sweden and Finland (about 190 bed places </w:t>
      </w:r>
      <w:r w:rsidR="000555BA" w:rsidRPr="00145E8D">
        <w:rPr>
          <w:color w:val="000000" w:themeColor="text1"/>
          <w:shd w:val="clear" w:color="auto" w:fill="FFFFFF"/>
          <w:lang w:val="en-GB"/>
        </w:rPr>
        <w:t xml:space="preserve">in </w:t>
      </w:r>
      <w:r w:rsidRPr="00145E8D">
        <w:rPr>
          <w:color w:val="000000" w:themeColor="text1"/>
          <w:shd w:val="clear" w:color="auto" w:fill="FFFFFF"/>
          <w:lang w:val="en-GB"/>
        </w:rPr>
        <w:t xml:space="preserve">each). Accommodation establishments in nine countries had </w:t>
      </w:r>
      <w:r w:rsidR="00854B09">
        <w:rPr>
          <w:color w:val="000000" w:themeColor="text1"/>
          <w:shd w:val="clear" w:color="auto" w:fill="FFFFFF"/>
          <w:lang w:val="en-GB"/>
        </w:rPr>
        <w:t xml:space="preserve">a </w:t>
      </w:r>
      <w:r w:rsidRPr="00145E8D">
        <w:rPr>
          <w:color w:val="000000" w:themeColor="text1"/>
          <w:shd w:val="clear" w:color="auto" w:fill="FFFFFF"/>
          <w:lang w:val="en-GB"/>
        </w:rPr>
        <w:t xml:space="preserve">lower </w:t>
      </w:r>
      <w:r w:rsidR="00854B09" w:rsidRPr="00145E8D">
        <w:rPr>
          <w:color w:val="000000" w:themeColor="text1"/>
          <w:shd w:val="clear" w:color="auto" w:fill="FFFFFF"/>
          <w:lang w:val="en-GB"/>
        </w:rPr>
        <w:t xml:space="preserve">number of bed places </w:t>
      </w:r>
      <w:r w:rsidRPr="00145E8D">
        <w:rPr>
          <w:color w:val="000000" w:themeColor="text1"/>
          <w:shd w:val="clear" w:color="auto" w:fill="FFFFFF"/>
          <w:lang w:val="en-GB"/>
        </w:rPr>
        <w:t xml:space="preserve">than </w:t>
      </w:r>
      <w:r w:rsidR="00854B09">
        <w:rPr>
          <w:color w:val="000000" w:themeColor="text1"/>
          <w:shd w:val="clear" w:color="auto" w:fill="FFFFFF"/>
          <w:lang w:val="en-GB"/>
        </w:rPr>
        <w:t xml:space="preserve">the </w:t>
      </w:r>
      <w:r w:rsidRPr="00145E8D">
        <w:rPr>
          <w:color w:val="000000" w:themeColor="text1"/>
          <w:shd w:val="clear" w:color="auto" w:fill="FFFFFF"/>
          <w:lang w:val="en-GB"/>
        </w:rPr>
        <w:t>average for</w:t>
      </w:r>
      <w:r w:rsidR="000809B4">
        <w:rPr>
          <w:color w:val="000000" w:themeColor="text1"/>
          <w:shd w:val="clear" w:color="auto" w:fill="FFFFFF"/>
          <w:lang w:val="en-GB"/>
        </w:rPr>
        <w:t xml:space="preserve"> the</w:t>
      </w:r>
      <w:r w:rsidRPr="00145E8D">
        <w:rPr>
          <w:color w:val="000000" w:themeColor="text1"/>
          <w:shd w:val="clear" w:color="auto" w:fill="FFFFFF"/>
          <w:lang w:val="en-GB"/>
        </w:rPr>
        <w:t xml:space="preserve"> EU, including the </w:t>
      </w:r>
      <w:r w:rsidR="00B90CA4">
        <w:rPr>
          <w:color w:val="000000" w:themeColor="text1"/>
          <w:shd w:val="clear" w:color="auto" w:fill="FFFFFF"/>
          <w:lang w:val="en-GB"/>
        </w:rPr>
        <w:t>lowest</w:t>
      </w:r>
      <w:r w:rsidR="00B90CA4" w:rsidRPr="00145E8D">
        <w:rPr>
          <w:color w:val="000000" w:themeColor="text1"/>
          <w:shd w:val="clear" w:color="auto" w:fill="FFFFFF"/>
          <w:lang w:val="en-GB"/>
        </w:rPr>
        <w:t xml:space="preserve"> </w:t>
      </w:r>
      <w:r w:rsidRPr="00145E8D">
        <w:rPr>
          <w:color w:val="000000" w:themeColor="text1"/>
          <w:shd w:val="clear" w:color="auto" w:fill="FFFFFF"/>
          <w:lang w:val="en-GB"/>
        </w:rPr>
        <w:t>in Croatia (10 places). In Poland, one tourist accommodation establishment in 2018 had on average 72 bed places.</w:t>
      </w:r>
      <w:r w:rsidRPr="00145E8D">
        <w:rPr>
          <w:color w:val="000000" w:themeColor="text1"/>
          <w:lang w:val="en-GB"/>
        </w:rPr>
        <w:t xml:space="preserve"> </w:t>
      </w:r>
    </w:p>
    <w:p w14:paraId="479B4176" w14:textId="03FE3769"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 xml:space="preserve">One hotel or similar accommodation </w:t>
      </w:r>
      <w:r w:rsidR="006C4B14">
        <w:rPr>
          <w:color w:val="000000" w:themeColor="text1"/>
          <w:shd w:val="clear" w:color="auto" w:fill="FFFFFF"/>
          <w:lang w:val="en-GB"/>
        </w:rPr>
        <w:t>in the EU had on average 70 bed places</w:t>
      </w:r>
      <w:r w:rsidRPr="00145E8D">
        <w:rPr>
          <w:color w:val="000000" w:themeColor="text1"/>
          <w:shd w:val="clear" w:color="auto" w:fill="FFFFFF"/>
          <w:lang w:val="en-GB"/>
        </w:rPr>
        <w:t xml:space="preserve"> (in Poland 85). The smallest establishments of this type of accommodation </w:t>
      </w:r>
      <w:r w:rsidR="00327421" w:rsidRPr="00145E8D">
        <w:rPr>
          <w:color w:val="000000" w:themeColor="text1"/>
          <w:shd w:val="clear" w:color="auto" w:fill="FFFFFF"/>
          <w:lang w:val="en-GB"/>
        </w:rPr>
        <w:t>–</w:t>
      </w:r>
      <w:r w:rsidRPr="00145E8D">
        <w:rPr>
          <w:color w:val="000000" w:themeColor="text1"/>
          <w:shd w:val="clear" w:color="auto" w:fill="FFFFFF"/>
          <w:lang w:val="en-GB"/>
        </w:rPr>
        <w:t xml:space="preserve"> with less than 60 bed places</w:t>
      </w:r>
      <w:r w:rsidR="00327421">
        <w:rPr>
          <w:color w:val="000000" w:themeColor="text1"/>
          <w:shd w:val="clear" w:color="auto" w:fill="FFFFFF"/>
          <w:lang w:val="en-GB"/>
        </w:rPr>
        <w:t xml:space="preserve"> </w:t>
      </w:r>
      <w:r w:rsidR="00327421" w:rsidRPr="00145E8D">
        <w:rPr>
          <w:color w:val="000000" w:themeColor="text1"/>
          <w:shd w:val="clear" w:color="auto" w:fill="FFFFFF"/>
          <w:lang w:val="en-GB"/>
        </w:rPr>
        <w:t>–</w:t>
      </w:r>
      <w:r w:rsidRPr="00145E8D">
        <w:rPr>
          <w:color w:val="000000" w:themeColor="text1"/>
          <w:shd w:val="clear" w:color="auto" w:fill="FFFFFF"/>
          <w:lang w:val="en-GB"/>
        </w:rPr>
        <w:t xml:space="preserve">  were located in Germany, </w:t>
      </w:r>
      <w:proofErr w:type="spellStart"/>
      <w:r w:rsidRPr="00145E8D">
        <w:rPr>
          <w:color w:val="000000" w:themeColor="text1"/>
          <w:shd w:val="clear" w:color="auto" w:fill="FFFFFF"/>
          <w:lang w:val="en-GB"/>
        </w:rPr>
        <w:t>Czechia</w:t>
      </w:r>
      <w:proofErr w:type="spellEnd"/>
      <w:r w:rsidRPr="00145E8D">
        <w:rPr>
          <w:color w:val="000000" w:themeColor="text1"/>
          <w:shd w:val="clear" w:color="auto" w:fill="FFFFFF"/>
          <w:lang w:val="en-GB"/>
        </w:rPr>
        <w:t xml:space="preserve"> and United Kingdom. On the other hand</w:t>
      </w:r>
      <w:r w:rsidR="006D2D4D">
        <w:rPr>
          <w:color w:val="000000" w:themeColor="text1"/>
          <w:shd w:val="clear" w:color="auto" w:fill="FFFFFF"/>
          <w:lang w:val="en-GB"/>
        </w:rPr>
        <w:t>,</w:t>
      </w:r>
      <w:r w:rsidRPr="00145E8D">
        <w:rPr>
          <w:color w:val="000000" w:themeColor="text1"/>
          <w:shd w:val="clear" w:color="auto" w:fill="FFFFFF"/>
          <w:lang w:val="en-GB"/>
        </w:rPr>
        <w:t xml:space="preserve"> in Malta, Finland, Denmark, Croatia, Portugal, Bulgaria, Sweden and Cyprus</w:t>
      </w:r>
      <w:r w:rsidR="006D2D4D">
        <w:rPr>
          <w:color w:val="000000" w:themeColor="text1"/>
          <w:shd w:val="clear" w:color="auto" w:fill="FFFFFF"/>
          <w:lang w:val="en-GB"/>
        </w:rPr>
        <w:t>,</w:t>
      </w:r>
      <w:r w:rsidRPr="00145E8D">
        <w:rPr>
          <w:color w:val="000000" w:themeColor="text1"/>
          <w:shd w:val="clear" w:color="auto" w:fill="FFFFFF"/>
          <w:lang w:val="en-GB"/>
        </w:rPr>
        <w:t xml:space="preserve"> one establishment had on average </w:t>
      </w:r>
      <w:r w:rsidR="006D2D4D">
        <w:rPr>
          <w:color w:val="000000" w:themeColor="text1"/>
          <w:shd w:val="clear" w:color="auto" w:fill="FFFFFF"/>
          <w:lang w:val="en-GB"/>
        </w:rPr>
        <w:t>over</w:t>
      </w:r>
      <w:r w:rsidR="006D2D4D" w:rsidRPr="00145E8D">
        <w:rPr>
          <w:color w:val="000000" w:themeColor="text1"/>
          <w:shd w:val="clear" w:color="auto" w:fill="FFFFFF"/>
          <w:lang w:val="en-GB"/>
        </w:rPr>
        <w:t xml:space="preserve"> </w:t>
      </w:r>
      <w:r w:rsidRPr="00145E8D">
        <w:rPr>
          <w:color w:val="000000" w:themeColor="text1"/>
          <w:shd w:val="clear" w:color="auto" w:fill="FFFFFF"/>
          <w:lang w:val="en-GB"/>
        </w:rPr>
        <w:t>100 bed places (in Malta even 224).</w:t>
      </w:r>
    </w:p>
    <w:p w14:paraId="2A2B3884" w14:textId="4AA06B85" w:rsidR="00976BED" w:rsidRPr="00145E8D" w:rsidRDefault="00976BED" w:rsidP="00976BED">
      <w:pPr>
        <w:rPr>
          <w:shd w:val="clear" w:color="auto" w:fill="FFFFFF"/>
          <w:lang w:val="en-GB"/>
        </w:rPr>
      </w:pPr>
      <w:r w:rsidRPr="00145E8D">
        <w:rPr>
          <w:color w:val="000000" w:themeColor="text1"/>
          <w:shd w:val="clear" w:color="auto" w:fill="FFFFFF"/>
          <w:lang w:val="en-GB"/>
        </w:rPr>
        <w:t>In 2018</w:t>
      </w:r>
      <w:r w:rsidR="006D2D4D">
        <w:rPr>
          <w:color w:val="000000" w:themeColor="text1"/>
          <w:shd w:val="clear" w:color="auto" w:fill="FFFFFF"/>
          <w:lang w:val="en-GB"/>
        </w:rPr>
        <w:t>,</w:t>
      </w:r>
      <w:r w:rsidRPr="00145E8D">
        <w:rPr>
          <w:color w:val="000000" w:themeColor="text1"/>
          <w:shd w:val="clear" w:color="auto" w:fill="FFFFFF"/>
          <w:lang w:val="en-GB"/>
        </w:rPr>
        <w:t xml:space="preserve"> </w:t>
      </w:r>
      <w:r w:rsidR="008B029E" w:rsidRPr="00145E8D">
        <w:rPr>
          <w:color w:val="000000" w:themeColor="text1"/>
          <w:shd w:val="clear" w:color="auto" w:fill="FFFFFF"/>
          <w:lang w:val="en-GB"/>
        </w:rPr>
        <w:t>in the European Union</w:t>
      </w:r>
      <w:r w:rsidR="008B029E">
        <w:rPr>
          <w:color w:val="000000" w:themeColor="text1"/>
          <w:shd w:val="clear" w:color="auto" w:fill="FFFFFF"/>
          <w:lang w:val="en-GB"/>
        </w:rPr>
        <w:t>,</w:t>
      </w:r>
      <w:r w:rsidR="008B029E" w:rsidRPr="00145E8D">
        <w:rPr>
          <w:color w:val="000000" w:themeColor="text1"/>
          <w:shd w:val="clear" w:color="auto" w:fill="FFFFFF"/>
          <w:lang w:val="en-GB"/>
        </w:rPr>
        <w:t xml:space="preserve"> 1 083.3 </w:t>
      </w:r>
      <w:r w:rsidR="00DC00B9">
        <w:rPr>
          <w:color w:val="000000" w:themeColor="text1"/>
          <w:shd w:val="clear" w:color="auto" w:fill="FFFFFF"/>
          <w:lang w:val="en-GB"/>
        </w:rPr>
        <w:t>million</w:t>
      </w:r>
      <w:r w:rsidR="008B029E" w:rsidRPr="00145E8D">
        <w:rPr>
          <w:color w:val="000000" w:themeColor="text1"/>
          <w:shd w:val="clear" w:color="auto" w:fill="FFFFFF"/>
          <w:lang w:val="en-GB"/>
        </w:rPr>
        <w:t xml:space="preserve"> tourists w</w:t>
      </w:r>
      <w:r w:rsidR="008B029E">
        <w:rPr>
          <w:color w:val="000000" w:themeColor="text1"/>
          <w:shd w:val="clear" w:color="auto" w:fill="FFFFFF"/>
          <w:lang w:val="en-GB"/>
        </w:rPr>
        <w:t xml:space="preserve">ere </w:t>
      </w:r>
      <w:r w:rsidR="008B029E" w:rsidRPr="00145E8D">
        <w:rPr>
          <w:color w:val="000000" w:themeColor="text1"/>
          <w:shd w:val="clear" w:color="auto" w:fill="FFFFFF"/>
          <w:lang w:val="en-GB"/>
        </w:rPr>
        <w:t xml:space="preserve">accommodated </w:t>
      </w:r>
      <w:r w:rsidRPr="00145E8D">
        <w:rPr>
          <w:color w:val="000000" w:themeColor="text1"/>
          <w:shd w:val="clear" w:color="auto" w:fill="FFFFFF"/>
          <w:lang w:val="en-GB"/>
        </w:rPr>
        <w:t>in tourist accommodation establishments</w:t>
      </w:r>
      <w:r w:rsidR="008B029E">
        <w:rPr>
          <w:color w:val="000000" w:themeColor="text1"/>
          <w:shd w:val="clear" w:color="auto" w:fill="FFFFFF"/>
          <w:lang w:val="en-GB"/>
        </w:rPr>
        <w:t>,</w:t>
      </w:r>
      <w:r w:rsidRPr="00145E8D">
        <w:rPr>
          <w:color w:val="000000" w:themeColor="text1"/>
          <w:shd w:val="clear" w:color="auto" w:fill="FFFFFF"/>
          <w:lang w:val="en-GB"/>
        </w:rPr>
        <w:t xml:space="preserve"> i.e. 3.3% more than a year ago. Most of them stayed in accommodation establishments located in Germany and France (over 170 million in each) as well as in Spain, Italy and United Kingdom (over 120 million in each). Among persons staying in tourist accommodation establishments in 2018</w:t>
      </w:r>
      <w:r w:rsidR="0052050A">
        <w:rPr>
          <w:color w:val="000000" w:themeColor="text1"/>
          <w:shd w:val="clear" w:color="auto" w:fill="FFFFFF"/>
          <w:lang w:val="en-GB"/>
        </w:rPr>
        <w:t>,</w:t>
      </w:r>
      <w:r w:rsidRPr="00145E8D">
        <w:rPr>
          <w:color w:val="000000" w:themeColor="text1"/>
          <w:shd w:val="clear" w:color="auto" w:fill="FFFFFF"/>
          <w:lang w:val="en-GB"/>
        </w:rPr>
        <w:t xml:space="preserve"> foreign tourists accounted for 40%, while in the case of Malta, Luxembourg and Croatia the percentage of foreign tourists was about 90%. In Poland, foreign tourists constituted 21%. The largest number of tourists per 1000 population visited Croatia and Austria (4.5 </w:t>
      </w:r>
      <w:r w:rsidR="00DC00B9">
        <w:rPr>
          <w:color w:val="000000" w:themeColor="text1"/>
          <w:shd w:val="clear" w:color="auto" w:fill="FFFFFF"/>
          <w:lang w:val="en-GB"/>
        </w:rPr>
        <w:t>thousand</w:t>
      </w:r>
      <w:r w:rsidRPr="00145E8D">
        <w:rPr>
          <w:color w:val="000000" w:themeColor="text1"/>
          <w:shd w:val="clear" w:color="auto" w:fill="FFFFFF"/>
          <w:lang w:val="en-GB"/>
        </w:rPr>
        <w:t>)</w:t>
      </w:r>
      <w:r w:rsidR="0052050A">
        <w:rPr>
          <w:color w:val="000000" w:themeColor="text1"/>
          <w:shd w:val="clear" w:color="auto" w:fill="FFFFFF"/>
          <w:lang w:val="en-GB"/>
        </w:rPr>
        <w:t>,</w:t>
      </w:r>
      <w:r w:rsidRPr="00145E8D">
        <w:rPr>
          <w:color w:val="000000" w:themeColor="text1"/>
          <w:shd w:val="clear" w:color="auto" w:fill="FFFFFF"/>
          <w:lang w:val="en-GB"/>
        </w:rPr>
        <w:t xml:space="preserve"> with the EU average of 2.1 </w:t>
      </w:r>
      <w:r w:rsidR="00DC00B9">
        <w:rPr>
          <w:color w:val="000000" w:themeColor="text1"/>
          <w:shd w:val="clear" w:color="auto" w:fill="FFFFFF"/>
          <w:lang w:val="en-GB"/>
        </w:rPr>
        <w:t>thousand</w:t>
      </w:r>
      <w:r w:rsidR="006C4B14">
        <w:rPr>
          <w:color w:val="000000" w:themeColor="text1"/>
          <w:shd w:val="clear" w:color="auto" w:fill="FFFFFF"/>
          <w:lang w:val="en-GB"/>
        </w:rPr>
        <w:t>.</w:t>
      </w:r>
      <w:r w:rsidRPr="00145E8D">
        <w:rPr>
          <w:color w:val="000000" w:themeColor="text1"/>
          <w:shd w:val="clear" w:color="auto" w:fill="FFFFFF"/>
          <w:lang w:val="en-GB"/>
        </w:rPr>
        <w:t xml:space="preserve"> In Poland</w:t>
      </w:r>
      <w:r w:rsidR="009F7D68">
        <w:rPr>
          <w:color w:val="000000" w:themeColor="text1"/>
          <w:shd w:val="clear" w:color="auto" w:fill="FFFFFF"/>
          <w:lang w:val="en-GB"/>
        </w:rPr>
        <w:t>,</w:t>
      </w:r>
      <w:r w:rsidRPr="00145E8D">
        <w:rPr>
          <w:color w:val="000000" w:themeColor="text1"/>
          <w:shd w:val="clear" w:color="auto" w:fill="FFFFFF"/>
          <w:lang w:val="en-GB"/>
        </w:rPr>
        <w:t xml:space="preserve"> this indicator amounted to 882.</w:t>
      </w:r>
    </w:p>
    <w:p w14:paraId="5723E1F7" w14:textId="77777777" w:rsidR="00976BED" w:rsidRPr="00145E8D" w:rsidRDefault="00976BED" w:rsidP="00976BED">
      <w:pPr>
        <w:pStyle w:val="tytuwykresu"/>
        <w:rPr>
          <w:lang w:val="en-GB"/>
        </w:rPr>
      </w:pPr>
    </w:p>
    <w:p w14:paraId="16A09B8C" w14:textId="3EE3F9C3" w:rsidR="00976BED" w:rsidRPr="00145E8D" w:rsidRDefault="00976BED" w:rsidP="00976BED">
      <w:pPr>
        <w:pStyle w:val="tytuwykresu"/>
        <w:rPr>
          <w:shd w:val="clear" w:color="auto" w:fill="FFFFFF"/>
          <w:lang w:val="en-GB"/>
        </w:rPr>
      </w:pPr>
      <w:r w:rsidRPr="00145E8D">
        <w:rPr>
          <w:lang w:val="en-GB"/>
        </w:rPr>
        <w:t>Chart 1.</w:t>
      </w:r>
      <w:r w:rsidRPr="00145E8D">
        <w:rPr>
          <w:shd w:val="clear" w:color="auto" w:fill="FFFFFF"/>
          <w:lang w:val="en-GB"/>
        </w:rPr>
        <w:t xml:space="preserve"> The share of foreign tourists in the total number of tourists in 2018</w:t>
      </w:r>
    </w:p>
    <w:p w14:paraId="2A7C0308" w14:textId="23229F33" w:rsidR="00976BED" w:rsidRPr="00145E8D" w:rsidRDefault="00AC640B" w:rsidP="00AC640B">
      <w:pPr>
        <w:pStyle w:val="tytuwykresu"/>
        <w:spacing w:line="240" w:lineRule="auto"/>
        <w:rPr>
          <w:shd w:val="clear" w:color="auto" w:fill="FFFFFF"/>
          <w:lang w:val="en-GB"/>
        </w:rPr>
      </w:pPr>
      <w:r>
        <w:rPr>
          <w:noProof/>
          <w:lang w:eastAsia="pl-PL"/>
        </w:rPr>
        <w:drawing>
          <wp:inline distT="0" distB="0" distL="0" distR="0" wp14:anchorId="4A683323" wp14:editId="342251F5">
            <wp:extent cx="5024120" cy="4998720"/>
            <wp:effectExtent l="0" t="0" r="508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8D1415" w14:textId="703412E4"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Almost ¾ of all tourists accommodated in tourist accommodation establishments of the European Union stayed in 2018 in hotels and similar accommodation, including almost all tourists visiting Cyprus and Malta. In Poland</w:t>
      </w:r>
      <w:r w:rsidR="009F7D68">
        <w:rPr>
          <w:color w:val="000000" w:themeColor="text1"/>
          <w:shd w:val="clear" w:color="auto" w:fill="FFFFFF"/>
          <w:lang w:val="en-GB"/>
        </w:rPr>
        <w:t>,</w:t>
      </w:r>
      <w:r w:rsidRPr="00145E8D">
        <w:rPr>
          <w:color w:val="000000" w:themeColor="text1"/>
          <w:shd w:val="clear" w:color="auto" w:fill="FFFFFF"/>
          <w:lang w:val="en-GB"/>
        </w:rPr>
        <w:t xml:space="preserve"> 75% of tourists </w:t>
      </w:r>
      <w:r w:rsidR="009F7D68">
        <w:rPr>
          <w:color w:val="000000" w:themeColor="text1"/>
          <w:shd w:val="clear" w:color="auto" w:fill="FFFFFF"/>
          <w:lang w:val="en-GB"/>
        </w:rPr>
        <w:t>were</w:t>
      </w:r>
      <w:r w:rsidR="009F7D68" w:rsidRPr="00145E8D">
        <w:rPr>
          <w:color w:val="000000" w:themeColor="text1"/>
          <w:shd w:val="clear" w:color="auto" w:fill="FFFFFF"/>
          <w:lang w:val="en-GB"/>
        </w:rPr>
        <w:t xml:space="preserve"> </w:t>
      </w:r>
      <w:r w:rsidRPr="00145E8D">
        <w:rPr>
          <w:color w:val="000000" w:themeColor="text1"/>
          <w:shd w:val="clear" w:color="auto" w:fill="FFFFFF"/>
          <w:lang w:val="en-GB"/>
        </w:rPr>
        <w:t>accommodated in this type of accommodation.</w:t>
      </w:r>
    </w:p>
    <w:p w14:paraId="29486317" w14:textId="6303007E" w:rsidR="00976BED" w:rsidRPr="00145E8D" w:rsidRDefault="00963855" w:rsidP="00976BED">
      <w:pPr>
        <w:rPr>
          <w:color w:val="000000" w:themeColor="text1"/>
          <w:shd w:val="clear" w:color="auto" w:fill="FFFFFF"/>
          <w:lang w:val="en-GB"/>
        </w:rPr>
      </w:pPr>
      <w:r w:rsidRPr="00145E8D">
        <w:rPr>
          <w:b/>
          <w:noProof/>
          <w:color w:val="000000" w:themeColor="text1"/>
          <w:spacing w:val="-2"/>
          <w:szCs w:val="19"/>
          <w:lang w:eastAsia="pl-PL"/>
        </w:rPr>
        <w:lastRenderedPageBreak/>
        <mc:AlternateContent>
          <mc:Choice Requires="wps">
            <w:drawing>
              <wp:anchor distT="45720" distB="45720" distL="114300" distR="114300" simplePos="0" relativeHeight="251739136" behindDoc="1" locked="0" layoutInCell="1" allowOverlap="1" wp14:anchorId="71224BE8" wp14:editId="5304418C">
                <wp:simplePos x="0" y="0"/>
                <wp:positionH relativeFrom="page">
                  <wp:posOffset>5673090</wp:posOffset>
                </wp:positionH>
                <wp:positionV relativeFrom="paragraph">
                  <wp:posOffset>36</wp:posOffset>
                </wp:positionV>
                <wp:extent cx="1725295" cy="831850"/>
                <wp:effectExtent l="0" t="0" r="0" b="6350"/>
                <wp:wrapTight wrapText="bothSides">
                  <wp:wrapPolygon edited="0">
                    <wp:start x="715" y="0"/>
                    <wp:lineTo x="715" y="21270"/>
                    <wp:lineTo x="20749" y="21270"/>
                    <wp:lineTo x="20749" y="0"/>
                    <wp:lineTo x="715"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31850"/>
                        </a:xfrm>
                        <a:prstGeom prst="rect">
                          <a:avLst/>
                        </a:prstGeom>
                        <a:noFill/>
                        <a:ln w="9525">
                          <a:noFill/>
                          <a:miter lim="800000"/>
                          <a:headEnd/>
                          <a:tailEnd/>
                        </a:ln>
                      </wps:spPr>
                      <wps:txbx>
                        <w:txbxContent>
                          <w:p w14:paraId="74E6E159" w14:textId="4267DA14" w:rsidR="00976BED" w:rsidRPr="007B2F88" w:rsidRDefault="00976BED" w:rsidP="00976BED">
                            <w:pPr>
                              <w:spacing w:after="0"/>
                              <w:rPr>
                                <w:rFonts w:eastAsia="Times New Roman" w:cs="Times New Roman"/>
                                <w:bCs/>
                                <w:color w:val="001D77"/>
                                <w:sz w:val="18"/>
                                <w:szCs w:val="18"/>
                                <w:lang w:val="en-GB" w:eastAsia="pl-PL"/>
                              </w:rPr>
                            </w:pPr>
                            <w:r w:rsidRPr="007B2F88">
                              <w:rPr>
                                <w:rFonts w:eastAsia="Times New Roman" w:cs="Times New Roman"/>
                                <w:bCs/>
                                <w:color w:val="001D77"/>
                                <w:sz w:val="18"/>
                                <w:szCs w:val="18"/>
                                <w:lang w:val="en-GB" w:eastAsia="pl-PL"/>
                              </w:rPr>
                              <w:t>Alm</w:t>
                            </w:r>
                            <w:r w:rsidRPr="00636363">
                              <w:rPr>
                                <w:rFonts w:eastAsia="Times New Roman" w:cs="Times New Roman"/>
                                <w:bCs/>
                                <w:color w:val="001D77"/>
                                <w:sz w:val="18"/>
                                <w:szCs w:val="18"/>
                                <w:lang w:val="en-GB" w:eastAsia="pl-PL"/>
                              </w:rPr>
                              <w:t>os</w:t>
                            </w:r>
                            <w:r w:rsidRPr="007B2F88">
                              <w:rPr>
                                <w:rFonts w:eastAsia="Times New Roman" w:cs="Times New Roman"/>
                                <w:bCs/>
                                <w:color w:val="001D77"/>
                                <w:sz w:val="18"/>
                                <w:szCs w:val="18"/>
                                <w:lang w:val="en-GB" w:eastAsia="pl-PL"/>
                              </w:rPr>
                              <w:t>t 3</w:t>
                            </w:r>
                            <w:r w:rsidRPr="00636363">
                              <w:rPr>
                                <w:rFonts w:eastAsia="Times New Roman" w:cs="Times New Roman"/>
                                <w:bCs/>
                                <w:color w:val="001D77"/>
                                <w:sz w:val="18"/>
                                <w:szCs w:val="18"/>
                                <w:lang w:val="en-GB" w:eastAsia="pl-PL"/>
                              </w:rPr>
                              <w:t>.3 billion nights</w:t>
                            </w:r>
                            <w:r w:rsidRPr="007B2F88">
                              <w:rPr>
                                <w:rFonts w:eastAsia="Times New Roman" w:cs="Times New Roman"/>
                                <w:bCs/>
                                <w:color w:val="001D77"/>
                                <w:sz w:val="18"/>
                                <w:szCs w:val="18"/>
                                <w:lang w:val="en-GB" w:eastAsia="pl-PL"/>
                              </w:rPr>
                              <w:t xml:space="preserve"> </w:t>
                            </w:r>
                            <w:r w:rsidR="009F7D68">
                              <w:rPr>
                                <w:rFonts w:eastAsia="Times New Roman" w:cs="Times New Roman"/>
                                <w:bCs/>
                                <w:color w:val="001D77"/>
                                <w:sz w:val="18"/>
                                <w:szCs w:val="18"/>
                                <w:lang w:val="en-GB" w:eastAsia="pl-PL"/>
                              </w:rPr>
                              <w:t xml:space="preserve">were </w:t>
                            </w:r>
                            <w:r w:rsidRPr="007B2F88">
                              <w:rPr>
                                <w:rFonts w:eastAsia="Times New Roman" w:cs="Times New Roman"/>
                                <w:bCs/>
                                <w:color w:val="001D77"/>
                                <w:sz w:val="18"/>
                                <w:szCs w:val="18"/>
                                <w:lang w:val="en-GB" w:eastAsia="pl-PL"/>
                              </w:rPr>
                              <w:t xml:space="preserve">spent </w:t>
                            </w:r>
                            <w:r>
                              <w:rPr>
                                <w:rFonts w:eastAsia="Times New Roman" w:cs="Times New Roman"/>
                                <w:bCs/>
                                <w:color w:val="001D77"/>
                                <w:sz w:val="18"/>
                                <w:szCs w:val="18"/>
                                <w:lang w:val="en-GB" w:eastAsia="pl-PL"/>
                              </w:rPr>
                              <w:t xml:space="preserve">in </w:t>
                            </w:r>
                            <w:r w:rsidRPr="007B2F88">
                              <w:rPr>
                                <w:rFonts w:eastAsia="Times New Roman" w:cs="Times New Roman"/>
                                <w:bCs/>
                                <w:color w:val="001D77"/>
                                <w:sz w:val="18"/>
                                <w:szCs w:val="18"/>
                                <w:lang w:val="en-GB" w:eastAsia="pl-PL"/>
                              </w:rPr>
                              <w:t>tourist accommodation establishments in the 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4BE8" id="Pole tekstowe 7" o:spid="_x0000_s1029" type="#_x0000_t202" style="position:absolute;margin-left:446.7pt;margin-top:0;width:135.85pt;height:65.5pt;z-index:-251577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idEgIAAP4DAAAOAAAAZHJzL2Uyb0RvYy54bWysU9Fu2yAUfZ+0f0C8L47deEmsOFXXrtOk&#10;bqvU7gMIxjEqcBmQ2NnX94KTLFrfpvkBgS/33HvOPayuB63IXjgvwdQ0n0wpEYZDI822pj+f7z8s&#10;KPGBmYYpMKKmB+Hp9fr9u1VvK1FAB6oRjiCI8VVva9qFYKss87wTmvkJWGEw2ILTLODRbbPGsR7R&#10;tcqK6fRj1oNrrAMuvMe/d2OQrhN+2woefrStF4GommJvIa0urZu4ZusVq7aO2U7yYxvsH7rQTBos&#10;eoa6Y4GRnZNvoLTkDjy0YcJBZ9C2kovEAdnk07/YPHXMisQFxfH2LJP/f7D8+/7REdnUdE6JYRpH&#10;9AhKkCBefIBekHmUqLe+wptPFu+G4RMMOOpE19sH4C+eGLjtmNmKG+eg7wRrsMU8ZmYXqSOOjyCb&#10;/hs0WIvtAiSgoXU66oeKEETHUR3O4xFDIDyWnBdlsSwp4RhbXOWLMs0vY9Up2zofvgjQJG5q6nD8&#10;CZ3tH3yI3bDqdCUWM3AvlUoWUIb0NV2WRZkSLiJaBnSokhprTuM3eiaS/GyalByYVOMeCyhzZB2J&#10;jpTDsBmSxlcnMTfQHFAGB6Mh8QHhpgP3m5IezVhT/2vHnKBEfTUo5TKfzaJ702FWzgs8uMvI5jLC&#10;DEeomgZKxu1tSI4fKd+g5K1MasTZjJ0cW0aTJZGODyK6+PKcbv15tutXAAAA//8DAFBLAwQUAAYA&#10;CAAAACEAYwZfLt0AAAAJAQAADwAAAGRycy9kb3ducmV2LnhtbEyPS0/DMBCE70j8B2uRuFE79KE2&#10;ZFMhEFcQ5SFxc+NtEhGvo9htwr9ne4LbjmY0+02xnXynTjTENjBCNjOgiKvgWq4R3t+ebtagYrLs&#10;bBeYEH4owra8vChs7sLIr3TapVpJCcfcIjQp9bnWsWrI2zgLPbF4hzB4m0QOtXaDHaXcd/rWmJX2&#10;tmX50NieHhqqvndHj/DxfPj6XJiX+tEv+zFMRrPfaMTrq+n+DlSiKf2F4Ywv6FAK0z4c2UXVIaw3&#10;84VEEWTR2c5WywzUXq55ZkCXhf6/oPwFAAD//wMAUEsBAi0AFAAGAAgAAAAhALaDOJL+AAAA4QEA&#10;ABMAAAAAAAAAAAAAAAAAAAAAAFtDb250ZW50X1R5cGVzXS54bWxQSwECLQAUAAYACAAAACEAOP0h&#10;/9YAAACUAQAACwAAAAAAAAAAAAAAAAAvAQAAX3JlbHMvLnJlbHNQSwECLQAUAAYACAAAACEAc+7Y&#10;nRICAAD+AwAADgAAAAAAAAAAAAAAAAAuAgAAZHJzL2Uyb0RvYy54bWxQSwECLQAUAAYACAAAACEA&#10;YwZfLt0AAAAJAQAADwAAAAAAAAAAAAAAAABsBAAAZHJzL2Rvd25yZXYueG1sUEsFBgAAAAAEAAQA&#10;8wAAAHYFAAAAAA==&#10;" filled="f" stroked="f">
                <v:textbox>
                  <w:txbxContent>
                    <w:p w14:paraId="74E6E159" w14:textId="4267DA14" w:rsidR="00976BED" w:rsidRPr="007B2F88" w:rsidRDefault="00976BED" w:rsidP="00976BED">
                      <w:pPr>
                        <w:spacing w:after="0"/>
                        <w:rPr>
                          <w:rFonts w:eastAsia="Times New Roman" w:cs="Times New Roman"/>
                          <w:bCs/>
                          <w:color w:val="001D77"/>
                          <w:sz w:val="18"/>
                          <w:szCs w:val="18"/>
                          <w:lang w:val="en-GB" w:eastAsia="pl-PL"/>
                        </w:rPr>
                      </w:pPr>
                      <w:r w:rsidRPr="007B2F88">
                        <w:rPr>
                          <w:rFonts w:eastAsia="Times New Roman" w:cs="Times New Roman"/>
                          <w:bCs/>
                          <w:color w:val="001D77"/>
                          <w:sz w:val="18"/>
                          <w:szCs w:val="18"/>
                          <w:lang w:val="en-GB" w:eastAsia="pl-PL"/>
                        </w:rPr>
                        <w:t>Alm</w:t>
                      </w:r>
                      <w:r w:rsidRPr="00636363">
                        <w:rPr>
                          <w:rFonts w:eastAsia="Times New Roman" w:cs="Times New Roman"/>
                          <w:bCs/>
                          <w:color w:val="001D77"/>
                          <w:sz w:val="18"/>
                          <w:szCs w:val="18"/>
                          <w:lang w:val="en-GB" w:eastAsia="pl-PL"/>
                        </w:rPr>
                        <w:t>os</w:t>
                      </w:r>
                      <w:r w:rsidRPr="007B2F88">
                        <w:rPr>
                          <w:rFonts w:eastAsia="Times New Roman" w:cs="Times New Roman"/>
                          <w:bCs/>
                          <w:color w:val="001D77"/>
                          <w:sz w:val="18"/>
                          <w:szCs w:val="18"/>
                          <w:lang w:val="en-GB" w:eastAsia="pl-PL"/>
                        </w:rPr>
                        <w:t>t 3</w:t>
                      </w:r>
                      <w:r w:rsidRPr="00636363">
                        <w:rPr>
                          <w:rFonts w:eastAsia="Times New Roman" w:cs="Times New Roman"/>
                          <w:bCs/>
                          <w:color w:val="001D77"/>
                          <w:sz w:val="18"/>
                          <w:szCs w:val="18"/>
                          <w:lang w:val="en-GB" w:eastAsia="pl-PL"/>
                        </w:rPr>
                        <w:t>.3 billion nights</w:t>
                      </w:r>
                      <w:r w:rsidRPr="007B2F88">
                        <w:rPr>
                          <w:rFonts w:eastAsia="Times New Roman" w:cs="Times New Roman"/>
                          <w:bCs/>
                          <w:color w:val="001D77"/>
                          <w:sz w:val="18"/>
                          <w:szCs w:val="18"/>
                          <w:lang w:val="en-GB" w:eastAsia="pl-PL"/>
                        </w:rPr>
                        <w:t xml:space="preserve"> </w:t>
                      </w:r>
                      <w:r w:rsidR="009F7D68">
                        <w:rPr>
                          <w:rFonts w:eastAsia="Times New Roman" w:cs="Times New Roman"/>
                          <w:bCs/>
                          <w:color w:val="001D77"/>
                          <w:sz w:val="18"/>
                          <w:szCs w:val="18"/>
                          <w:lang w:val="en-GB" w:eastAsia="pl-PL"/>
                        </w:rPr>
                        <w:t xml:space="preserve">were </w:t>
                      </w:r>
                      <w:r w:rsidRPr="007B2F88">
                        <w:rPr>
                          <w:rFonts w:eastAsia="Times New Roman" w:cs="Times New Roman"/>
                          <w:bCs/>
                          <w:color w:val="001D77"/>
                          <w:sz w:val="18"/>
                          <w:szCs w:val="18"/>
                          <w:lang w:val="en-GB" w:eastAsia="pl-PL"/>
                        </w:rPr>
                        <w:t xml:space="preserve">spent </w:t>
                      </w:r>
                      <w:r>
                        <w:rPr>
                          <w:rFonts w:eastAsia="Times New Roman" w:cs="Times New Roman"/>
                          <w:bCs/>
                          <w:color w:val="001D77"/>
                          <w:sz w:val="18"/>
                          <w:szCs w:val="18"/>
                          <w:lang w:val="en-GB" w:eastAsia="pl-PL"/>
                        </w:rPr>
                        <w:t xml:space="preserve">in </w:t>
                      </w:r>
                      <w:r w:rsidRPr="007B2F88">
                        <w:rPr>
                          <w:rFonts w:eastAsia="Times New Roman" w:cs="Times New Roman"/>
                          <w:bCs/>
                          <w:color w:val="001D77"/>
                          <w:sz w:val="18"/>
                          <w:szCs w:val="18"/>
                          <w:lang w:val="en-GB" w:eastAsia="pl-PL"/>
                        </w:rPr>
                        <w:t>tourist accommodation establishments in the EU</w:t>
                      </w:r>
                    </w:p>
                  </w:txbxContent>
                </v:textbox>
                <w10:wrap type="tight" anchorx="page"/>
              </v:shape>
            </w:pict>
          </mc:Fallback>
        </mc:AlternateContent>
      </w:r>
      <w:r w:rsidR="00976BED" w:rsidRPr="00145E8D">
        <w:rPr>
          <w:color w:val="000000" w:themeColor="text1"/>
          <w:shd w:val="clear" w:color="auto" w:fill="FFFFFF"/>
          <w:lang w:val="en-GB"/>
        </w:rPr>
        <w:t>In 2018</w:t>
      </w:r>
      <w:r w:rsidR="009F7D68">
        <w:rPr>
          <w:color w:val="000000" w:themeColor="text1"/>
          <w:shd w:val="clear" w:color="auto" w:fill="FFFFFF"/>
          <w:lang w:val="en-GB"/>
        </w:rPr>
        <w:t>,</w:t>
      </w:r>
      <w:r w:rsidR="00976BED" w:rsidRPr="00145E8D">
        <w:rPr>
          <w:color w:val="000000" w:themeColor="text1"/>
          <w:shd w:val="clear" w:color="auto" w:fill="FFFFFF"/>
          <w:lang w:val="en-GB"/>
        </w:rPr>
        <w:t xml:space="preserve"> the number of nights spent in tourist accommodation establishments in the EU amounted to 3 262.1 </w:t>
      </w:r>
      <w:r w:rsidR="00DC00B9">
        <w:rPr>
          <w:color w:val="000000" w:themeColor="text1"/>
          <w:shd w:val="clear" w:color="auto" w:fill="FFFFFF"/>
          <w:lang w:val="en-GB"/>
        </w:rPr>
        <w:t>million</w:t>
      </w:r>
      <w:r w:rsidR="00976BED" w:rsidRPr="00145E8D">
        <w:rPr>
          <w:color w:val="000000" w:themeColor="text1"/>
          <w:shd w:val="clear" w:color="auto" w:fill="FFFFFF"/>
          <w:lang w:val="en-GB"/>
        </w:rPr>
        <w:t xml:space="preserve">, i.e. by 2.2% more than in the previous year. Almost </w:t>
      </w:r>
      <w:r w:rsidR="00976BED" w:rsidRPr="00145E8D">
        <w:rPr>
          <w:shd w:val="clear" w:color="auto" w:fill="FFFFFF"/>
          <w:lang w:val="en-GB"/>
        </w:rPr>
        <w:t>2</w:t>
      </w:r>
      <w:r w:rsidR="00976BED" w:rsidRPr="00145E8D">
        <w:rPr>
          <w:color w:val="FF0000"/>
          <w:shd w:val="clear" w:color="auto" w:fill="FFFFFF"/>
          <w:lang w:val="en-GB"/>
        </w:rPr>
        <w:t xml:space="preserve"> </w:t>
      </w:r>
      <w:r w:rsidR="00976BED" w:rsidRPr="00A16696">
        <w:rPr>
          <w:shd w:val="clear" w:color="auto" w:fill="FFFFFF"/>
          <w:lang w:val="en-GB"/>
        </w:rPr>
        <w:t>billion</w:t>
      </w:r>
      <w:r w:rsidR="00976BED" w:rsidRPr="00145E8D">
        <w:rPr>
          <w:color w:val="000000" w:themeColor="text1"/>
          <w:shd w:val="clear" w:color="auto" w:fill="FFFFFF"/>
          <w:lang w:val="en-GB"/>
        </w:rPr>
        <w:t xml:space="preserve"> (i.e. over 60% of the total) nights spent was provided to tourists in hotel and similar accommodation. On average, tourists spent 3 nights in tourist accommodation establishment</w:t>
      </w:r>
      <w:r w:rsidR="009F7D68">
        <w:rPr>
          <w:color w:val="000000" w:themeColor="text1"/>
          <w:shd w:val="clear" w:color="auto" w:fill="FFFFFF"/>
          <w:lang w:val="en-GB"/>
        </w:rPr>
        <w:t>s</w:t>
      </w:r>
      <w:r w:rsidR="00976BED" w:rsidRPr="00145E8D">
        <w:rPr>
          <w:color w:val="000000" w:themeColor="text1"/>
          <w:shd w:val="clear" w:color="auto" w:fill="FFFFFF"/>
          <w:lang w:val="en-GB"/>
        </w:rPr>
        <w:t xml:space="preserve">, including the longest stay (5 overnights) in establishments located in Cyprus and Malta. In Poland the </w:t>
      </w:r>
      <w:r w:rsidR="00961AA8" w:rsidRPr="00145E8D">
        <w:rPr>
          <w:color w:val="000000" w:themeColor="text1"/>
          <w:shd w:val="clear" w:color="auto" w:fill="FFFFFF"/>
          <w:lang w:val="en-GB"/>
        </w:rPr>
        <w:t>duration</w:t>
      </w:r>
      <w:r w:rsidR="00976BED" w:rsidRPr="00145E8D">
        <w:rPr>
          <w:color w:val="000000" w:themeColor="text1"/>
          <w:shd w:val="clear" w:color="auto" w:fill="FFFFFF"/>
          <w:lang w:val="en-GB"/>
        </w:rPr>
        <w:t xml:space="preserve"> of stay in tourist accommodation establishments was at a similar level as the EU average.</w:t>
      </w:r>
    </w:p>
    <w:p w14:paraId="590E2DC4" w14:textId="77777777" w:rsidR="00976BED" w:rsidRPr="00145E8D" w:rsidRDefault="00976BED" w:rsidP="00976BED">
      <w:pPr>
        <w:rPr>
          <w:shd w:val="clear" w:color="auto" w:fill="FFFFFF"/>
          <w:lang w:val="en-GB"/>
        </w:rPr>
      </w:pPr>
    </w:p>
    <w:p w14:paraId="0FFE8BD4" w14:textId="00ACF5CD" w:rsidR="00976BED" w:rsidRPr="00145E8D" w:rsidRDefault="00976BED" w:rsidP="00976BED">
      <w:pPr>
        <w:pStyle w:val="tytuwykresu"/>
        <w:rPr>
          <w:shd w:val="clear" w:color="auto" w:fill="FFFFFF"/>
          <w:lang w:val="en-GB"/>
        </w:rPr>
      </w:pPr>
      <w:r w:rsidRPr="00145E8D">
        <w:rPr>
          <w:lang w:val="en-GB"/>
        </w:rPr>
        <w:t>Chart 2.</w:t>
      </w:r>
      <w:r w:rsidRPr="00145E8D">
        <w:rPr>
          <w:shd w:val="clear" w:color="auto" w:fill="FFFFFF"/>
          <w:lang w:val="en-GB"/>
        </w:rPr>
        <w:t xml:space="preserve"> Number of tourists per 1  inhabitant in 2018 </w:t>
      </w:r>
    </w:p>
    <w:p w14:paraId="3346EC67" w14:textId="1A59264A" w:rsidR="00976BED" w:rsidRPr="00145E8D" w:rsidRDefault="00551CD7" w:rsidP="00976BED">
      <w:pPr>
        <w:pStyle w:val="tytuwykresu"/>
        <w:spacing w:before="240" w:line="240" w:lineRule="auto"/>
        <w:rPr>
          <w:shd w:val="clear" w:color="auto" w:fill="FFFFFF"/>
          <w:lang w:val="en-GB"/>
        </w:rPr>
      </w:pPr>
      <w:r>
        <w:rPr>
          <w:noProof/>
          <w:lang w:eastAsia="pl-PL"/>
        </w:rPr>
        <w:drawing>
          <wp:inline distT="0" distB="0" distL="0" distR="0" wp14:anchorId="55AEC4F7" wp14:editId="2BF2210B">
            <wp:extent cx="5122545" cy="4926169"/>
            <wp:effectExtent l="0" t="0" r="1905" b="825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C6B2EA" w14:textId="77777777" w:rsidR="00551CD7" w:rsidRDefault="00551CD7" w:rsidP="00976BED">
      <w:pPr>
        <w:spacing w:before="240" w:line="240" w:lineRule="auto"/>
        <w:rPr>
          <w:b/>
          <w:color w:val="001D77"/>
          <w:shd w:val="clear" w:color="auto" w:fill="FFFFFF"/>
          <w:lang w:val="en-GB"/>
        </w:rPr>
      </w:pPr>
    </w:p>
    <w:p w14:paraId="42E80196" w14:textId="2E17BCDC" w:rsidR="00976BED" w:rsidRPr="0034100F" w:rsidRDefault="005A7330" w:rsidP="00976BED">
      <w:pPr>
        <w:spacing w:before="240" w:line="240" w:lineRule="auto"/>
        <w:rPr>
          <w:rFonts w:ascii="Fira Sans SemiBold" w:hAnsi="Fira Sans SemiBold"/>
          <w:color w:val="001D77"/>
          <w:shd w:val="clear" w:color="auto" w:fill="FFFFFF"/>
          <w:lang w:val="en-GB"/>
        </w:rPr>
      </w:pPr>
      <w:r w:rsidRPr="0034100F">
        <w:rPr>
          <w:rFonts w:ascii="Fira Sans SemiBold" w:hAnsi="Fira Sans SemiBold"/>
          <w:noProof/>
          <w:spacing w:val="-2"/>
          <w:szCs w:val="19"/>
          <w:lang w:eastAsia="pl-PL"/>
        </w:rPr>
        <mc:AlternateContent>
          <mc:Choice Requires="wps">
            <w:drawing>
              <wp:anchor distT="45720" distB="45720" distL="114300" distR="114300" simplePos="0" relativeHeight="251742208" behindDoc="1" locked="0" layoutInCell="1" allowOverlap="1" wp14:anchorId="59BCAF22" wp14:editId="3864FF54">
                <wp:simplePos x="0" y="0"/>
                <wp:positionH relativeFrom="column">
                  <wp:posOffset>5212080</wp:posOffset>
                </wp:positionH>
                <wp:positionV relativeFrom="paragraph">
                  <wp:posOffset>161290</wp:posOffset>
                </wp:positionV>
                <wp:extent cx="1725295" cy="899160"/>
                <wp:effectExtent l="0" t="0" r="0" b="0"/>
                <wp:wrapTight wrapText="bothSides">
                  <wp:wrapPolygon edited="0">
                    <wp:start x="715" y="0"/>
                    <wp:lineTo x="715" y="21051"/>
                    <wp:lineTo x="20749" y="21051"/>
                    <wp:lineTo x="20749" y="0"/>
                    <wp:lineTo x="715"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99160"/>
                        </a:xfrm>
                        <a:prstGeom prst="rect">
                          <a:avLst/>
                        </a:prstGeom>
                        <a:noFill/>
                        <a:ln w="9525">
                          <a:noFill/>
                          <a:miter lim="800000"/>
                          <a:headEnd/>
                          <a:tailEnd/>
                        </a:ln>
                      </wps:spPr>
                      <wps:txbx>
                        <w:txbxContent>
                          <w:p w14:paraId="74A730E2" w14:textId="25428728" w:rsidR="00976BED" w:rsidRPr="007B2F88" w:rsidRDefault="000809B4" w:rsidP="00976BED">
                            <w:pPr>
                              <w:spacing w:after="0"/>
                              <w:rPr>
                                <w:rFonts w:eastAsia="Times New Roman" w:cs="Times New Roman"/>
                                <w:bCs/>
                                <w:color w:val="001D77"/>
                                <w:sz w:val="18"/>
                                <w:szCs w:val="18"/>
                                <w:lang w:val="en-GB" w:eastAsia="pl-PL"/>
                              </w:rPr>
                            </w:pPr>
                            <w:r>
                              <w:rPr>
                                <w:rFonts w:eastAsia="Times New Roman" w:cs="Times New Roman"/>
                                <w:bCs/>
                                <w:color w:val="001D77"/>
                                <w:sz w:val="18"/>
                                <w:szCs w:val="18"/>
                                <w:lang w:val="en-GB" w:eastAsia="pl-PL"/>
                              </w:rPr>
                              <w:t>I</w:t>
                            </w:r>
                            <w:r w:rsidR="00961AA8" w:rsidRPr="007B2F88">
                              <w:rPr>
                                <w:rFonts w:eastAsia="Times New Roman" w:cs="Times New Roman"/>
                                <w:bCs/>
                                <w:color w:val="001D77"/>
                                <w:sz w:val="18"/>
                                <w:szCs w:val="18"/>
                                <w:lang w:val="en-GB" w:eastAsia="pl-PL"/>
                              </w:rPr>
                              <w:t>n 2018</w:t>
                            </w:r>
                            <w:r>
                              <w:rPr>
                                <w:rFonts w:eastAsia="Times New Roman" w:cs="Times New Roman"/>
                                <w:bCs/>
                                <w:color w:val="001D77"/>
                                <w:sz w:val="18"/>
                                <w:szCs w:val="18"/>
                                <w:lang w:val="en-GB" w:eastAsia="pl-PL"/>
                              </w:rPr>
                              <w:t>,</w:t>
                            </w:r>
                            <w:r w:rsidR="00961AA8">
                              <w:rPr>
                                <w:rFonts w:eastAsia="Times New Roman" w:cs="Times New Roman"/>
                                <w:bCs/>
                                <w:color w:val="001D77"/>
                                <w:sz w:val="18"/>
                                <w:szCs w:val="18"/>
                                <w:lang w:val="en-GB" w:eastAsia="pl-PL"/>
                              </w:rPr>
                              <w:t xml:space="preserve"> m</w:t>
                            </w:r>
                            <w:r w:rsidR="00976BED">
                              <w:rPr>
                                <w:rFonts w:eastAsia="Times New Roman" w:cs="Times New Roman"/>
                                <w:bCs/>
                                <w:color w:val="001D77"/>
                                <w:sz w:val="18"/>
                                <w:szCs w:val="18"/>
                                <w:lang w:val="en-GB" w:eastAsia="pl-PL"/>
                              </w:rPr>
                              <w:t>ore than</w:t>
                            </w:r>
                            <w:r w:rsidR="00976BED" w:rsidRPr="007B2F88">
                              <w:rPr>
                                <w:rFonts w:eastAsia="Times New Roman" w:cs="Times New Roman"/>
                                <w:bCs/>
                                <w:color w:val="001D77"/>
                                <w:sz w:val="18"/>
                                <w:szCs w:val="18"/>
                                <w:lang w:val="en-GB" w:eastAsia="pl-PL"/>
                              </w:rPr>
                              <w:t xml:space="preserve"> 90% of Finland's residents aged 15</w:t>
                            </w:r>
                            <w:r w:rsidR="00761C10">
                              <w:rPr>
                                <w:rFonts w:eastAsia="Times New Roman" w:cs="Times New Roman"/>
                                <w:bCs/>
                                <w:color w:val="001D77"/>
                                <w:sz w:val="18"/>
                                <w:szCs w:val="18"/>
                                <w:lang w:val="en-GB" w:eastAsia="pl-PL"/>
                              </w:rPr>
                              <w:t> </w:t>
                            </w:r>
                            <w:r w:rsidR="00976BED" w:rsidRPr="007B2F88">
                              <w:rPr>
                                <w:rFonts w:eastAsia="Times New Roman" w:cs="Times New Roman"/>
                                <w:bCs/>
                                <w:color w:val="001D77"/>
                                <w:sz w:val="18"/>
                                <w:szCs w:val="18"/>
                                <w:lang w:val="en-GB" w:eastAsia="pl-PL"/>
                              </w:rPr>
                              <w:t xml:space="preserve">and over participated in at least one overnight stay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CAF22" id="Pole tekstowe 11" o:spid="_x0000_s1030" type="#_x0000_t202" style="position:absolute;margin-left:410.4pt;margin-top:12.7pt;width:135.85pt;height:70.8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TNEgIAAAAEAAAOAAAAZHJzL2Uyb0RvYy54bWysU1Fv0zAQfkfiP1h+p2mjdlujptPYGEIa&#10;MGnwA1zn0lizfcZ2m5Rfz9lpSwVviDxYdu7uu/s+f17dDkazPfig0NZ8NplyBlZio+y25t+/Pb67&#10;4SxEYRuh0ULNDxD47frtm1XvKiixQ92AZwRiQ9W7mncxuqooguzAiDBBB5aCLXojIh39tmi86And&#10;6KKcTq+KHn3jPEoIgf4+jEG+zvhtCzJ+bdsAkema02wxrz6vm7QW65Wotl64TsnjGOIfpjBCWWp6&#10;hnoQUbCdV39BGSU9BmzjRKIpsG2VhMyB2Mymf7B56YSDzIXECe4sU/h/sPLL/tkz1dDdzTizwtAd&#10;PaMGFuE1ROyB0X8SqXehotwXR9lxeI8DFWTCwT2hfA3M4n0n7BbuvMe+A9HQkLmyuCgdcUIC2fSf&#10;saFmYhcxAw2tN0lB0oQROl3W4XxBMEQmU8vrclEuF5xJit0sl7OrfIOFqE7Vzof4EdCwtKm5JwNk&#10;dLF/CpF4UOopJTWz+Ki0zibQlvU1Xy7KRS64iBgVyaNaGeo5Td/omkTyg21ycRRKj3tqoC31SawT&#10;0ZFyHDZDVnl+EnODzYFk8Dhakp4QbTr0PznryY41Dz92wgNn+pMlKZez+Tz5Nx/mi+uSDv4ysrmM&#10;CCsJquaRs3F7H7PnR8p3JHmrshppynGS48hksyzS8UkkH1+ec9bvh7v+BQAA//8DAFBLAwQUAAYA&#10;CAAAACEAzu9WCt8AAAALAQAADwAAAGRycy9kb3ducmV2LnhtbEyPwW7CMBBE75X4B2uReis2EaGQ&#10;ZoNQq15blbZI3Ey8JFHjdRQbkv59zancdrSjmTf5ZrStuFDvG8cI85kCQVw603CF8PX5+rAC4YNm&#10;o1vHhPBLHjbF5C7XmXEDf9BlFyoRQ9hnGqEOocuk9GVNVvuZ64jj7+R6q0OUfSVNr4cYbluZKLWU&#10;VjccG2rd0XNN5c/ubBG+306H/UK9Vy827QY3Ksl2LRHvp+P2CUSgMfyb4Yof0aGITEd3ZuNFi7BK&#10;VEQPCEm6AHE1qHWSgjjGa/moQBa5vN1Q/AEAAP//AwBQSwECLQAUAAYACAAAACEAtoM4kv4AAADh&#10;AQAAEwAAAAAAAAAAAAAAAAAAAAAAW0NvbnRlbnRfVHlwZXNdLnhtbFBLAQItABQABgAIAAAAIQA4&#10;/SH/1gAAAJQBAAALAAAAAAAAAAAAAAAAAC8BAABfcmVscy8ucmVsc1BLAQItABQABgAIAAAAIQCH&#10;kOTNEgIAAAAEAAAOAAAAAAAAAAAAAAAAAC4CAABkcnMvZTJvRG9jLnhtbFBLAQItABQABgAIAAAA&#10;IQDO71YK3wAAAAsBAAAPAAAAAAAAAAAAAAAAAGwEAABkcnMvZG93bnJldi54bWxQSwUGAAAAAAQA&#10;BADzAAAAeAUAAAAA&#10;" filled="f" stroked="f">
                <v:textbox>
                  <w:txbxContent>
                    <w:p w14:paraId="74A730E2" w14:textId="25428728" w:rsidR="00976BED" w:rsidRPr="007B2F88" w:rsidRDefault="000809B4" w:rsidP="00976BED">
                      <w:pPr>
                        <w:spacing w:after="0"/>
                        <w:rPr>
                          <w:rFonts w:eastAsia="Times New Roman" w:cs="Times New Roman"/>
                          <w:bCs/>
                          <w:color w:val="001D77"/>
                          <w:sz w:val="18"/>
                          <w:szCs w:val="18"/>
                          <w:lang w:val="en-GB" w:eastAsia="pl-PL"/>
                        </w:rPr>
                      </w:pPr>
                      <w:r>
                        <w:rPr>
                          <w:rFonts w:eastAsia="Times New Roman" w:cs="Times New Roman"/>
                          <w:bCs/>
                          <w:color w:val="001D77"/>
                          <w:sz w:val="18"/>
                          <w:szCs w:val="18"/>
                          <w:lang w:val="en-GB" w:eastAsia="pl-PL"/>
                        </w:rPr>
                        <w:t>I</w:t>
                      </w:r>
                      <w:r w:rsidR="00961AA8" w:rsidRPr="007B2F88">
                        <w:rPr>
                          <w:rFonts w:eastAsia="Times New Roman" w:cs="Times New Roman"/>
                          <w:bCs/>
                          <w:color w:val="001D77"/>
                          <w:sz w:val="18"/>
                          <w:szCs w:val="18"/>
                          <w:lang w:val="en-GB" w:eastAsia="pl-PL"/>
                        </w:rPr>
                        <w:t>n 2018</w:t>
                      </w:r>
                      <w:r>
                        <w:rPr>
                          <w:rFonts w:eastAsia="Times New Roman" w:cs="Times New Roman"/>
                          <w:bCs/>
                          <w:color w:val="001D77"/>
                          <w:sz w:val="18"/>
                          <w:szCs w:val="18"/>
                          <w:lang w:val="en-GB" w:eastAsia="pl-PL"/>
                        </w:rPr>
                        <w:t>,</w:t>
                      </w:r>
                      <w:r w:rsidR="00961AA8">
                        <w:rPr>
                          <w:rFonts w:eastAsia="Times New Roman" w:cs="Times New Roman"/>
                          <w:bCs/>
                          <w:color w:val="001D77"/>
                          <w:sz w:val="18"/>
                          <w:szCs w:val="18"/>
                          <w:lang w:val="en-GB" w:eastAsia="pl-PL"/>
                        </w:rPr>
                        <w:t xml:space="preserve"> m</w:t>
                      </w:r>
                      <w:r w:rsidR="00976BED">
                        <w:rPr>
                          <w:rFonts w:eastAsia="Times New Roman" w:cs="Times New Roman"/>
                          <w:bCs/>
                          <w:color w:val="001D77"/>
                          <w:sz w:val="18"/>
                          <w:szCs w:val="18"/>
                          <w:lang w:val="en-GB" w:eastAsia="pl-PL"/>
                        </w:rPr>
                        <w:t>ore than</w:t>
                      </w:r>
                      <w:r w:rsidR="00976BED" w:rsidRPr="007B2F88">
                        <w:rPr>
                          <w:rFonts w:eastAsia="Times New Roman" w:cs="Times New Roman"/>
                          <w:bCs/>
                          <w:color w:val="001D77"/>
                          <w:sz w:val="18"/>
                          <w:szCs w:val="18"/>
                          <w:lang w:val="en-GB" w:eastAsia="pl-PL"/>
                        </w:rPr>
                        <w:t xml:space="preserve"> 90% of Finland's residents aged 15</w:t>
                      </w:r>
                      <w:r w:rsidR="00761C10">
                        <w:rPr>
                          <w:rFonts w:eastAsia="Times New Roman" w:cs="Times New Roman"/>
                          <w:bCs/>
                          <w:color w:val="001D77"/>
                          <w:sz w:val="18"/>
                          <w:szCs w:val="18"/>
                          <w:lang w:val="en-GB" w:eastAsia="pl-PL"/>
                        </w:rPr>
                        <w:t> </w:t>
                      </w:r>
                      <w:r w:rsidR="00976BED" w:rsidRPr="007B2F88">
                        <w:rPr>
                          <w:rFonts w:eastAsia="Times New Roman" w:cs="Times New Roman"/>
                          <w:bCs/>
                          <w:color w:val="001D77"/>
                          <w:sz w:val="18"/>
                          <w:szCs w:val="18"/>
                          <w:lang w:val="en-GB" w:eastAsia="pl-PL"/>
                        </w:rPr>
                        <w:t xml:space="preserve">and over participated in at least one overnight stay </w:t>
                      </w:r>
                    </w:p>
                  </w:txbxContent>
                </v:textbox>
                <w10:wrap type="tight"/>
              </v:shape>
            </w:pict>
          </mc:Fallback>
        </mc:AlternateContent>
      </w:r>
      <w:r w:rsidR="00976BED" w:rsidRPr="0034100F">
        <w:rPr>
          <w:rFonts w:ascii="Fira Sans SemiBold" w:hAnsi="Fira Sans SemiBold"/>
          <w:color w:val="001D77"/>
          <w:shd w:val="clear" w:color="auto" w:fill="FFFFFF"/>
          <w:lang w:val="en-GB"/>
        </w:rPr>
        <w:t>Trips of the European Union residents aged 15 and over</w:t>
      </w:r>
    </w:p>
    <w:p w14:paraId="5991ACFC" w14:textId="32B65A34" w:rsidR="00976BED" w:rsidRPr="00145E8D" w:rsidRDefault="00976BED" w:rsidP="00976BED">
      <w:pPr>
        <w:rPr>
          <w:color w:val="000000" w:themeColor="text1"/>
          <w:shd w:val="clear" w:color="auto" w:fill="FFFFFF"/>
          <w:lang w:val="en-GB"/>
        </w:rPr>
      </w:pPr>
      <w:r w:rsidRPr="00145E8D">
        <w:rPr>
          <w:color w:val="000000" w:themeColor="text1"/>
          <w:shd w:val="clear" w:color="auto" w:fill="FFFFFF"/>
          <w:lang w:val="en-GB"/>
        </w:rPr>
        <w:t>In 2018, 64% of the EU population aged 15 and over participated in domestic and outbound trips with at least one overnight stay and it was by 1.5 pp. more than a year earlier. The highest percentage of people aged 15 and over participating in trips was recorded in Finland (91%) as well as in the Netherlands and Sweden (about 85%), while the lowest in Romania (27%) and Bulgaria (34%). In Poland</w:t>
      </w:r>
      <w:r w:rsidR="000809B4">
        <w:rPr>
          <w:color w:val="000000" w:themeColor="text1"/>
          <w:shd w:val="clear" w:color="auto" w:fill="FFFFFF"/>
          <w:lang w:val="en-GB"/>
        </w:rPr>
        <w:t>,</w:t>
      </w:r>
      <w:r w:rsidRPr="00145E8D">
        <w:rPr>
          <w:color w:val="000000" w:themeColor="text1"/>
          <w:shd w:val="clear" w:color="auto" w:fill="FFFFFF"/>
          <w:lang w:val="en-GB"/>
        </w:rPr>
        <w:t xml:space="preserve"> 62% of the population aged 15 and over participated in 2018 in trips with at least one overnight stay, i.e</w:t>
      </w:r>
      <w:r w:rsidR="005E6947">
        <w:rPr>
          <w:color w:val="000000" w:themeColor="text1"/>
          <w:shd w:val="clear" w:color="auto" w:fill="FFFFFF"/>
          <w:lang w:val="en-GB"/>
        </w:rPr>
        <w:t>.</w:t>
      </w:r>
      <w:r w:rsidRPr="00145E8D">
        <w:rPr>
          <w:color w:val="000000" w:themeColor="text1"/>
          <w:shd w:val="clear" w:color="auto" w:fill="FFFFFF"/>
          <w:lang w:val="en-GB"/>
        </w:rPr>
        <w:t xml:space="preserve"> by 3 pp. more than in 2017.</w:t>
      </w:r>
    </w:p>
    <w:p w14:paraId="349B8BF4" w14:textId="4A2F66CF" w:rsidR="00976BED" w:rsidRPr="00145E8D" w:rsidRDefault="000809B4" w:rsidP="00976BED">
      <w:pPr>
        <w:rPr>
          <w:color w:val="000000" w:themeColor="text1"/>
          <w:lang w:val="en-GB"/>
        </w:rPr>
      </w:pPr>
      <w:r>
        <w:rPr>
          <w:color w:val="000000" w:themeColor="text1"/>
          <w:lang w:val="en-GB"/>
        </w:rPr>
        <w:t>I</w:t>
      </w:r>
      <w:r w:rsidRPr="00145E8D">
        <w:rPr>
          <w:color w:val="000000" w:themeColor="text1"/>
          <w:lang w:val="en-GB"/>
        </w:rPr>
        <w:t>n 2018</w:t>
      </w:r>
      <w:r>
        <w:rPr>
          <w:color w:val="000000" w:themeColor="text1"/>
          <w:lang w:val="en-GB"/>
        </w:rPr>
        <w:t>,</w:t>
      </w:r>
      <w:r w:rsidRPr="00145E8D">
        <w:rPr>
          <w:color w:val="000000" w:themeColor="text1"/>
          <w:lang w:val="en-GB"/>
        </w:rPr>
        <w:t xml:space="preserve"> </w:t>
      </w:r>
      <w:r>
        <w:rPr>
          <w:color w:val="000000" w:themeColor="text1"/>
          <w:lang w:val="en-GB"/>
        </w:rPr>
        <w:t>th</w:t>
      </w:r>
      <w:r w:rsidR="00976BED" w:rsidRPr="00145E8D">
        <w:rPr>
          <w:color w:val="000000" w:themeColor="text1"/>
          <w:lang w:val="en-GB"/>
        </w:rPr>
        <w:t xml:space="preserve">e largest number of trips among EU countries was made by residents of Germany - 288 </w:t>
      </w:r>
      <w:r w:rsidR="00DC00B9">
        <w:rPr>
          <w:color w:val="000000" w:themeColor="text1"/>
          <w:lang w:val="en-GB"/>
        </w:rPr>
        <w:t>million</w:t>
      </w:r>
      <w:r w:rsidR="00976BED" w:rsidRPr="00145E8D">
        <w:rPr>
          <w:color w:val="000000" w:themeColor="text1"/>
          <w:lang w:val="en-GB"/>
        </w:rPr>
        <w:t xml:space="preserve">, of which 40% </w:t>
      </w:r>
      <w:r>
        <w:rPr>
          <w:color w:val="000000" w:themeColor="text1"/>
          <w:lang w:val="en-GB"/>
        </w:rPr>
        <w:t xml:space="preserve">was </w:t>
      </w:r>
      <w:r w:rsidR="00976BED" w:rsidRPr="00145E8D">
        <w:rPr>
          <w:color w:val="000000" w:themeColor="text1"/>
          <w:lang w:val="en-GB"/>
        </w:rPr>
        <w:t xml:space="preserve">constituted </w:t>
      </w:r>
      <w:r>
        <w:rPr>
          <w:color w:val="000000" w:themeColor="text1"/>
          <w:lang w:val="en-GB"/>
        </w:rPr>
        <w:t xml:space="preserve">by </w:t>
      </w:r>
      <w:r w:rsidR="00976BED" w:rsidRPr="00145E8D">
        <w:rPr>
          <w:color w:val="000000" w:themeColor="text1"/>
          <w:lang w:val="en-GB"/>
        </w:rPr>
        <w:t xml:space="preserve">outbound trips. Over 200 </w:t>
      </w:r>
      <w:r w:rsidR="00DC00B9">
        <w:rPr>
          <w:color w:val="000000" w:themeColor="text1"/>
          <w:lang w:val="en-GB"/>
        </w:rPr>
        <w:t>million</w:t>
      </w:r>
      <w:r w:rsidR="00976BED" w:rsidRPr="00145E8D">
        <w:rPr>
          <w:color w:val="000000" w:themeColor="text1"/>
          <w:lang w:val="en-GB"/>
        </w:rPr>
        <w:t xml:space="preserve"> trips </w:t>
      </w:r>
      <w:r>
        <w:rPr>
          <w:color w:val="000000" w:themeColor="text1"/>
          <w:lang w:val="en-GB"/>
        </w:rPr>
        <w:t xml:space="preserve">were </w:t>
      </w:r>
      <w:r w:rsidR="00976BED" w:rsidRPr="00145E8D">
        <w:rPr>
          <w:color w:val="000000" w:themeColor="text1"/>
          <w:lang w:val="en-GB"/>
        </w:rPr>
        <w:t xml:space="preserve">made also </w:t>
      </w:r>
      <w:r>
        <w:rPr>
          <w:color w:val="000000" w:themeColor="text1"/>
          <w:lang w:val="en-GB"/>
        </w:rPr>
        <w:t xml:space="preserve">by </w:t>
      </w:r>
      <w:r w:rsidR="00976BED" w:rsidRPr="00145E8D">
        <w:rPr>
          <w:color w:val="000000" w:themeColor="text1"/>
          <w:lang w:val="en-GB"/>
        </w:rPr>
        <w:t xml:space="preserve">residents of France and one quarter of them there were outbound trips. </w:t>
      </w:r>
    </w:p>
    <w:p w14:paraId="2B4E7CB1" w14:textId="21817A42" w:rsidR="00C36678" w:rsidRDefault="000809B4" w:rsidP="00C36678">
      <w:pPr>
        <w:rPr>
          <w:color w:val="000000" w:themeColor="text1"/>
          <w:lang w:val="en-GB"/>
        </w:rPr>
      </w:pPr>
      <w:r>
        <w:rPr>
          <w:color w:val="000000" w:themeColor="text1"/>
          <w:lang w:val="en-GB"/>
        </w:rPr>
        <w:t>W</w:t>
      </w:r>
      <w:r w:rsidRPr="00145E8D">
        <w:rPr>
          <w:color w:val="000000" w:themeColor="text1"/>
          <w:lang w:val="en-GB"/>
        </w:rPr>
        <w:t>hen it comes to the number of trips made by residents</w:t>
      </w:r>
      <w:r>
        <w:rPr>
          <w:color w:val="000000" w:themeColor="text1"/>
          <w:lang w:val="en-GB"/>
        </w:rPr>
        <w:t>, t</w:t>
      </w:r>
      <w:r w:rsidR="00C36678" w:rsidRPr="00145E8D">
        <w:rPr>
          <w:color w:val="000000" w:themeColor="text1"/>
          <w:lang w:val="en-GB"/>
        </w:rPr>
        <w:t>he highest increase was recorded in Estonia (by over 40%) and Italy (by over 20%)</w:t>
      </w:r>
      <w:r>
        <w:rPr>
          <w:color w:val="000000" w:themeColor="text1"/>
          <w:lang w:val="en-GB"/>
        </w:rPr>
        <w:t>, c</w:t>
      </w:r>
      <w:r w:rsidRPr="00145E8D">
        <w:rPr>
          <w:color w:val="000000" w:themeColor="text1"/>
          <w:lang w:val="en-GB"/>
        </w:rPr>
        <w:t>ompared to 2017</w:t>
      </w:r>
      <w:r w:rsidR="00C36678" w:rsidRPr="00145E8D">
        <w:rPr>
          <w:color w:val="000000" w:themeColor="text1"/>
          <w:lang w:val="en-GB"/>
        </w:rPr>
        <w:t>.</w:t>
      </w:r>
      <w:r w:rsidR="00C36678" w:rsidRPr="0030235A">
        <w:rPr>
          <w:lang w:val="en-GB"/>
        </w:rPr>
        <w:t xml:space="preserve"> </w:t>
      </w:r>
      <w:r w:rsidR="00D41F6D" w:rsidRPr="0030235A">
        <w:rPr>
          <w:lang w:val="en-GB"/>
        </w:rPr>
        <w:t>In 2018</w:t>
      </w:r>
      <w:r w:rsidR="00D41F6D" w:rsidRPr="00721024">
        <w:rPr>
          <w:lang w:val="en-GB"/>
        </w:rPr>
        <w:t>,</w:t>
      </w:r>
      <w:r w:rsidR="00D41F6D" w:rsidRPr="00145E8D">
        <w:rPr>
          <w:rStyle w:val="tlid-translation"/>
          <w:color w:val="000000" w:themeColor="text1"/>
          <w:lang w:val="en-GB"/>
        </w:rPr>
        <w:t xml:space="preserve"> </w:t>
      </w:r>
      <w:r w:rsidR="00D41F6D">
        <w:rPr>
          <w:bCs/>
          <w:lang w:val="en-GB"/>
        </w:rPr>
        <w:t>s</w:t>
      </w:r>
      <w:r w:rsidR="00C36678" w:rsidRPr="00145E8D">
        <w:rPr>
          <w:color w:val="000000" w:themeColor="text1"/>
          <w:lang w:val="en-GB"/>
        </w:rPr>
        <w:t>ig</w:t>
      </w:r>
      <w:r w:rsidR="00C36678" w:rsidRPr="00145E8D">
        <w:rPr>
          <w:lang w:val="en-GB"/>
        </w:rPr>
        <w:t>n</w:t>
      </w:r>
      <w:r w:rsidR="00C36678" w:rsidRPr="00145E8D">
        <w:rPr>
          <w:rStyle w:val="tlid-translation"/>
          <w:color w:val="000000" w:themeColor="text1"/>
          <w:lang w:val="en-GB"/>
        </w:rPr>
        <w:t xml:space="preserve">ificantly </w:t>
      </w:r>
      <w:r w:rsidR="00D41F6D">
        <w:rPr>
          <w:rStyle w:val="tlid-translation"/>
          <w:color w:val="000000" w:themeColor="text1"/>
          <w:lang w:val="en-GB"/>
        </w:rPr>
        <w:t>fewer</w:t>
      </w:r>
      <w:r w:rsidR="00D41F6D" w:rsidRPr="00145E8D">
        <w:rPr>
          <w:rStyle w:val="tlid-translation"/>
          <w:color w:val="000000" w:themeColor="text1"/>
          <w:lang w:val="en-GB"/>
        </w:rPr>
        <w:t xml:space="preserve"> </w:t>
      </w:r>
      <w:r w:rsidR="00C36678" w:rsidRPr="00145E8D">
        <w:rPr>
          <w:rStyle w:val="tlid-translation"/>
          <w:color w:val="000000" w:themeColor="text1"/>
          <w:lang w:val="en-GB"/>
        </w:rPr>
        <w:t xml:space="preserve">trips </w:t>
      </w:r>
      <w:r w:rsidR="00D41F6D">
        <w:rPr>
          <w:rStyle w:val="tlid-translation"/>
          <w:color w:val="000000" w:themeColor="text1"/>
          <w:lang w:val="en-GB"/>
        </w:rPr>
        <w:t xml:space="preserve">were </w:t>
      </w:r>
      <w:r w:rsidR="00C36678" w:rsidRPr="00145E8D">
        <w:rPr>
          <w:rStyle w:val="tlid-translation"/>
          <w:color w:val="000000" w:themeColor="text1"/>
          <w:lang w:val="en-GB"/>
        </w:rPr>
        <w:t xml:space="preserve">made </w:t>
      </w:r>
      <w:r w:rsidR="00D41F6D">
        <w:rPr>
          <w:rStyle w:val="tlid-translation"/>
          <w:color w:val="000000" w:themeColor="text1"/>
          <w:lang w:val="en-GB"/>
        </w:rPr>
        <w:t xml:space="preserve">by </w:t>
      </w:r>
      <w:r w:rsidR="00C36678" w:rsidRPr="00145E8D">
        <w:rPr>
          <w:color w:val="000000" w:themeColor="text1"/>
          <w:lang w:val="en-GB"/>
        </w:rPr>
        <w:t>residents of Denmark</w:t>
      </w:r>
      <w:r w:rsidR="00D41F6D">
        <w:rPr>
          <w:color w:val="000000" w:themeColor="text1"/>
          <w:lang w:val="en-GB"/>
        </w:rPr>
        <w:t xml:space="preserve"> </w:t>
      </w:r>
      <w:r w:rsidR="00226B35">
        <w:rPr>
          <w:color w:val="000000" w:themeColor="text1"/>
          <w:lang w:val="en-GB"/>
        </w:rPr>
        <w:t>(</w:t>
      </w:r>
      <w:r w:rsidR="00D41F6D" w:rsidRPr="00145E8D">
        <w:rPr>
          <w:rStyle w:val="tlid-translation"/>
          <w:color w:val="000000" w:themeColor="text1"/>
          <w:lang w:val="en-GB"/>
        </w:rPr>
        <w:t>by 29%</w:t>
      </w:r>
      <w:r w:rsidR="00226B35">
        <w:rPr>
          <w:rStyle w:val="tlid-translation"/>
          <w:color w:val="000000" w:themeColor="text1"/>
          <w:lang w:val="en-GB"/>
        </w:rPr>
        <w:t>)</w:t>
      </w:r>
      <w:r w:rsidR="00C36678" w:rsidRPr="00145E8D">
        <w:rPr>
          <w:color w:val="000000" w:themeColor="text1"/>
          <w:lang w:val="en-GB"/>
        </w:rPr>
        <w:t>.</w:t>
      </w:r>
    </w:p>
    <w:p w14:paraId="1C6B008C" w14:textId="77777777" w:rsidR="00551CD7" w:rsidRDefault="00551CD7" w:rsidP="00C36678">
      <w:pPr>
        <w:rPr>
          <w:color w:val="000000" w:themeColor="text1"/>
          <w:lang w:val="en-GB"/>
        </w:rPr>
      </w:pPr>
    </w:p>
    <w:p w14:paraId="7D12641E" w14:textId="7D7F8619" w:rsidR="00C36678" w:rsidRDefault="00C36678" w:rsidP="00C36678">
      <w:pPr>
        <w:pStyle w:val="tytuwykresu"/>
        <w:ind w:left="567" w:hanging="567"/>
        <w:rPr>
          <w:noProof/>
          <w:lang w:val="en-GB" w:eastAsia="pl-PL"/>
        </w:rPr>
      </w:pPr>
      <w:r w:rsidRPr="00145E8D">
        <w:rPr>
          <w:color w:val="000000" w:themeColor="text1"/>
          <w:lang w:val="en-GB"/>
        </w:rPr>
        <w:lastRenderedPageBreak/>
        <w:t xml:space="preserve"> </w:t>
      </w:r>
      <w:r w:rsidRPr="00145E8D">
        <w:rPr>
          <w:noProof/>
          <w:lang w:val="en-GB" w:eastAsia="pl-PL"/>
        </w:rPr>
        <w:t xml:space="preserve">Map 1. The share of overnight stays of foreign tourists in the total number of overnight stays </w:t>
      </w:r>
      <w:r w:rsidR="0034100F">
        <w:rPr>
          <w:noProof/>
          <w:lang w:val="en-GB" w:eastAsia="pl-PL"/>
        </w:rPr>
        <w:t>in </w:t>
      </w:r>
      <w:r w:rsidR="00226B35" w:rsidRPr="00145E8D">
        <w:rPr>
          <w:noProof/>
          <w:lang w:val="en-GB" w:eastAsia="pl-PL"/>
        </w:rPr>
        <w:t xml:space="preserve">European Union countries </w:t>
      </w:r>
      <w:r w:rsidRPr="00145E8D">
        <w:rPr>
          <w:noProof/>
          <w:lang w:val="en-GB" w:eastAsia="pl-PL"/>
        </w:rPr>
        <w:t xml:space="preserve">in 2018 </w:t>
      </w:r>
    </w:p>
    <w:p w14:paraId="4597E096" w14:textId="345B88AF" w:rsidR="00C36678" w:rsidRPr="00145E8D" w:rsidRDefault="005652B2" w:rsidP="00C36678">
      <w:pPr>
        <w:spacing w:line="240" w:lineRule="auto"/>
        <w:rPr>
          <w:b/>
          <w:spacing w:val="-2"/>
          <w:sz w:val="18"/>
          <w:shd w:val="clear" w:color="auto" w:fill="FFFFFF"/>
          <w:lang w:val="en-GB"/>
        </w:rPr>
      </w:pPr>
      <w:r>
        <w:rPr>
          <w:b/>
          <w:noProof/>
          <w:spacing w:val="-2"/>
          <w:sz w:val="18"/>
          <w:shd w:val="clear" w:color="auto" w:fill="FFFFFF"/>
          <w:lang w:eastAsia="pl-PL"/>
        </w:rPr>
        <w:drawing>
          <wp:inline distT="0" distB="0" distL="0" distR="0" wp14:anchorId="36977379" wp14:editId="12523F41">
            <wp:extent cx="5047498" cy="4706122"/>
            <wp:effectExtent l="0" t="0" r="127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czestnictwo mieszkańców UE angielska kropk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7498" cy="4706122"/>
                    </a:xfrm>
                    <a:prstGeom prst="rect">
                      <a:avLst/>
                    </a:prstGeom>
                  </pic:spPr>
                </pic:pic>
              </a:graphicData>
            </a:graphic>
          </wp:inline>
        </w:drawing>
      </w:r>
    </w:p>
    <w:p w14:paraId="6E8FC6E9" w14:textId="77777777" w:rsidR="00C36678" w:rsidRPr="00145E8D" w:rsidRDefault="00C36678" w:rsidP="00C36678">
      <w:pPr>
        <w:rPr>
          <w:b/>
          <w:spacing w:val="-2"/>
          <w:sz w:val="18"/>
          <w:shd w:val="clear" w:color="auto" w:fill="FFFFFF"/>
          <w:lang w:val="en-GB"/>
        </w:rPr>
      </w:pPr>
    </w:p>
    <w:p w14:paraId="1CCED27B" w14:textId="77777777" w:rsidR="00C36678" w:rsidRPr="00145E8D" w:rsidRDefault="00C36678" w:rsidP="00C36678">
      <w:pPr>
        <w:rPr>
          <w:color w:val="000000" w:themeColor="text1"/>
          <w:lang w:val="en-GB"/>
        </w:rPr>
      </w:pPr>
    </w:p>
    <w:p w14:paraId="456D79A5" w14:textId="77777777" w:rsidR="00694AF0" w:rsidRPr="00145E8D" w:rsidRDefault="00694AF0" w:rsidP="00E76D26">
      <w:pPr>
        <w:rPr>
          <w:sz w:val="18"/>
          <w:lang w:val="en-GB"/>
        </w:rPr>
      </w:pPr>
    </w:p>
    <w:p w14:paraId="13E09B4A" w14:textId="77777777" w:rsidR="00C36678" w:rsidRPr="00145E8D" w:rsidRDefault="00C36678" w:rsidP="00E76D26">
      <w:pPr>
        <w:rPr>
          <w:sz w:val="18"/>
          <w:lang w:val="en-GB"/>
        </w:rPr>
      </w:pPr>
    </w:p>
    <w:p w14:paraId="2AB23263" w14:textId="77777777" w:rsidR="00C36678" w:rsidRDefault="00C36678" w:rsidP="00E76D26">
      <w:pPr>
        <w:rPr>
          <w:sz w:val="18"/>
          <w:lang w:val="en-GB"/>
        </w:rPr>
      </w:pPr>
    </w:p>
    <w:p w14:paraId="56EAC251" w14:textId="77777777" w:rsidR="005477A0" w:rsidRDefault="005477A0" w:rsidP="00E76D26">
      <w:pPr>
        <w:rPr>
          <w:sz w:val="18"/>
          <w:lang w:val="en-GB"/>
        </w:rPr>
      </w:pPr>
    </w:p>
    <w:p w14:paraId="709F8A75" w14:textId="77777777" w:rsidR="005477A0" w:rsidRDefault="005477A0" w:rsidP="00E76D26">
      <w:pPr>
        <w:rPr>
          <w:sz w:val="18"/>
          <w:lang w:val="en-GB"/>
        </w:rPr>
      </w:pPr>
    </w:p>
    <w:p w14:paraId="5A894300" w14:textId="77777777" w:rsidR="005477A0" w:rsidRDefault="005477A0" w:rsidP="00E76D26">
      <w:pPr>
        <w:rPr>
          <w:sz w:val="18"/>
          <w:lang w:val="en-GB"/>
        </w:rPr>
      </w:pPr>
    </w:p>
    <w:p w14:paraId="7546D11C" w14:textId="77777777" w:rsidR="005477A0" w:rsidRDefault="005477A0" w:rsidP="00E76D26">
      <w:pPr>
        <w:rPr>
          <w:sz w:val="18"/>
          <w:lang w:val="en-GB"/>
        </w:rPr>
      </w:pPr>
    </w:p>
    <w:p w14:paraId="773CEC68" w14:textId="77777777" w:rsidR="005477A0" w:rsidRPr="005477A0" w:rsidRDefault="005477A0" w:rsidP="005477A0">
      <w:pPr>
        <w:rPr>
          <w:b/>
          <w:sz w:val="22"/>
          <w:lang w:val="en-US"/>
        </w:rPr>
      </w:pPr>
      <w:r w:rsidRPr="005477A0">
        <w:rPr>
          <w:b/>
          <w:lang w:val="en-US"/>
        </w:rPr>
        <w:t>The study was prepared on the basis of data from the Eurostat database (access date 31.01.2019).</w:t>
      </w:r>
    </w:p>
    <w:p w14:paraId="2AF09D68" w14:textId="77777777" w:rsidR="005477A0" w:rsidRPr="005477A0" w:rsidRDefault="005477A0" w:rsidP="00E76D26">
      <w:pPr>
        <w:rPr>
          <w:b/>
          <w:sz w:val="18"/>
          <w:lang w:val="en-GB"/>
        </w:rPr>
        <w:sectPr w:rsidR="005477A0" w:rsidRPr="005477A0" w:rsidSect="003B18B6">
          <w:headerReference w:type="default" r:id="rId14"/>
          <w:footerReference w:type="default" r:id="rId15"/>
          <w:headerReference w:type="first" r:id="rId16"/>
          <w:footerReference w:type="first" r:id="rId17"/>
          <w:pgSz w:w="11906" w:h="16838"/>
          <w:pgMar w:top="720" w:right="3119" w:bottom="720" w:left="720" w:header="284" w:footer="283" w:gutter="0"/>
          <w:cols w:space="708"/>
          <w:titlePg/>
          <w:docGrid w:linePitch="360"/>
        </w:sectPr>
      </w:pPr>
    </w:p>
    <w:p w14:paraId="1143C4E7" w14:textId="77777777" w:rsidR="000470AA" w:rsidRPr="00145E8D"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0470AA" w:rsidRPr="006C4B14" w14:paraId="4A532434" w14:textId="77777777" w:rsidTr="009A5961">
        <w:trPr>
          <w:trHeight w:val="1506"/>
        </w:trPr>
        <w:tc>
          <w:tcPr>
            <w:tcW w:w="4195" w:type="dxa"/>
          </w:tcPr>
          <w:p w14:paraId="6FE58996" w14:textId="77777777" w:rsidR="0025563A" w:rsidRPr="00145E8D" w:rsidRDefault="001D2736" w:rsidP="0025563A">
            <w:pPr>
              <w:spacing w:before="0" w:after="0" w:line="276" w:lineRule="auto"/>
              <w:ind w:left="-108"/>
              <w:rPr>
                <w:rFonts w:cs="Arial"/>
                <w:color w:val="000000" w:themeColor="text1"/>
                <w:sz w:val="20"/>
                <w:lang w:val="en-GB"/>
              </w:rPr>
            </w:pPr>
            <w:r w:rsidRPr="00145E8D">
              <w:rPr>
                <w:rFonts w:cs="Arial"/>
                <w:color w:val="000000" w:themeColor="text1"/>
                <w:sz w:val="20"/>
                <w:lang w:val="en-GB"/>
              </w:rPr>
              <w:t>Prepared by</w:t>
            </w:r>
            <w:r w:rsidR="000470AA" w:rsidRPr="00145E8D">
              <w:rPr>
                <w:rFonts w:cs="Arial"/>
                <w:color w:val="000000" w:themeColor="text1"/>
                <w:sz w:val="20"/>
                <w:lang w:val="en-GB"/>
              </w:rPr>
              <w:t>:</w:t>
            </w:r>
          </w:p>
          <w:p w14:paraId="53DC3E1F" w14:textId="77777777" w:rsidR="00FA4729" w:rsidRPr="00145E8D" w:rsidRDefault="00373061" w:rsidP="003A56B5">
            <w:pPr>
              <w:spacing w:before="0" w:after="0" w:line="276" w:lineRule="auto"/>
              <w:ind w:left="-108"/>
              <w:rPr>
                <w:rFonts w:cs="Arial"/>
                <w:b/>
                <w:color w:val="000000" w:themeColor="text1"/>
                <w:sz w:val="20"/>
                <w:lang w:val="en-GB"/>
              </w:rPr>
            </w:pPr>
            <w:hyperlink r:id="rId18" w:tgtFrame="_blank" w:history="1">
              <w:r w:rsidR="003A56B5" w:rsidRPr="00145E8D">
                <w:rPr>
                  <w:b/>
                  <w:color w:val="000000" w:themeColor="text1"/>
                  <w:sz w:val="20"/>
                  <w:lang w:val="en-GB"/>
                </w:rPr>
                <w:t>Statistical Office in</w:t>
              </w:r>
            </w:hyperlink>
            <w:r w:rsidR="003A56B5" w:rsidRPr="00145E8D">
              <w:rPr>
                <w:rFonts w:cs="Arial"/>
                <w:b/>
                <w:color w:val="000000" w:themeColor="text1"/>
                <w:sz w:val="20"/>
                <w:lang w:val="en-GB"/>
              </w:rPr>
              <w:t xml:space="preserve"> </w:t>
            </w:r>
            <w:r w:rsidR="00963855" w:rsidRPr="00145E8D">
              <w:rPr>
                <w:rFonts w:cs="Arial"/>
                <w:b/>
                <w:color w:val="000000" w:themeColor="text1"/>
                <w:sz w:val="20"/>
                <w:lang w:val="en-GB"/>
              </w:rPr>
              <w:t>Rzeszów</w:t>
            </w:r>
          </w:p>
          <w:p w14:paraId="43480434" w14:textId="77777777" w:rsidR="00FA4729" w:rsidRPr="00145E8D" w:rsidRDefault="00FA4729" w:rsidP="00FA4729">
            <w:pPr>
              <w:spacing w:before="0" w:after="0" w:line="276" w:lineRule="auto"/>
              <w:ind w:left="-108"/>
              <w:rPr>
                <w:rFonts w:cs="Arial"/>
                <w:b/>
                <w:color w:val="000000" w:themeColor="text1"/>
                <w:sz w:val="20"/>
                <w:lang w:val="en-GB"/>
              </w:rPr>
            </w:pPr>
            <w:r w:rsidRPr="00145E8D">
              <w:rPr>
                <w:rFonts w:cs="Arial"/>
                <w:b/>
                <w:color w:val="000000" w:themeColor="text1"/>
                <w:sz w:val="20"/>
                <w:lang w:val="en-GB"/>
              </w:rPr>
              <w:t xml:space="preserve">Director </w:t>
            </w:r>
            <w:r w:rsidR="00963855" w:rsidRPr="00145E8D">
              <w:rPr>
                <w:rFonts w:cs="Arial"/>
                <w:b/>
                <w:color w:val="000000" w:themeColor="text1"/>
                <w:sz w:val="20"/>
                <w:lang w:val="en-GB"/>
              </w:rPr>
              <w:t>Marek Cierpiał-Wolan</w:t>
            </w:r>
          </w:p>
          <w:p w14:paraId="3CD609AB" w14:textId="1BB534DC" w:rsidR="00FA4729" w:rsidRPr="00145E8D" w:rsidRDefault="003A56B5" w:rsidP="00FA4729">
            <w:pPr>
              <w:pStyle w:val="Nagwek3"/>
              <w:spacing w:before="0" w:line="240" w:lineRule="auto"/>
              <w:ind w:left="-108"/>
              <w:rPr>
                <w:rFonts w:ascii="Fira Sans" w:hAnsi="Fira Sans" w:cs="Arial"/>
                <w:color w:val="000000" w:themeColor="text1"/>
                <w:sz w:val="20"/>
                <w:lang w:val="en-GB"/>
              </w:rPr>
            </w:pPr>
            <w:r w:rsidRPr="00145E8D">
              <w:rPr>
                <w:rFonts w:ascii="Fira Sans" w:hAnsi="Fira Sans" w:cs="Arial"/>
                <w:color w:val="000000" w:themeColor="text1"/>
                <w:sz w:val="20"/>
                <w:lang w:val="en-GB"/>
              </w:rPr>
              <w:t xml:space="preserve">Office: tel. (+48 </w:t>
            </w:r>
            <w:r w:rsidR="00C37851">
              <w:rPr>
                <w:rFonts w:ascii="Fira Sans" w:hAnsi="Fira Sans" w:cs="Arial"/>
                <w:color w:val="000000" w:themeColor="text1"/>
                <w:sz w:val="20"/>
                <w:lang w:val="en-GB"/>
              </w:rPr>
              <w:t>17</w:t>
            </w:r>
            <w:r w:rsidRPr="00145E8D">
              <w:rPr>
                <w:rFonts w:ascii="Fira Sans" w:hAnsi="Fira Sans" w:cs="Arial"/>
                <w:color w:val="000000" w:themeColor="text1"/>
                <w:sz w:val="20"/>
                <w:lang w:val="en-GB"/>
              </w:rPr>
              <w:t xml:space="preserve">) </w:t>
            </w:r>
            <w:r w:rsidR="00F765CE">
              <w:rPr>
                <w:rFonts w:ascii="Fira Sans" w:hAnsi="Fira Sans" w:cs="Arial"/>
                <w:color w:val="000000" w:themeColor="text1"/>
                <w:sz w:val="20"/>
                <w:lang w:val="en-GB"/>
              </w:rPr>
              <w:t>853 52 10</w:t>
            </w:r>
          </w:p>
          <w:p w14:paraId="7A3DC999" w14:textId="77777777" w:rsidR="000470AA" w:rsidRPr="00145E8D" w:rsidRDefault="000470AA" w:rsidP="009A5961">
            <w:pPr>
              <w:pStyle w:val="Nagwek3"/>
              <w:spacing w:before="0" w:line="240" w:lineRule="auto"/>
              <w:ind w:left="-108"/>
              <w:rPr>
                <w:rFonts w:ascii="Fira Sans" w:hAnsi="Fira Sans"/>
                <w:b/>
                <w:color w:val="000000" w:themeColor="text1"/>
                <w:sz w:val="20"/>
                <w:szCs w:val="20"/>
                <w:lang w:val="en-GB"/>
              </w:rPr>
            </w:pPr>
          </w:p>
        </w:tc>
        <w:tc>
          <w:tcPr>
            <w:tcW w:w="3728" w:type="dxa"/>
          </w:tcPr>
          <w:p w14:paraId="2F6BE2AD" w14:textId="77777777" w:rsidR="00AC3FCE" w:rsidRPr="00145E8D" w:rsidRDefault="001D2736" w:rsidP="00E23337">
            <w:pPr>
              <w:spacing w:before="0" w:after="0" w:line="276" w:lineRule="auto"/>
              <w:rPr>
                <w:rFonts w:cs="Arial"/>
                <w:b/>
                <w:color w:val="000000" w:themeColor="text1"/>
                <w:sz w:val="20"/>
                <w:lang w:val="en-GB"/>
              </w:rPr>
            </w:pPr>
            <w:r w:rsidRPr="00145E8D">
              <w:rPr>
                <w:rFonts w:cs="Arial"/>
                <w:color w:val="000000" w:themeColor="text1"/>
                <w:sz w:val="20"/>
                <w:lang w:val="en-GB"/>
              </w:rPr>
              <w:t>Issued by</w:t>
            </w:r>
            <w:r w:rsidR="000470AA" w:rsidRPr="00145E8D">
              <w:rPr>
                <w:rFonts w:cs="Arial"/>
                <w:color w:val="000000" w:themeColor="text1"/>
                <w:sz w:val="20"/>
                <w:lang w:val="en-GB"/>
              </w:rPr>
              <w:t>:</w:t>
            </w:r>
            <w:r w:rsidR="000470AA" w:rsidRPr="00145E8D">
              <w:rPr>
                <w:rFonts w:cs="Arial"/>
                <w:color w:val="000000" w:themeColor="text1"/>
                <w:sz w:val="20"/>
                <w:lang w:val="en-GB"/>
              </w:rPr>
              <w:br/>
            </w:r>
            <w:r w:rsidR="00AC3FCE" w:rsidRPr="00145E8D">
              <w:rPr>
                <w:rFonts w:cs="Arial"/>
                <w:b/>
                <w:color w:val="000000" w:themeColor="text1"/>
                <w:sz w:val="20"/>
                <w:lang w:val="en-GB"/>
              </w:rPr>
              <w:t xml:space="preserve">The </w:t>
            </w:r>
            <w:proofErr w:type="spellStart"/>
            <w:r w:rsidR="00AC3FCE" w:rsidRPr="00145E8D">
              <w:rPr>
                <w:rFonts w:cs="Arial"/>
                <w:b/>
                <w:color w:val="000000" w:themeColor="text1"/>
                <w:sz w:val="20"/>
                <w:lang w:val="en-GB"/>
              </w:rPr>
              <w:t>Spokeperson</w:t>
            </w:r>
            <w:proofErr w:type="spellEnd"/>
            <w:r w:rsidRPr="00145E8D">
              <w:rPr>
                <w:rFonts w:cs="Arial"/>
                <w:b/>
                <w:color w:val="000000" w:themeColor="text1"/>
                <w:sz w:val="20"/>
                <w:lang w:val="en-GB"/>
              </w:rPr>
              <w:t xml:space="preserve"> </w:t>
            </w:r>
            <w:r w:rsidR="00AC3FCE" w:rsidRPr="00145E8D">
              <w:rPr>
                <w:rFonts w:cs="Arial"/>
                <w:b/>
                <w:color w:val="000000" w:themeColor="text1"/>
                <w:sz w:val="20"/>
                <w:lang w:val="en-GB"/>
              </w:rPr>
              <w:t>for</w:t>
            </w:r>
            <w:r w:rsidRPr="00145E8D">
              <w:rPr>
                <w:rFonts w:cs="Arial"/>
                <w:b/>
                <w:color w:val="000000" w:themeColor="text1"/>
                <w:sz w:val="20"/>
                <w:lang w:val="en-GB"/>
              </w:rPr>
              <w:t xml:space="preserve"> the President</w:t>
            </w:r>
            <w:r w:rsidR="00AC3FCE" w:rsidRPr="00145E8D">
              <w:rPr>
                <w:rFonts w:cs="Arial"/>
                <w:b/>
                <w:color w:val="000000" w:themeColor="text1"/>
                <w:sz w:val="20"/>
                <w:lang w:val="en-GB"/>
              </w:rPr>
              <w:t xml:space="preserve"> </w:t>
            </w:r>
          </w:p>
          <w:p w14:paraId="58E3D67F" w14:textId="77777777" w:rsidR="000470AA" w:rsidRPr="00145E8D" w:rsidRDefault="002D5D08" w:rsidP="00E23337">
            <w:pPr>
              <w:spacing w:before="0" w:after="0" w:line="276" w:lineRule="auto"/>
              <w:rPr>
                <w:rFonts w:cs="Arial"/>
                <w:b/>
                <w:color w:val="000000" w:themeColor="text1"/>
                <w:sz w:val="20"/>
                <w:lang w:val="en-GB"/>
              </w:rPr>
            </w:pPr>
            <w:r w:rsidRPr="00145E8D">
              <w:rPr>
                <w:rFonts w:cs="Arial"/>
                <w:b/>
                <w:color w:val="000000" w:themeColor="text1"/>
                <w:sz w:val="20"/>
                <w:lang w:val="en-GB"/>
              </w:rPr>
              <w:t>o</w:t>
            </w:r>
            <w:r w:rsidR="00AC3FCE" w:rsidRPr="00145E8D">
              <w:rPr>
                <w:rFonts w:cs="Arial"/>
                <w:b/>
                <w:color w:val="000000" w:themeColor="text1"/>
                <w:sz w:val="20"/>
                <w:lang w:val="en-GB"/>
              </w:rPr>
              <w:t>f</w:t>
            </w:r>
            <w:r w:rsidRPr="00145E8D">
              <w:rPr>
                <w:rFonts w:cs="Arial"/>
                <w:b/>
                <w:color w:val="000000" w:themeColor="text1"/>
                <w:sz w:val="20"/>
                <w:lang w:val="en-GB"/>
              </w:rPr>
              <w:t xml:space="preserve"> </w:t>
            </w:r>
            <w:r w:rsidR="00AC3FCE" w:rsidRPr="00145E8D">
              <w:rPr>
                <w:rFonts w:cs="Arial"/>
                <w:b/>
                <w:color w:val="000000" w:themeColor="text1"/>
                <w:sz w:val="20"/>
                <w:lang w:val="en-GB"/>
              </w:rPr>
              <w:t xml:space="preserve"> Statistic</w:t>
            </w:r>
            <w:r w:rsidRPr="00145E8D">
              <w:rPr>
                <w:rFonts w:cs="Arial"/>
                <w:b/>
                <w:color w:val="000000" w:themeColor="text1"/>
                <w:sz w:val="20"/>
                <w:lang w:val="en-GB"/>
              </w:rPr>
              <w:t>s</w:t>
            </w:r>
            <w:r w:rsidR="00AC3FCE" w:rsidRPr="00145E8D">
              <w:rPr>
                <w:rFonts w:cs="Arial"/>
                <w:b/>
                <w:color w:val="000000" w:themeColor="text1"/>
                <w:sz w:val="20"/>
                <w:lang w:val="en-GB"/>
              </w:rPr>
              <w:t xml:space="preserve"> Poland</w:t>
            </w:r>
          </w:p>
          <w:p w14:paraId="37A8A333" w14:textId="77777777" w:rsidR="00FA4729" w:rsidRPr="00145E8D" w:rsidRDefault="00FA4729" w:rsidP="00FA4729">
            <w:pPr>
              <w:pStyle w:val="Nagwek3"/>
              <w:spacing w:before="0" w:line="240" w:lineRule="auto"/>
              <w:rPr>
                <w:rFonts w:ascii="Fira Sans" w:hAnsi="Fira Sans" w:cs="Arial"/>
                <w:b/>
                <w:color w:val="000000" w:themeColor="text1"/>
                <w:sz w:val="20"/>
                <w:szCs w:val="28"/>
                <w:lang w:val="en-GB"/>
              </w:rPr>
            </w:pPr>
            <w:r w:rsidRPr="00145E8D">
              <w:rPr>
                <w:rFonts w:ascii="Fira Sans" w:hAnsi="Fira Sans" w:cs="Arial"/>
                <w:b/>
                <w:color w:val="000000" w:themeColor="text1"/>
                <w:sz w:val="20"/>
                <w:szCs w:val="28"/>
                <w:lang w:val="en-GB"/>
              </w:rPr>
              <w:t>Karolina</w:t>
            </w:r>
            <w:r w:rsidRPr="00145E8D">
              <w:rPr>
                <w:rFonts w:ascii="Fira Sans" w:hAnsi="Fira Sans" w:cs="Arial"/>
                <w:b/>
                <w:color w:val="auto"/>
                <w:sz w:val="20"/>
                <w:szCs w:val="28"/>
                <w:lang w:val="en-GB"/>
              </w:rPr>
              <w:t xml:space="preserve"> Banaszek</w:t>
            </w:r>
          </w:p>
          <w:p w14:paraId="5B89A5EE" w14:textId="77777777" w:rsidR="00FA4729" w:rsidRPr="00145E8D" w:rsidRDefault="003A56B5" w:rsidP="00FA4729">
            <w:pPr>
              <w:pStyle w:val="Nagwek3"/>
              <w:spacing w:before="0" w:line="240" w:lineRule="auto"/>
              <w:rPr>
                <w:rFonts w:ascii="Fira Sans" w:hAnsi="Fira Sans" w:cs="Arial"/>
                <w:color w:val="000000" w:themeColor="text1"/>
                <w:sz w:val="20"/>
                <w:lang w:val="en-GB"/>
              </w:rPr>
            </w:pPr>
            <w:r w:rsidRPr="00145E8D">
              <w:rPr>
                <w:rFonts w:ascii="Fira Sans" w:hAnsi="Fira Sans" w:cs="Arial"/>
                <w:color w:val="000000" w:themeColor="text1"/>
                <w:sz w:val="20"/>
                <w:lang w:val="en-GB"/>
              </w:rPr>
              <w:t xml:space="preserve">Mobile: (+48) </w:t>
            </w:r>
            <w:r w:rsidR="00FA4729" w:rsidRPr="00145E8D">
              <w:rPr>
                <w:rFonts w:ascii="Fira Sans" w:hAnsi="Fira Sans" w:cs="Arial"/>
                <w:color w:val="000000" w:themeColor="text1"/>
                <w:sz w:val="20"/>
                <w:lang w:val="en-GB"/>
              </w:rPr>
              <w:t>695 255 011</w:t>
            </w:r>
          </w:p>
          <w:p w14:paraId="4AAF8376" w14:textId="77777777" w:rsidR="000470AA" w:rsidRPr="00145E8D" w:rsidRDefault="000470AA" w:rsidP="00D00796">
            <w:pPr>
              <w:pStyle w:val="Nagwek3"/>
              <w:spacing w:before="0" w:line="240" w:lineRule="auto"/>
              <w:rPr>
                <w:rFonts w:ascii="Fira Sans" w:hAnsi="Fira Sans" w:cs="Arial"/>
                <w:color w:val="000000" w:themeColor="text1"/>
                <w:sz w:val="20"/>
                <w:szCs w:val="20"/>
                <w:lang w:val="en-GB"/>
              </w:rPr>
            </w:pPr>
          </w:p>
        </w:tc>
      </w:tr>
    </w:tbl>
    <w:p w14:paraId="72A0ACAA" w14:textId="77777777" w:rsidR="000470AA" w:rsidRPr="00145E8D" w:rsidRDefault="000470AA" w:rsidP="000470AA">
      <w:pPr>
        <w:rPr>
          <w:sz w:val="20"/>
          <w:lang w:val="en-GB"/>
        </w:rPr>
      </w:pPr>
    </w:p>
    <w:p w14:paraId="190CE46E" w14:textId="77777777" w:rsidR="000470AA" w:rsidRPr="00145E8D"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6C4B14" w14:paraId="3E2B8C08" w14:textId="77777777" w:rsidTr="00A24587">
        <w:trPr>
          <w:trHeight w:val="610"/>
        </w:trPr>
        <w:tc>
          <w:tcPr>
            <w:tcW w:w="2721" w:type="pct"/>
            <w:vMerge w:val="restart"/>
          </w:tcPr>
          <w:p w14:paraId="1EA40E61" w14:textId="77777777" w:rsidR="000470AA" w:rsidRPr="00145E8D" w:rsidRDefault="001D2736" w:rsidP="00A24587">
            <w:pPr>
              <w:rPr>
                <w:b/>
                <w:sz w:val="20"/>
                <w:lang w:val="en-GB"/>
              </w:rPr>
            </w:pPr>
            <w:r w:rsidRPr="00145E8D">
              <w:rPr>
                <w:b/>
                <w:sz w:val="20"/>
                <w:lang w:val="en-GB"/>
              </w:rPr>
              <w:t>Press Office</w:t>
            </w:r>
          </w:p>
          <w:p w14:paraId="16C85E7B" w14:textId="77777777" w:rsidR="000470AA" w:rsidRPr="00145E8D" w:rsidRDefault="003A56B5" w:rsidP="00A24587">
            <w:pPr>
              <w:rPr>
                <w:sz w:val="20"/>
                <w:lang w:val="en-GB"/>
              </w:rPr>
            </w:pPr>
            <w:r w:rsidRPr="00145E8D">
              <w:rPr>
                <w:rFonts w:cs="Arial"/>
                <w:color w:val="000000" w:themeColor="text1"/>
                <w:sz w:val="20"/>
                <w:szCs w:val="24"/>
                <w:lang w:val="en-GB"/>
              </w:rPr>
              <w:t xml:space="preserve">Office: tel. (+48 22) </w:t>
            </w:r>
            <w:r w:rsidR="00D64203" w:rsidRPr="00145E8D">
              <w:rPr>
                <w:sz w:val="20"/>
                <w:lang w:val="en-GB"/>
              </w:rPr>
              <w:t xml:space="preserve">608 34 91, </w:t>
            </w:r>
            <w:r w:rsidR="000470AA" w:rsidRPr="00145E8D">
              <w:rPr>
                <w:sz w:val="20"/>
                <w:lang w:val="en-GB"/>
              </w:rPr>
              <w:t xml:space="preserve">608 38 04 </w:t>
            </w:r>
          </w:p>
          <w:p w14:paraId="1FDD53DA" w14:textId="77777777" w:rsidR="000470AA" w:rsidRPr="00145E8D" w:rsidRDefault="000470AA" w:rsidP="00A24587">
            <w:pPr>
              <w:rPr>
                <w:sz w:val="18"/>
                <w:lang w:val="en-GB"/>
              </w:rPr>
            </w:pPr>
            <w:r w:rsidRPr="00145E8D">
              <w:rPr>
                <w:b/>
                <w:sz w:val="20"/>
                <w:lang w:val="en-GB"/>
              </w:rPr>
              <w:t>e-mail:</w:t>
            </w:r>
            <w:r w:rsidRPr="00145E8D">
              <w:rPr>
                <w:sz w:val="20"/>
                <w:lang w:val="en-GB"/>
              </w:rPr>
              <w:t xml:space="preserve"> </w:t>
            </w:r>
            <w:hyperlink r:id="rId19" w:history="1">
              <w:r w:rsidRPr="00145E8D">
                <w:rPr>
                  <w:rStyle w:val="Hipercze"/>
                  <w:rFonts w:cstheme="minorBidi"/>
                  <w:b/>
                  <w:color w:val="auto"/>
                  <w:sz w:val="20"/>
                  <w:lang w:val="en-GB"/>
                </w:rPr>
                <w:t>obslugaprasowa@stat.gov.pl</w:t>
              </w:r>
            </w:hyperlink>
          </w:p>
        </w:tc>
        <w:tc>
          <w:tcPr>
            <w:tcW w:w="369" w:type="pct"/>
            <w:vAlign w:val="center"/>
          </w:tcPr>
          <w:p w14:paraId="08E68A65" w14:textId="77777777" w:rsidR="000470AA" w:rsidRPr="00145E8D" w:rsidRDefault="000470AA" w:rsidP="000470AA">
            <w:pPr>
              <w:rPr>
                <w:sz w:val="18"/>
                <w:lang w:val="en-GB"/>
              </w:rPr>
            </w:pPr>
            <w:r w:rsidRPr="00145E8D">
              <w:rPr>
                <w:noProof/>
                <w:sz w:val="20"/>
                <w:lang w:eastAsia="pl-PL"/>
              </w:rPr>
              <w:drawing>
                <wp:anchor distT="0" distB="0" distL="114300" distR="114300" simplePos="0" relativeHeight="251732992" behindDoc="0" locked="0" layoutInCell="1" allowOverlap="1" wp14:anchorId="44BE5BF4" wp14:editId="55DA7DF9">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0F580103" w14:textId="77777777" w:rsidR="000470AA" w:rsidRPr="00145E8D" w:rsidRDefault="000470AA" w:rsidP="000470AA">
            <w:pPr>
              <w:rPr>
                <w:sz w:val="18"/>
                <w:lang w:val="en-GB"/>
              </w:rPr>
            </w:pPr>
            <w:r w:rsidRPr="00145E8D">
              <w:rPr>
                <w:sz w:val="20"/>
                <w:lang w:val="en-GB"/>
              </w:rPr>
              <w:t>www.stat.gov.pl</w:t>
            </w:r>
            <w:r w:rsidR="001D2736" w:rsidRPr="00145E8D">
              <w:rPr>
                <w:sz w:val="20"/>
                <w:lang w:val="en-GB"/>
              </w:rPr>
              <w:t>/en/</w:t>
            </w:r>
          </w:p>
        </w:tc>
      </w:tr>
      <w:tr w:rsidR="000470AA" w:rsidRPr="00145E8D" w14:paraId="23691FDA" w14:textId="77777777" w:rsidTr="00A24587">
        <w:trPr>
          <w:trHeight w:val="436"/>
        </w:trPr>
        <w:tc>
          <w:tcPr>
            <w:tcW w:w="2721" w:type="pct"/>
            <w:vMerge/>
          </w:tcPr>
          <w:p w14:paraId="27A7F4BC" w14:textId="77777777" w:rsidR="000470AA" w:rsidRPr="00145E8D" w:rsidRDefault="000470AA" w:rsidP="00A24587">
            <w:pPr>
              <w:rPr>
                <w:sz w:val="18"/>
                <w:lang w:val="en-GB"/>
              </w:rPr>
            </w:pPr>
          </w:p>
        </w:tc>
        <w:tc>
          <w:tcPr>
            <w:tcW w:w="369" w:type="pct"/>
            <w:vAlign w:val="center"/>
          </w:tcPr>
          <w:p w14:paraId="7164A45D" w14:textId="77777777" w:rsidR="000470AA" w:rsidRPr="00145E8D" w:rsidRDefault="000470AA" w:rsidP="000470AA">
            <w:pPr>
              <w:rPr>
                <w:sz w:val="18"/>
                <w:lang w:val="en-GB"/>
              </w:rPr>
            </w:pPr>
            <w:r w:rsidRPr="00145E8D">
              <w:rPr>
                <w:noProof/>
                <w:sz w:val="20"/>
                <w:lang w:eastAsia="pl-PL"/>
              </w:rPr>
              <w:drawing>
                <wp:anchor distT="0" distB="0" distL="114300" distR="114300" simplePos="0" relativeHeight="251735040" behindDoc="0" locked="0" layoutInCell="1" allowOverlap="1" wp14:anchorId="3A1FAD99" wp14:editId="6C538EE3">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3D027C58" w14:textId="77777777" w:rsidR="000470AA" w:rsidRPr="00145E8D" w:rsidRDefault="001D2736" w:rsidP="000470AA">
            <w:pPr>
              <w:rPr>
                <w:sz w:val="18"/>
                <w:lang w:val="en-GB"/>
              </w:rPr>
            </w:pPr>
            <w:r w:rsidRPr="00145E8D">
              <w:rPr>
                <w:sz w:val="20"/>
                <w:lang w:val="en-GB"/>
              </w:rPr>
              <w:t>@</w:t>
            </w:r>
            <w:proofErr w:type="spellStart"/>
            <w:r w:rsidRPr="00145E8D">
              <w:rPr>
                <w:sz w:val="20"/>
                <w:lang w:val="en-GB"/>
              </w:rPr>
              <w:t>StatPoland</w:t>
            </w:r>
            <w:proofErr w:type="spellEnd"/>
          </w:p>
        </w:tc>
      </w:tr>
      <w:tr w:rsidR="000470AA" w:rsidRPr="00145E8D" w14:paraId="52762123" w14:textId="77777777" w:rsidTr="00A24587">
        <w:trPr>
          <w:trHeight w:val="436"/>
        </w:trPr>
        <w:tc>
          <w:tcPr>
            <w:tcW w:w="2721" w:type="pct"/>
            <w:vMerge/>
          </w:tcPr>
          <w:p w14:paraId="12F7A68B" w14:textId="77777777" w:rsidR="000470AA" w:rsidRPr="00145E8D" w:rsidRDefault="000470AA" w:rsidP="00A24587">
            <w:pPr>
              <w:rPr>
                <w:sz w:val="18"/>
                <w:lang w:val="en-GB"/>
              </w:rPr>
            </w:pPr>
          </w:p>
        </w:tc>
        <w:tc>
          <w:tcPr>
            <w:tcW w:w="369" w:type="pct"/>
            <w:vAlign w:val="center"/>
          </w:tcPr>
          <w:p w14:paraId="41BCECC0" w14:textId="77777777" w:rsidR="000470AA" w:rsidRPr="00145E8D" w:rsidRDefault="000470AA" w:rsidP="000470AA">
            <w:pPr>
              <w:rPr>
                <w:sz w:val="18"/>
                <w:lang w:val="en-GB"/>
              </w:rPr>
            </w:pPr>
            <w:r w:rsidRPr="00145E8D">
              <w:rPr>
                <w:noProof/>
                <w:sz w:val="20"/>
                <w:lang w:eastAsia="pl-PL"/>
              </w:rPr>
              <w:drawing>
                <wp:anchor distT="0" distB="0" distL="114300" distR="114300" simplePos="0" relativeHeight="251734016" behindDoc="0" locked="0" layoutInCell="1" allowOverlap="1" wp14:anchorId="5C9D7F2B" wp14:editId="21247342">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07D35BD1" w14:textId="77777777" w:rsidR="000470AA" w:rsidRPr="00145E8D" w:rsidRDefault="000470AA" w:rsidP="000470AA">
            <w:pPr>
              <w:rPr>
                <w:sz w:val="20"/>
                <w:lang w:val="en-GB"/>
              </w:rPr>
            </w:pPr>
            <w:r w:rsidRPr="00145E8D">
              <w:rPr>
                <w:sz w:val="20"/>
                <w:lang w:val="en-GB"/>
              </w:rPr>
              <w:t>@</w:t>
            </w:r>
            <w:proofErr w:type="spellStart"/>
            <w:r w:rsidRPr="00145E8D">
              <w:rPr>
                <w:sz w:val="20"/>
                <w:lang w:val="en-GB"/>
              </w:rPr>
              <w:t>GlownyUrzadStatystyczny</w:t>
            </w:r>
            <w:proofErr w:type="spellEnd"/>
          </w:p>
        </w:tc>
      </w:tr>
    </w:tbl>
    <w:p w14:paraId="18E22F1B" w14:textId="77777777" w:rsidR="00D261A2" w:rsidRPr="00145E8D" w:rsidRDefault="001448A7" w:rsidP="00E76D26">
      <w:pPr>
        <w:rPr>
          <w:sz w:val="18"/>
          <w:lang w:val="en-GB"/>
        </w:rPr>
      </w:pPr>
      <w:r w:rsidRPr="00145E8D">
        <w:rPr>
          <w:noProof/>
          <w:sz w:val="18"/>
          <w:lang w:eastAsia="pl-PL"/>
        </w:rPr>
        <mc:AlternateContent>
          <mc:Choice Requires="wps">
            <w:drawing>
              <wp:anchor distT="45720" distB="45720" distL="114300" distR="114300" simplePos="0" relativeHeight="251691008" behindDoc="0" locked="0" layoutInCell="1" allowOverlap="1" wp14:anchorId="0E666E44" wp14:editId="0AA0DE87">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4204E355" w14:textId="77777777" w:rsidR="00976BED" w:rsidRDefault="00976BED" w:rsidP="00AB6D25">
                            <w:pPr>
                              <w:rPr>
                                <w:b/>
                              </w:rPr>
                            </w:pPr>
                          </w:p>
                          <w:p w14:paraId="50920CBE" w14:textId="77777777" w:rsidR="00976BED" w:rsidRPr="00976BED" w:rsidRDefault="00976BED" w:rsidP="00AB6D25">
                            <w:pPr>
                              <w:rPr>
                                <w:b/>
                                <w:lang w:val="en-GB"/>
                              </w:rPr>
                            </w:pPr>
                            <w:r w:rsidRPr="00976BED">
                              <w:rPr>
                                <w:b/>
                                <w:lang w:val="en-GB"/>
                              </w:rPr>
                              <w:t>Related information</w:t>
                            </w:r>
                          </w:p>
                          <w:p w14:paraId="0DFFBF33" w14:textId="2E9E77C0" w:rsidR="00976BED" w:rsidRPr="006C4B14" w:rsidRDefault="00AA71AB" w:rsidP="00AB6D25">
                            <w:pPr>
                              <w:rPr>
                                <w:rStyle w:val="Hipercze"/>
                                <w:rFonts w:cs="Arial"/>
                                <w:color w:val="001D77"/>
                                <w:sz w:val="18"/>
                                <w:szCs w:val="30"/>
                                <w:shd w:val="clear" w:color="auto" w:fill="F0F0F0"/>
                                <w:lang w:val="en-GB"/>
                              </w:rPr>
                            </w:pPr>
                            <w:r w:rsidRPr="006D18F8">
                              <w:rPr>
                                <w:rStyle w:val="Hipercze"/>
                                <w:rFonts w:cs="Arial"/>
                                <w:color w:val="001D77"/>
                                <w:sz w:val="18"/>
                                <w:szCs w:val="30"/>
                                <w:shd w:val="clear" w:color="auto" w:fill="F0F0F0"/>
                              </w:rPr>
                              <w:fldChar w:fldCharType="begin"/>
                            </w:r>
                            <w:r w:rsidRPr="006C4B14">
                              <w:rPr>
                                <w:rStyle w:val="Hipercze"/>
                                <w:rFonts w:cs="Arial"/>
                                <w:color w:val="001D77"/>
                                <w:sz w:val="18"/>
                                <w:szCs w:val="30"/>
                                <w:shd w:val="clear" w:color="auto" w:fill="F0F0F0"/>
                                <w:lang w:val="en-GB"/>
                              </w:rPr>
                              <w:instrText xml:space="preserve"> HYPERLINK "https://stat.gov.pl/en/topics/culture-tourism-sport/tourism/tourism-in-2018,1,16.html" </w:instrText>
                            </w:r>
                            <w:r w:rsidRPr="006D18F8">
                              <w:rPr>
                                <w:rStyle w:val="Hipercze"/>
                                <w:rFonts w:cs="Arial"/>
                                <w:color w:val="001D77"/>
                                <w:sz w:val="18"/>
                                <w:szCs w:val="30"/>
                                <w:shd w:val="clear" w:color="auto" w:fill="F0F0F0"/>
                              </w:rPr>
                              <w:fldChar w:fldCharType="separate"/>
                            </w:r>
                            <w:r w:rsidR="00166477" w:rsidRPr="006C4B14">
                              <w:rPr>
                                <w:rStyle w:val="Hipercze"/>
                                <w:rFonts w:cs="Arial"/>
                                <w:color w:val="001D77"/>
                                <w:sz w:val="18"/>
                                <w:szCs w:val="30"/>
                                <w:shd w:val="clear" w:color="auto" w:fill="F0F0F0"/>
                                <w:lang w:val="en-GB"/>
                              </w:rPr>
                              <w:t>Tourism in 2018</w:t>
                            </w:r>
                          </w:p>
                          <w:p w14:paraId="2756C9C4" w14:textId="74B83A40" w:rsidR="00976BED" w:rsidRPr="00976BED" w:rsidRDefault="00AA71AB" w:rsidP="00AB6D25">
                            <w:pPr>
                              <w:rPr>
                                <w:b/>
                                <w:color w:val="000000" w:themeColor="text1"/>
                                <w:szCs w:val="24"/>
                                <w:lang w:val="en-GB"/>
                              </w:rPr>
                            </w:pPr>
                            <w:r w:rsidRPr="006D18F8">
                              <w:rPr>
                                <w:rStyle w:val="Hipercze"/>
                                <w:rFonts w:cs="Arial"/>
                                <w:color w:val="001D77"/>
                                <w:sz w:val="18"/>
                                <w:szCs w:val="30"/>
                                <w:shd w:val="clear" w:color="auto" w:fill="F0F0F0"/>
                              </w:rPr>
                              <w:fldChar w:fldCharType="end"/>
                            </w:r>
                            <w:r w:rsidR="00976BED" w:rsidRPr="00976BED">
                              <w:rPr>
                                <w:b/>
                                <w:color w:val="000000" w:themeColor="text1"/>
                                <w:szCs w:val="24"/>
                                <w:lang w:val="en-GB"/>
                              </w:rPr>
                              <w:t>Data available in databases</w:t>
                            </w:r>
                          </w:p>
                          <w:p w14:paraId="47872D8F" w14:textId="6DFC0AD5" w:rsidR="00976BED" w:rsidRPr="006C4B14" w:rsidRDefault="006C4B14" w:rsidP="00673C26">
                            <w:pPr>
                              <w:rPr>
                                <w:rStyle w:val="Hipercze"/>
                                <w:rFonts w:cs="Arial"/>
                                <w:color w:val="001D77"/>
                                <w:sz w:val="18"/>
                                <w:szCs w:val="30"/>
                                <w:shd w:val="clear" w:color="auto" w:fill="F0F0F0"/>
                                <w:lang w:val="en-GB"/>
                              </w:rPr>
                            </w:pPr>
                            <w:hyperlink r:id="rId23" w:history="1">
                              <w:r w:rsidR="00166477" w:rsidRPr="006C4B14">
                                <w:rPr>
                                  <w:rStyle w:val="Hipercze"/>
                                  <w:rFonts w:cs="Arial"/>
                                  <w:color w:val="001D77"/>
                                  <w:sz w:val="18"/>
                                  <w:szCs w:val="30"/>
                                  <w:shd w:val="clear" w:color="auto" w:fill="F0F0F0"/>
                                  <w:lang w:val="en-GB"/>
                                </w:rPr>
                                <w:t>Eurostat database</w:t>
                              </w:r>
                            </w:hyperlink>
                          </w:p>
                          <w:p w14:paraId="27EB9A1F" w14:textId="037A4E2A" w:rsidR="00976BED" w:rsidRPr="006C4B14" w:rsidRDefault="006C4B14" w:rsidP="00673C26">
                            <w:pPr>
                              <w:rPr>
                                <w:rStyle w:val="Hipercze"/>
                                <w:rFonts w:cs="Arial"/>
                                <w:color w:val="001D77"/>
                                <w:sz w:val="18"/>
                                <w:szCs w:val="30"/>
                                <w:shd w:val="clear" w:color="auto" w:fill="F0F0F0"/>
                                <w:lang w:val="en-GB"/>
                              </w:rPr>
                            </w:pPr>
                            <w:hyperlink r:id="rId24" w:history="1">
                              <w:r w:rsidR="00166477" w:rsidRPr="006C4B14">
                                <w:rPr>
                                  <w:rStyle w:val="Hipercze"/>
                                  <w:rFonts w:cs="Arial"/>
                                  <w:color w:val="001D77"/>
                                  <w:sz w:val="18"/>
                                  <w:szCs w:val="30"/>
                                  <w:shd w:val="clear" w:color="auto" w:fill="F0F0F0"/>
                                  <w:lang w:val="en-GB"/>
                                </w:rPr>
                                <w:t>Local Data Bank</w:t>
                              </w:r>
                            </w:hyperlink>
                          </w:p>
                          <w:p w14:paraId="14846291" w14:textId="77777777" w:rsidR="00976BED" w:rsidRPr="00976BED" w:rsidRDefault="00976BED" w:rsidP="00AB6D25">
                            <w:pPr>
                              <w:rPr>
                                <w:b/>
                                <w:color w:val="000000" w:themeColor="text1"/>
                                <w:szCs w:val="24"/>
                                <w:lang w:val="en-GB"/>
                              </w:rPr>
                            </w:pPr>
                          </w:p>
                          <w:p w14:paraId="35C61D35" w14:textId="77777777" w:rsidR="00976BED" w:rsidRPr="00976BED" w:rsidRDefault="00976BED" w:rsidP="00AB6D25">
                            <w:pPr>
                              <w:rPr>
                                <w:b/>
                                <w:color w:val="000000" w:themeColor="text1"/>
                                <w:szCs w:val="24"/>
                                <w:lang w:val="en-GB"/>
                              </w:rPr>
                            </w:pPr>
                            <w:r w:rsidRPr="00976BED">
                              <w:rPr>
                                <w:b/>
                                <w:color w:val="000000" w:themeColor="text1"/>
                                <w:szCs w:val="24"/>
                                <w:lang w:val="en-GB"/>
                              </w:rPr>
                              <w:t>Terms used in official statistics</w:t>
                            </w:r>
                          </w:p>
                          <w:p w14:paraId="0C5B4D81" w14:textId="3DCDCC03" w:rsidR="00C92CCD" w:rsidRPr="006C4B14" w:rsidRDefault="00AA71AB" w:rsidP="00673C26">
                            <w:pPr>
                              <w:rPr>
                                <w:rStyle w:val="Hipercze"/>
                                <w:rFonts w:cs="Arial"/>
                                <w:color w:val="001D77"/>
                                <w:sz w:val="18"/>
                                <w:szCs w:val="30"/>
                                <w:shd w:val="clear" w:color="auto" w:fill="F0F0F0"/>
                                <w:lang w:val="en-GB"/>
                              </w:rPr>
                            </w:pPr>
                            <w:r w:rsidRPr="006D18F8">
                              <w:rPr>
                                <w:rStyle w:val="Hipercze"/>
                                <w:rFonts w:cs="Arial"/>
                                <w:color w:val="001D77"/>
                                <w:szCs w:val="30"/>
                                <w:shd w:val="clear" w:color="auto" w:fill="F0F0F0"/>
                              </w:rPr>
                              <w:fldChar w:fldCharType="begin"/>
                            </w:r>
                            <w:r w:rsidRPr="006C4B14">
                              <w:rPr>
                                <w:rStyle w:val="Hipercze"/>
                                <w:rFonts w:cs="Arial"/>
                                <w:color w:val="001D77"/>
                                <w:szCs w:val="30"/>
                                <w:shd w:val="clear" w:color="auto" w:fill="F0F0F0"/>
                                <w:lang w:val="en-GB"/>
                              </w:rPr>
                              <w:instrText xml:space="preserve"> HYPERLINK "https://stat.gov.pl/en/metainformations/glossary/terms-used-in-official-statistics/539,term.html" \o "Tourist" </w:instrText>
                            </w:r>
                            <w:r w:rsidRPr="006D18F8">
                              <w:rPr>
                                <w:rStyle w:val="Hipercze"/>
                                <w:rFonts w:cs="Arial"/>
                                <w:color w:val="001D77"/>
                                <w:szCs w:val="30"/>
                                <w:shd w:val="clear" w:color="auto" w:fill="F0F0F0"/>
                              </w:rPr>
                              <w:fldChar w:fldCharType="separate"/>
                            </w:r>
                            <w:r w:rsidR="00C92CCD" w:rsidRPr="006C4B14">
                              <w:rPr>
                                <w:rStyle w:val="Hipercze"/>
                                <w:rFonts w:cs="Arial"/>
                                <w:color w:val="001D77"/>
                                <w:sz w:val="18"/>
                                <w:szCs w:val="30"/>
                                <w:shd w:val="clear" w:color="auto" w:fill="F0F0F0"/>
                                <w:lang w:val="en-GB"/>
                              </w:rPr>
                              <w:t>Tourist</w:t>
                            </w:r>
                          </w:p>
                          <w:p w14:paraId="25B8F9C6" w14:textId="32DBA91B" w:rsidR="00C92CCD" w:rsidRPr="006C4B14" w:rsidRDefault="00AA71AB" w:rsidP="00673C26">
                            <w:pPr>
                              <w:rPr>
                                <w:rStyle w:val="Hipercze"/>
                                <w:rFonts w:cs="Arial"/>
                                <w:color w:val="001D77"/>
                                <w:sz w:val="18"/>
                                <w:szCs w:val="30"/>
                                <w:shd w:val="clear" w:color="auto" w:fill="F0F0F0"/>
                                <w:lang w:val="en-GB"/>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C4B14">
                              <w:rPr>
                                <w:rStyle w:val="Hipercze"/>
                                <w:rFonts w:cs="Arial"/>
                                <w:color w:val="001D77"/>
                                <w:szCs w:val="30"/>
                                <w:shd w:val="clear" w:color="auto" w:fill="F0F0F0"/>
                                <w:lang w:val="en-GB"/>
                              </w:rPr>
                              <w:instrText xml:space="preserve"> HYPERLINK "https://stat.gov.pl/en/metainformations/glossary/terms-used-in-official-statistics/245,term.html" \o "Tourist accommodation establishment" </w:instrText>
                            </w:r>
                            <w:r w:rsidRPr="006D18F8">
                              <w:rPr>
                                <w:rStyle w:val="Hipercze"/>
                                <w:rFonts w:cs="Arial"/>
                                <w:color w:val="001D77"/>
                                <w:szCs w:val="30"/>
                                <w:shd w:val="clear" w:color="auto" w:fill="F0F0F0"/>
                              </w:rPr>
                              <w:fldChar w:fldCharType="separate"/>
                            </w:r>
                            <w:r w:rsidR="00C92CCD" w:rsidRPr="006C4B14">
                              <w:rPr>
                                <w:rStyle w:val="Hipercze"/>
                                <w:rFonts w:cs="Arial"/>
                                <w:color w:val="001D77"/>
                                <w:sz w:val="18"/>
                                <w:szCs w:val="30"/>
                                <w:shd w:val="clear" w:color="auto" w:fill="F0F0F0"/>
                                <w:lang w:val="en-GB"/>
                              </w:rPr>
                              <w:t>Tourist accommodation establishment</w:t>
                            </w:r>
                          </w:p>
                          <w:p w14:paraId="4452E557" w14:textId="1237EB1D" w:rsidR="00C92CCD" w:rsidRPr="006C4B14" w:rsidRDefault="00AA71AB" w:rsidP="00673C26">
                            <w:pPr>
                              <w:rPr>
                                <w:rStyle w:val="Hipercze"/>
                                <w:rFonts w:cs="Arial"/>
                                <w:color w:val="001D77"/>
                                <w:sz w:val="18"/>
                                <w:szCs w:val="30"/>
                                <w:shd w:val="clear" w:color="auto" w:fill="F0F0F0"/>
                                <w:lang w:val="en-GB"/>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C4B14">
                              <w:rPr>
                                <w:rStyle w:val="Hipercze"/>
                                <w:rFonts w:cs="Arial"/>
                                <w:color w:val="001D77"/>
                                <w:szCs w:val="30"/>
                                <w:shd w:val="clear" w:color="auto" w:fill="F0F0F0"/>
                                <w:lang w:val="en-GB"/>
                              </w:rPr>
                              <w:instrText xml:space="preserve"> HYPERLINK "https://stat.gov.pl/en/metainformations/glossary/terms-used-in-official-statistics/1231,term.html" \o "Bed places in tourist accommodation establishments." </w:instrText>
                            </w:r>
                            <w:r w:rsidRPr="006D18F8">
                              <w:rPr>
                                <w:rStyle w:val="Hipercze"/>
                                <w:rFonts w:cs="Arial"/>
                                <w:color w:val="001D77"/>
                                <w:szCs w:val="30"/>
                                <w:shd w:val="clear" w:color="auto" w:fill="F0F0F0"/>
                              </w:rPr>
                              <w:fldChar w:fldCharType="separate"/>
                            </w:r>
                            <w:r w:rsidR="00C92CCD" w:rsidRPr="006C4B14">
                              <w:rPr>
                                <w:rStyle w:val="Hipercze"/>
                                <w:rFonts w:cs="Arial"/>
                                <w:color w:val="001D77"/>
                                <w:sz w:val="18"/>
                                <w:szCs w:val="30"/>
                                <w:shd w:val="clear" w:color="auto" w:fill="F0F0F0"/>
                                <w:lang w:val="en-GB"/>
                              </w:rPr>
                              <w:t>Bed places in tourist accommodation establishments</w:t>
                            </w:r>
                          </w:p>
                          <w:p w14:paraId="3B350E3A" w14:textId="395E0271" w:rsidR="00166477" w:rsidRPr="006C4B14" w:rsidRDefault="00AA71AB" w:rsidP="00673C26">
                            <w:pPr>
                              <w:rPr>
                                <w:rStyle w:val="Hipercze"/>
                                <w:rFonts w:cs="Arial"/>
                                <w:color w:val="001D77"/>
                                <w:sz w:val="18"/>
                                <w:szCs w:val="30"/>
                                <w:shd w:val="clear" w:color="auto" w:fill="F0F0F0"/>
                                <w:lang w:val="en-GB"/>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C4B14">
                              <w:rPr>
                                <w:rStyle w:val="Hipercze"/>
                                <w:rFonts w:cs="Arial"/>
                                <w:color w:val="001D77"/>
                                <w:szCs w:val="30"/>
                                <w:shd w:val="clear" w:color="auto" w:fill="F0F0F0"/>
                                <w:lang w:val="en-GB"/>
                              </w:rPr>
                              <w:instrText xml:space="preserve"> HYPERLINK "https://stat.gov.pl/en/metainformations/glossary/terms-used-in-official-statistics/1233,term.html" \o "Nights spent (overnight stays) in tourist accommodation establishments." </w:instrText>
                            </w:r>
                            <w:r w:rsidRPr="006D18F8">
                              <w:rPr>
                                <w:rStyle w:val="Hipercze"/>
                                <w:rFonts w:cs="Arial"/>
                                <w:color w:val="001D77"/>
                                <w:szCs w:val="30"/>
                                <w:shd w:val="clear" w:color="auto" w:fill="F0F0F0"/>
                              </w:rPr>
                              <w:fldChar w:fldCharType="separate"/>
                            </w:r>
                            <w:r w:rsidR="00C92CCD" w:rsidRPr="006C4B14">
                              <w:rPr>
                                <w:rStyle w:val="Hipercze"/>
                                <w:rFonts w:cs="Arial"/>
                                <w:color w:val="001D77"/>
                                <w:sz w:val="18"/>
                                <w:szCs w:val="30"/>
                                <w:shd w:val="clear" w:color="auto" w:fill="F0F0F0"/>
                                <w:lang w:val="en-GB"/>
                              </w:rPr>
                              <w:t>Nights spent (overnight stays) in tourist accommodation establishments.</w:t>
                            </w:r>
                          </w:p>
                          <w:p w14:paraId="7D6F95D1" w14:textId="3B1D0265" w:rsidR="00C92CCD" w:rsidRPr="006D18F8" w:rsidRDefault="00AA71AB" w:rsidP="00673C26">
                            <w:pPr>
                              <w:rPr>
                                <w:rStyle w:val="Hipercze"/>
                                <w:rFonts w:cs="Arial"/>
                                <w:color w:val="001D77"/>
                                <w:sz w:val="18"/>
                                <w:szCs w:val="30"/>
                                <w:shd w:val="clear" w:color="auto" w:fill="F0F0F0"/>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D18F8">
                              <w:rPr>
                                <w:rStyle w:val="Hipercze"/>
                                <w:rFonts w:cs="Arial"/>
                                <w:color w:val="001D77"/>
                                <w:szCs w:val="30"/>
                                <w:shd w:val="clear" w:color="auto" w:fill="F0F0F0"/>
                              </w:rPr>
                              <w:instrText xml:space="preserve"> HYPERLINK "https://stat.gov.pl/en/metainformations/glossary/terms-used-in-official-statistics/3487,term.html" \o "Duration of the stay" </w:instrText>
                            </w:r>
                            <w:r w:rsidRPr="006D18F8">
                              <w:rPr>
                                <w:rStyle w:val="Hipercze"/>
                                <w:rFonts w:cs="Arial"/>
                                <w:color w:val="001D77"/>
                                <w:szCs w:val="30"/>
                                <w:shd w:val="clear" w:color="auto" w:fill="F0F0F0"/>
                              </w:rPr>
                              <w:fldChar w:fldCharType="separate"/>
                            </w:r>
                            <w:proofErr w:type="spellStart"/>
                            <w:r w:rsidR="00C92CCD" w:rsidRPr="006D18F8">
                              <w:rPr>
                                <w:rStyle w:val="Hipercze"/>
                                <w:rFonts w:cs="Arial"/>
                                <w:color w:val="001D77"/>
                                <w:sz w:val="18"/>
                                <w:szCs w:val="30"/>
                                <w:shd w:val="clear" w:color="auto" w:fill="F0F0F0"/>
                              </w:rPr>
                              <w:t>Duration</w:t>
                            </w:r>
                            <w:proofErr w:type="spellEnd"/>
                            <w:r w:rsidR="00C92CCD" w:rsidRPr="006D18F8">
                              <w:rPr>
                                <w:rStyle w:val="Hipercze"/>
                                <w:rFonts w:cs="Arial"/>
                                <w:color w:val="001D77"/>
                                <w:sz w:val="18"/>
                                <w:szCs w:val="30"/>
                                <w:shd w:val="clear" w:color="auto" w:fill="F0F0F0"/>
                              </w:rPr>
                              <w:t xml:space="preserve"> of the </w:t>
                            </w:r>
                            <w:proofErr w:type="spellStart"/>
                            <w:r w:rsidR="00C92CCD" w:rsidRPr="006D18F8">
                              <w:rPr>
                                <w:rStyle w:val="Hipercze"/>
                                <w:rFonts w:cs="Arial"/>
                                <w:color w:val="001D77"/>
                                <w:sz w:val="18"/>
                                <w:szCs w:val="30"/>
                                <w:shd w:val="clear" w:color="auto" w:fill="F0F0F0"/>
                              </w:rPr>
                              <w:t>stay</w:t>
                            </w:r>
                            <w:proofErr w:type="spellEnd"/>
                          </w:p>
                          <w:p w14:paraId="3CD36F75" w14:textId="121EF00B" w:rsidR="00976BED" w:rsidRPr="00976BED" w:rsidRDefault="00AA71AB" w:rsidP="00AB6D25">
                            <w:pPr>
                              <w:rPr>
                                <w:b/>
                                <w:color w:val="000000" w:themeColor="text1"/>
                                <w:szCs w:val="24"/>
                                <w:lang w:val="en-GB"/>
                              </w:rPr>
                            </w:pPr>
                            <w:r w:rsidRPr="006D18F8">
                              <w:rPr>
                                <w:rStyle w:val="Hipercze"/>
                                <w:rFonts w:cs="Arial"/>
                                <w:color w:val="001D77"/>
                                <w:szCs w:val="30"/>
                                <w:shd w:val="clear" w:color="auto" w:fill="F0F0F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66E44" id="_x0000_s1031"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vg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tTYpFFswwbr&#10;R9Le4bgFtLV0aNH94qynDai4/7kDJznTny31bzGdz+PKJGNevJ+R4U49m1MPWEFQFQ+cjcd1SGsW&#10;qVq8oj43KnXghcmBMk12kvCwhXF1Tu0U9fKvWD0B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EEPi+A+AgAAcwQAAA4A&#10;AAAAAAAAAAAAAAAALgIAAGRycy9lMm9Eb2MueG1sUEsBAi0AFAAGAAgAAAAhAG7AMXzfAAAACQEA&#10;AA8AAAAAAAAAAAAAAAAAmAQAAGRycy9kb3ducmV2LnhtbFBLBQYAAAAABAAEAPMAAACkBQAAAAA=&#10;" fillcolor="#f2f2f2 [3052]" strokecolor="white [3212]">
                <v:textbox>
                  <w:txbxContent>
                    <w:p w14:paraId="4204E355" w14:textId="77777777" w:rsidR="00976BED" w:rsidRDefault="00976BED" w:rsidP="00AB6D25">
                      <w:pPr>
                        <w:rPr>
                          <w:b/>
                        </w:rPr>
                      </w:pPr>
                    </w:p>
                    <w:p w14:paraId="50920CBE" w14:textId="77777777" w:rsidR="00976BED" w:rsidRPr="00976BED" w:rsidRDefault="00976BED" w:rsidP="00AB6D25">
                      <w:pPr>
                        <w:rPr>
                          <w:b/>
                          <w:lang w:val="en-GB"/>
                        </w:rPr>
                      </w:pPr>
                      <w:r w:rsidRPr="00976BED">
                        <w:rPr>
                          <w:b/>
                          <w:lang w:val="en-GB"/>
                        </w:rPr>
                        <w:t>Related information</w:t>
                      </w:r>
                    </w:p>
                    <w:p w14:paraId="0DFFBF33" w14:textId="2E9E77C0" w:rsidR="00976BED" w:rsidRPr="006D18F8" w:rsidRDefault="00AA71AB" w:rsidP="00AB6D25">
                      <w:pPr>
                        <w:rPr>
                          <w:rStyle w:val="Hipercze"/>
                          <w:rFonts w:cs="Arial"/>
                          <w:color w:val="001D77"/>
                          <w:sz w:val="18"/>
                          <w:szCs w:val="30"/>
                          <w:shd w:val="clear" w:color="auto" w:fill="F0F0F0"/>
                        </w:rPr>
                      </w:pPr>
                      <w:r w:rsidRPr="006D18F8">
                        <w:rPr>
                          <w:rStyle w:val="Hipercze"/>
                          <w:rFonts w:cs="Arial"/>
                          <w:color w:val="001D77"/>
                          <w:sz w:val="18"/>
                          <w:szCs w:val="30"/>
                          <w:shd w:val="clear" w:color="auto" w:fill="F0F0F0"/>
                        </w:rPr>
                        <w:fldChar w:fldCharType="begin"/>
                      </w:r>
                      <w:r w:rsidRPr="006D18F8">
                        <w:rPr>
                          <w:rStyle w:val="Hipercze"/>
                          <w:rFonts w:cs="Arial"/>
                          <w:color w:val="001D77"/>
                          <w:sz w:val="18"/>
                          <w:szCs w:val="30"/>
                          <w:shd w:val="clear" w:color="auto" w:fill="F0F0F0"/>
                        </w:rPr>
                        <w:instrText xml:space="preserve"> HYPERLINK "https://stat.gov.pl/en/topics/culture-tourism-sport/tourism/tourism-in-2018,1,16.html" </w:instrText>
                      </w:r>
                      <w:r w:rsidRPr="006D18F8">
                        <w:rPr>
                          <w:rStyle w:val="Hipercze"/>
                          <w:rFonts w:cs="Arial"/>
                          <w:color w:val="001D77"/>
                          <w:sz w:val="18"/>
                          <w:szCs w:val="30"/>
                          <w:shd w:val="clear" w:color="auto" w:fill="F0F0F0"/>
                        </w:rPr>
                        <w:fldChar w:fldCharType="separate"/>
                      </w:r>
                      <w:proofErr w:type="spellStart"/>
                      <w:r w:rsidR="00166477" w:rsidRPr="006D18F8">
                        <w:rPr>
                          <w:rStyle w:val="Hipercze"/>
                          <w:rFonts w:cs="Arial"/>
                          <w:color w:val="001D77"/>
                          <w:sz w:val="18"/>
                          <w:szCs w:val="30"/>
                          <w:shd w:val="clear" w:color="auto" w:fill="F0F0F0"/>
                        </w:rPr>
                        <w:t>Tourism</w:t>
                      </w:r>
                      <w:proofErr w:type="spellEnd"/>
                      <w:r w:rsidR="00166477" w:rsidRPr="006D18F8">
                        <w:rPr>
                          <w:rStyle w:val="Hipercze"/>
                          <w:rFonts w:cs="Arial"/>
                          <w:color w:val="001D77"/>
                          <w:sz w:val="18"/>
                          <w:szCs w:val="30"/>
                          <w:shd w:val="clear" w:color="auto" w:fill="F0F0F0"/>
                        </w:rPr>
                        <w:t xml:space="preserve"> in 2018</w:t>
                      </w:r>
                    </w:p>
                    <w:p w14:paraId="2756C9C4" w14:textId="74B83A40" w:rsidR="00976BED" w:rsidRPr="00976BED" w:rsidRDefault="00AA71AB" w:rsidP="00AB6D25">
                      <w:pPr>
                        <w:rPr>
                          <w:b/>
                          <w:color w:val="000000" w:themeColor="text1"/>
                          <w:szCs w:val="24"/>
                          <w:lang w:val="en-GB"/>
                        </w:rPr>
                      </w:pPr>
                      <w:r w:rsidRPr="006D18F8">
                        <w:rPr>
                          <w:rStyle w:val="Hipercze"/>
                          <w:rFonts w:cs="Arial"/>
                          <w:color w:val="001D77"/>
                          <w:sz w:val="18"/>
                          <w:szCs w:val="30"/>
                          <w:shd w:val="clear" w:color="auto" w:fill="F0F0F0"/>
                        </w:rPr>
                        <w:fldChar w:fldCharType="end"/>
                      </w:r>
                      <w:r w:rsidR="00976BED" w:rsidRPr="00976BED">
                        <w:rPr>
                          <w:b/>
                          <w:color w:val="000000" w:themeColor="text1"/>
                          <w:szCs w:val="24"/>
                          <w:lang w:val="en-GB"/>
                        </w:rPr>
                        <w:t>Data available in databases</w:t>
                      </w:r>
                    </w:p>
                    <w:p w14:paraId="47872D8F" w14:textId="6DFC0AD5" w:rsidR="00976BED" w:rsidRPr="006D18F8" w:rsidRDefault="006D18F8" w:rsidP="00673C26">
                      <w:pPr>
                        <w:rPr>
                          <w:rStyle w:val="Hipercze"/>
                          <w:rFonts w:cs="Arial"/>
                          <w:color w:val="001D77"/>
                          <w:sz w:val="18"/>
                          <w:szCs w:val="30"/>
                          <w:shd w:val="clear" w:color="auto" w:fill="F0F0F0"/>
                        </w:rPr>
                      </w:pPr>
                      <w:hyperlink r:id="rId25" w:history="1">
                        <w:r w:rsidR="00166477" w:rsidRPr="006D18F8">
                          <w:rPr>
                            <w:rStyle w:val="Hipercze"/>
                            <w:rFonts w:cs="Arial"/>
                            <w:color w:val="001D77"/>
                            <w:sz w:val="18"/>
                            <w:szCs w:val="30"/>
                            <w:shd w:val="clear" w:color="auto" w:fill="F0F0F0"/>
                          </w:rPr>
                          <w:t>Eurostat database</w:t>
                        </w:r>
                      </w:hyperlink>
                    </w:p>
                    <w:p w14:paraId="27EB9A1F" w14:textId="037A4E2A" w:rsidR="00976BED" w:rsidRPr="006D18F8" w:rsidRDefault="006D18F8" w:rsidP="00673C26">
                      <w:pPr>
                        <w:rPr>
                          <w:rStyle w:val="Hipercze"/>
                          <w:rFonts w:cs="Arial"/>
                          <w:color w:val="001D77"/>
                          <w:sz w:val="18"/>
                          <w:szCs w:val="30"/>
                          <w:shd w:val="clear" w:color="auto" w:fill="F0F0F0"/>
                        </w:rPr>
                      </w:pPr>
                      <w:hyperlink r:id="rId26" w:history="1">
                        <w:r w:rsidR="00166477" w:rsidRPr="006D18F8">
                          <w:rPr>
                            <w:rStyle w:val="Hipercze"/>
                            <w:rFonts w:cs="Arial"/>
                            <w:color w:val="001D77"/>
                            <w:sz w:val="18"/>
                            <w:szCs w:val="30"/>
                            <w:shd w:val="clear" w:color="auto" w:fill="F0F0F0"/>
                          </w:rPr>
                          <w:t>Local Data Bank</w:t>
                        </w:r>
                      </w:hyperlink>
                    </w:p>
                    <w:p w14:paraId="14846291" w14:textId="77777777" w:rsidR="00976BED" w:rsidRPr="00976BED" w:rsidRDefault="00976BED" w:rsidP="00AB6D25">
                      <w:pPr>
                        <w:rPr>
                          <w:b/>
                          <w:color w:val="000000" w:themeColor="text1"/>
                          <w:szCs w:val="24"/>
                          <w:lang w:val="en-GB"/>
                        </w:rPr>
                      </w:pPr>
                    </w:p>
                    <w:p w14:paraId="35C61D35" w14:textId="77777777" w:rsidR="00976BED" w:rsidRPr="00976BED" w:rsidRDefault="00976BED" w:rsidP="00AB6D25">
                      <w:pPr>
                        <w:rPr>
                          <w:b/>
                          <w:color w:val="000000" w:themeColor="text1"/>
                          <w:szCs w:val="24"/>
                          <w:lang w:val="en-GB"/>
                        </w:rPr>
                      </w:pPr>
                      <w:r w:rsidRPr="00976BED">
                        <w:rPr>
                          <w:b/>
                          <w:color w:val="000000" w:themeColor="text1"/>
                          <w:szCs w:val="24"/>
                          <w:lang w:val="en-GB"/>
                        </w:rPr>
                        <w:t>Terms used in official statistics</w:t>
                      </w:r>
                    </w:p>
                    <w:p w14:paraId="0C5B4D81" w14:textId="3DCDCC03" w:rsidR="00C92CCD" w:rsidRPr="006D18F8" w:rsidRDefault="00AA71AB" w:rsidP="00673C26">
                      <w:pPr>
                        <w:rPr>
                          <w:rStyle w:val="Hipercze"/>
                          <w:rFonts w:cs="Arial"/>
                          <w:color w:val="001D77"/>
                          <w:sz w:val="18"/>
                          <w:szCs w:val="30"/>
                          <w:shd w:val="clear" w:color="auto" w:fill="F0F0F0"/>
                        </w:rPr>
                      </w:pPr>
                      <w:r w:rsidRPr="006D18F8">
                        <w:rPr>
                          <w:rStyle w:val="Hipercze"/>
                          <w:rFonts w:cs="Arial"/>
                          <w:color w:val="001D77"/>
                          <w:szCs w:val="30"/>
                          <w:shd w:val="clear" w:color="auto" w:fill="F0F0F0"/>
                        </w:rPr>
                        <w:fldChar w:fldCharType="begin"/>
                      </w:r>
                      <w:r w:rsidRPr="006D18F8">
                        <w:rPr>
                          <w:rStyle w:val="Hipercze"/>
                          <w:rFonts w:cs="Arial"/>
                          <w:color w:val="001D77"/>
                          <w:szCs w:val="30"/>
                          <w:shd w:val="clear" w:color="auto" w:fill="F0F0F0"/>
                        </w:rPr>
                        <w:instrText xml:space="preserve"> HYPERLINK "https://stat.gov.pl/en/metainformations/glossary/terms-used-in-official-statistics/539,term.html" \o "Tourist" </w:instrText>
                      </w:r>
                      <w:r w:rsidRPr="006D18F8">
                        <w:rPr>
                          <w:rStyle w:val="Hipercze"/>
                          <w:rFonts w:cs="Arial"/>
                          <w:color w:val="001D77"/>
                          <w:szCs w:val="30"/>
                          <w:shd w:val="clear" w:color="auto" w:fill="F0F0F0"/>
                        </w:rPr>
                        <w:fldChar w:fldCharType="separate"/>
                      </w:r>
                      <w:proofErr w:type="spellStart"/>
                      <w:r w:rsidR="00C92CCD" w:rsidRPr="006D18F8">
                        <w:rPr>
                          <w:rStyle w:val="Hipercze"/>
                          <w:rFonts w:cs="Arial"/>
                          <w:color w:val="001D77"/>
                          <w:sz w:val="18"/>
                          <w:szCs w:val="30"/>
                          <w:shd w:val="clear" w:color="auto" w:fill="F0F0F0"/>
                        </w:rPr>
                        <w:t>Tourist</w:t>
                      </w:r>
                      <w:proofErr w:type="spellEnd"/>
                    </w:p>
                    <w:p w14:paraId="25B8F9C6" w14:textId="32DBA91B" w:rsidR="00C92CCD" w:rsidRPr="006D18F8" w:rsidRDefault="00AA71AB" w:rsidP="00673C26">
                      <w:pPr>
                        <w:rPr>
                          <w:rStyle w:val="Hipercze"/>
                          <w:rFonts w:cs="Arial"/>
                          <w:color w:val="001D77"/>
                          <w:sz w:val="18"/>
                          <w:szCs w:val="30"/>
                          <w:shd w:val="clear" w:color="auto" w:fill="F0F0F0"/>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D18F8">
                        <w:rPr>
                          <w:rStyle w:val="Hipercze"/>
                          <w:rFonts w:cs="Arial"/>
                          <w:color w:val="001D77"/>
                          <w:szCs w:val="30"/>
                          <w:shd w:val="clear" w:color="auto" w:fill="F0F0F0"/>
                        </w:rPr>
                        <w:instrText xml:space="preserve"> HYPERLINK "https://stat.gov.pl/en/metainformations/glossary/terms-used-in-official-statistics/245,term.html" \o "Tourist accommodation establishment" </w:instrText>
                      </w:r>
                      <w:r w:rsidRPr="006D18F8">
                        <w:rPr>
                          <w:rStyle w:val="Hipercze"/>
                          <w:rFonts w:cs="Arial"/>
                          <w:color w:val="001D77"/>
                          <w:szCs w:val="30"/>
                          <w:shd w:val="clear" w:color="auto" w:fill="F0F0F0"/>
                        </w:rPr>
                        <w:fldChar w:fldCharType="separate"/>
                      </w:r>
                      <w:proofErr w:type="spellStart"/>
                      <w:r w:rsidR="00C92CCD" w:rsidRPr="006D18F8">
                        <w:rPr>
                          <w:rStyle w:val="Hipercze"/>
                          <w:rFonts w:cs="Arial"/>
                          <w:color w:val="001D77"/>
                          <w:sz w:val="18"/>
                          <w:szCs w:val="30"/>
                          <w:shd w:val="clear" w:color="auto" w:fill="F0F0F0"/>
                        </w:rPr>
                        <w:t>Tourist</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accommodation</w:t>
                      </w:r>
                      <w:proofErr w:type="spellEnd"/>
                      <w:r w:rsidR="00C92CCD" w:rsidRPr="006D18F8">
                        <w:rPr>
                          <w:rStyle w:val="Hipercze"/>
                          <w:rFonts w:cs="Arial"/>
                          <w:color w:val="001D77"/>
                          <w:sz w:val="18"/>
                          <w:szCs w:val="30"/>
                          <w:shd w:val="clear" w:color="auto" w:fill="F0F0F0"/>
                        </w:rPr>
                        <w:t xml:space="preserve"> establishment</w:t>
                      </w:r>
                    </w:p>
                    <w:p w14:paraId="4452E557" w14:textId="1237EB1D" w:rsidR="00C92CCD" w:rsidRPr="006D18F8" w:rsidRDefault="00AA71AB" w:rsidP="00673C26">
                      <w:pPr>
                        <w:rPr>
                          <w:rStyle w:val="Hipercze"/>
                          <w:rFonts w:cs="Arial"/>
                          <w:color w:val="001D77"/>
                          <w:sz w:val="18"/>
                          <w:szCs w:val="30"/>
                          <w:shd w:val="clear" w:color="auto" w:fill="F0F0F0"/>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D18F8">
                        <w:rPr>
                          <w:rStyle w:val="Hipercze"/>
                          <w:rFonts w:cs="Arial"/>
                          <w:color w:val="001D77"/>
                          <w:szCs w:val="30"/>
                          <w:shd w:val="clear" w:color="auto" w:fill="F0F0F0"/>
                        </w:rPr>
                        <w:instrText xml:space="preserve"> HYPERLINK "https://stat.gov.pl/en/metainformations/glossary/terms-used-in-official-statistics/1231,term.html" \o "Bed places in tourist accommodation establishments." </w:instrText>
                      </w:r>
                      <w:r w:rsidRPr="006D18F8">
                        <w:rPr>
                          <w:rStyle w:val="Hipercze"/>
                          <w:rFonts w:cs="Arial"/>
                          <w:color w:val="001D77"/>
                          <w:szCs w:val="30"/>
                          <w:shd w:val="clear" w:color="auto" w:fill="F0F0F0"/>
                        </w:rPr>
                        <w:fldChar w:fldCharType="separate"/>
                      </w:r>
                      <w:r w:rsidR="00C92CCD" w:rsidRPr="006D18F8">
                        <w:rPr>
                          <w:rStyle w:val="Hipercze"/>
                          <w:rFonts w:cs="Arial"/>
                          <w:color w:val="001D77"/>
                          <w:sz w:val="18"/>
                          <w:szCs w:val="30"/>
                          <w:shd w:val="clear" w:color="auto" w:fill="F0F0F0"/>
                        </w:rPr>
                        <w:t xml:space="preserve">Bed </w:t>
                      </w:r>
                      <w:proofErr w:type="spellStart"/>
                      <w:r w:rsidR="00C92CCD" w:rsidRPr="006D18F8">
                        <w:rPr>
                          <w:rStyle w:val="Hipercze"/>
                          <w:rFonts w:cs="Arial"/>
                          <w:color w:val="001D77"/>
                          <w:sz w:val="18"/>
                          <w:szCs w:val="30"/>
                          <w:shd w:val="clear" w:color="auto" w:fill="F0F0F0"/>
                        </w:rPr>
                        <w:t>places</w:t>
                      </w:r>
                      <w:proofErr w:type="spellEnd"/>
                      <w:r w:rsidR="00C92CCD" w:rsidRPr="006D18F8">
                        <w:rPr>
                          <w:rStyle w:val="Hipercze"/>
                          <w:rFonts w:cs="Arial"/>
                          <w:color w:val="001D77"/>
                          <w:sz w:val="18"/>
                          <w:szCs w:val="30"/>
                          <w:shd w:val="clear" w:color="auto" w:fill="F0F0F0"/>
                        </w:rPr>
                        <w:t xml:space="preserve"> in </w:t>
                      </w:r>
                      <w:proofErr w:type="spellStart"/>
                      <w:r w:rsidR="00C92CCD" w:rsidRPr="006D18F8">
                        <w:rPr>
                          <w:rStyle w:val="Hipercze"/>
                          <w:rFonts w:cs="Arial"/>
                          <w:color w:val="001D77"/>
                          <w:sz w:val="18"/>
                          <w:szCs w:val="30"/>
                          <w:shd w:val="clear" w:color="auto" w:fill="F0F0F0"/>
                        </w:rPr>
                        <w:t>tourist</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accommodation</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establishments</w:t>
                      </w:r>
                      <w:proofErr w:type="spellEnd"/>
                    </w:p>
                    <w:p w14:paraId="3B350E3A" w14:textId="395E0271" w:rsidR="00166477" w:rsidRPr="006D18F8" w:rsidRDefault="00AA71AB" w:rsidP="00673C26">
                      <w:pPr>
                        <w:rPr>
                          <w:rStyle w:val="Hipercze"/>
                          <w:rFonts w:cs="Arial"/>
                          <w:color w:val="001D77"/>
                          <w:sz w:val="18"/>
                          <w:szCs w:val="30"/>
                          <w:shd w:val="clear" w:color="auto" w:fill="F0F0F0"/>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D18F8">
                        <w:rPr>
                          <w:rStyle w:val="Hipercze"/>
                          <w:rFonts w:cs="Arial"/>
                          <w:color w:val="001D77"/>
                          <w:szCs w:val="30"/>
                          <w:shd w:val="clear" w:color="auto" w:fill="F0F0F0"/>
                        </w:rPr>
                        <w:instrText xml:space="preserve"> HYPERLINK "https://stat.gov.pl/en/metainformations/glossary/terms-used-in-official-statistics/1233,term.html" \o "Nights spent (overnight stays) in tourist accommodation establishments." </w:instrText>
                      </w:r>
                      <w:r w:rsidRPr="006D18F8">
                        <w:rPr>
                          <w:rStyle w:val="Hipercze"/>
                          <w:rFonts w:cs="Arial"/>
                          <w:color w:val="001D77"/>
                          <w:szCs w:val="30"/>
                          <w:shd w:val="clear" w:color="auto" w:fill="F0F0F0"/>
                        </w:rPr>
                        <w:fldChar w:fldCharType="separate"/>
                      </w:r>
                      <w:proofErr w:type="spellStart"/>
                      <w:r w:rsidR="00C92CCD" w:rsidRPr="006D18F8">
                        <w:rPr>
                          <w:rStyle w:val="Hipercze"/>
                          <w:rFonts w:cs="Arial"/>
                          <w:color w:val="001D77"/>
                          <w:sz w:val="18"/>
                          <w:szCs w:val="30"/>
                          <w:shd w:val="clear" w:color="auto" w:fill="F0F0F0"/>
                        </w:rPr>
                        <w:t>Nights</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spent</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overnight</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stays</w:t>
                      </w:r>
                      <w:proofErr w:type="spellEnd"/>
                      <w:r w:rsidR="00C92CCD" w:rsidRPr="006D18F8">
                        <w:rPr>
                          <w:rStyle w:val="Hipercze"/>
                          <w:rFonts w:cs="Arial"/>
                          <w:color w:val="001D77"/>
                          <w:sz w:val="18"/>
                          <w:szCs w:val="30"/>
                          <w:shd w:val="clear" w:color="auto" w:fill="F0F0F0"/>
                        </w:rPr>
                        <w:t xml:space="preserve">) in </w:t>
                      </w:r>
                      <w:proofErr w:type="spellStart"/>
                      <w:r w:rsidR="00C92CCD" w:rsidRPr="006D18F8">
                        <w:rPr>
                          <w:rStyle w:val="Hipercze"/>
                          <w:rFonts w:cs="Arial"/>
                          <w:color w:val="001D77"/>
                          <w:sz w:val="18"/>
                          <w:szCs w:val="30"/>
                          <w:shd w:val="clear" w:color="auto" w:fill="F0F0F0"/>
                        </w:rPr>
                        <w:t>tourist</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accommodation</w:t>
                      </w:r>
                      <w:proofErr w:type="spellEnd"/>
                      <w:r w:rsidR="00C92CCD" w:rsidRPr="006D18F8">
                        <w:rPr>
                          <w:rStyle w:val="Hipercze"/>
                          <w:rFonts w:cs="Arial"/>
                          <w:color w:val="001D77"/>
                          <w:sz w:val="18"/>
                          <w:szCs w:val="30"/>
                          <w:shd w:val="clear" w:color="auto" w:fill="F0F0F0"/>
                        </w:rPr>
                        <w:t xml:space="preserve"> </w:t>
                      </w:r>
                      <w:proofErr w:type="spellStart"/>
                      <w:r w:rsidR="00C92CCD" w:rsidRPr="006D18F8">
                        <w:rPr>
                          <w:rStyle w:val="Hipercze"/>
                          <w:rFonts w:cs="Arial"/>
                          <w:color w:val="001D77"/>
                          <w:sz w:val="18"/>
                          <w:szCs w:val="30"/>
                          <w:shd w:val="clear" w:color="auto" w:fill="F0F0F0"/>
                        </w:rPr>
                        <w:t>establishments</w:t>
                      </w:r>
                      <w:proofErr w:type="spellEnd"/>
                      <w:r w:rsidR="00C92CCD" w:rsidRPr="006D18F8">
                        <w:rPr>
                          <w:rStyle w:val="Hipercze"/>
                          <w:rFonts w:cs="Arial"/>
                          <w:color w:val="001D77"/>
                          <w:sz w:val="18"/>
                          <w:szCs w:val="30"/>
                          <w:shd w:val="clear" w:color="auto" w:fill="F0F0F0"/>
                        </w:rPr>
                        <w:t>.</w:t>
                      </w:r>
                    </w:p>
                    <w:p w14:paraId="7D6F95D1" w14:textId="3B1D0265" w:rsidR="00C92CCD" w:rsidRPr="006D18F8" w:rsidRDefault="00AA71AB" w:rsidP="00673C26">
                      <w:pPr>
                        <w:rPr>
                          <w:rStyle w:val="Hipercze"/>
                          <w:rFonts w:cs="Arial"/>
                          <w:color w:val="001D77"/>
                          <w:sz w:val="18"/>
                          <w:szCs w:val="30"/>
                          <w:shd w:val="clear" w:color="auto" w:fill="F0F0F0"/>
                        </w:rPr>
                      </w:pPr>
                      <w:r w:rsidRPr="006D18F8">
                        <w:rPr>
                          <w:rStyle w:val="Hipercze"/>
                          <w:rFonts w:cs="Arial"/>
                          <w:color w:val="001D77"/>
                          <w:szCs w:val="30"/>
                          <w:shd w:val="clear" w:color="auto" w:fill="F0F0F0"/>
                        </w:rPr>
                        <w:fldChar w:fldCharType="end"/>
                      </w:r>
                      <w:r w:rsidRPr="006D18F8">
                        <w:rPr>
                          <w:rStyle w:val="Hipercze"/>
                          <w:rFonts w:cs="Arial"/>
                          <w:color w:val="001D77"/>
                          <w:szCs w:val="30"/>
                          <w:shd w:val="clear" w:color="auto" w:fill="F0F0F0"/>
                        </w:rPr>
                        <w:fldChar w:fldCharType="begin"/>
                      </w:r>
                      <w:r w:rsidRPr="006D18F8">
                        <w:rPr>
                          <w:rStyle w:val="Hipercze"/>
                          <w:rFonts w:cs="Arial"/>
                          <w:color w:val="001D77"/>
                          <w:szCs w:val="30"/>
                          <w:shd w:val="clear" w:color="auto" w:fill="F0F0F0"/>
                        </w:rPr>
                        <w:instrText xml:space="preserve"> HYPERLINK "https://stat.gov.pl/en/metainformations/glossary/terms-used-in-official-statistics/3487,term.html" \o "Duration of the stay" </w:instrText>
                      </w:r>
                      <w:r w:rsidRPr="006D18F8">
                        <w:rPr>
                          <w:rStyle w:val="Hipercze"/>
                          <w:rFonts w:cs="Arial"/>
                          <w:color w:val="001D77"/>
                          <w:szCs w:val="30"/>
                          <w:shd w:val="clear" w:color="auto" w:fill="F0F0F0"/>
                        </w:rPr>
                        <w:fldChar w:fldCharType="separate"/>
                      </w:r>
                      <w:proofErr w:type="spellStart"/>
                      <w:r w:rsidR="00C92CCD" w:rsidRPr="006D18F8">
                        <w:rPr>
                          <w:rStyle w:val="Hipercze"/>
                          <w:rFonts w:cs="Arial"/>
                          <w:color w:val="001D77"/>
                          <w:sz w:val="18"/>
                          <w:szCs w:val="30"/>
                          <w:shd w:val="clear" w:color="auto" w:fill="F0F0F0"/>
                        </w:rPr>
                        <w:t>Duration</w:t>
                      </w:r>
                      <w:proofErr w:type="spellEnd"/>
                      <w:r w:rsidR="00C92CCD" w:rsidRPr="006D18F8">
                        <w:rPr>
                          <w:rStyle w:val="Hipercze"/>
                          <w:rFonts w:cs="Arial"/>
                          <w:color w:val="001D77"/>
                          <w:sz w:val="18"/>
                          <w:szCs w:val="30"/>
                          <w:shd w:val="clear" w:color="auto" w:fill="F0F0F0"/>
                        </w:rPr>
                        <w:t xml:space="preserve"> of the </w:t>
                      </w:r>
                      <w:proofErr w:type="spellStart"/>
                      <w:r w:rsidR="00C92CCD" w:rsidRPr="006D18F8">
                        <w:rPr>
                          <w:rStyle w:val="Hipercze"/>
                          <w:rFonts w:cs="Arial"/>
                          <w:color w:val="001D77"/>
                          <w:sz w:val="18"/>
                          <w:szCs w:val="30"/>
                          <w:shd w:val="clear" w:color="auto" w:fill="F0F0F0"/>
                        </w:rPr>
                        <w:t>stay</w:t>
                      </w:r>
                      <w:proofErr w:type="spellEnd"/>
                    </w:p>
                    <w:p w14:paraId="3CD36F75" w14:textId="121EF00B" w:rsidR="00976BED" w:rsidRPr="00976BED" w:rsidRDefault="00AA71AB" w:rsidP="00AB6D25">
                      <w:pPr>
                        <w:rPr>
                          <w:b/>
                          <w:color w:val="000000" w:themeColor="text1"/>
                          <w:szCs w:val="24"/>
                          <w:lang w:val="en-GB"/>
                        </w:rPr>
                      </w:pPr>
                      <w:r w:rsidRPr="006D18F8">
                        <w:rPr>
                          <w:rStyle w:val="Hipercze"/>
                          <w:rFonts w:cs="Arial"/>
                          <w:color w:val="001D77"/>
                          <w:szCs w:val="30"/>
                          <w:shd w:val="clear" w:color="auto" w:fill="F0F0F0"/>
                        </w:rPr>
                        <w:fldChar w:fldCharType="end"/>
                      </w:r>
                      <w:bookmarkStart w:id="1" w:name="_GoBack"/>
                      <w:bookmarkEnd w:id="1"/>
                    </w:p>
                  </w:txbxContent>
                </v:textbox>
                <w10:wrap type="square" anchorx="margin"/>
              </v:shape>
            </w:pict>
          </mc:Fallback>
        </mc:AlternateContent>
      </w:r>
    </w:p>
    <w:sectPr w:rsidR="00D261A2" w:rsidRPr="00145E8D" w:rsidSect="003B18B6">
      <w:headerReference w:type="default" r:id="rId27"/>
      <w:footerReference w:type="default" r:id="rId28"/>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8CBF" w14:textId="77777777" w:rsidR="00373061" w:rsidRDefault="00373061" w:rsidP="000662E2">
      <w:pPr>
        <w:spacing w:after="0" w:line="240" w:lineRule="auto"/>
      </w:pPr>
      <w:r>
        <w:separator/>
      </w:r>
    </w:p>
  </w:endnote>
  <w:endnote w:type="continuationSeparator" w:id="0">
    <w:p w14:paraId="0899F3C8" w14:textId="77777777" w:rsidR="00373061" w:rsidRDefault="00373061"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14:paraId="42F3CFC4" w14:textId="77777777" w:rsidR="00976BED" w:rsidRDefault="00976BED" w:rsidP="003B18B6">
        <w:pPr>
          <w:pStyle w:val="Stopka"/>
          <w:jc w:val="center"/>
        </w:pPr>
        <w:r>
          <w:fldChar w:fldCharType="begin"/>
        </w:r>
        <w:r>
          <w:instrText>PAGE   \* MERGEFORMAT</w:instrText>
        </w:r>
        <w:r>
          <w:fldChar w:fldCharType="separate"/>
        </w:r>
        <w:r w:rsidR="008A0D14">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14:paraId="082F133A" w14:textId="77777777" w:rsidR="00976BED" w:rsidRDefault="00976BED" w:rsidP="003B18B6">
        <w:pPr>
          <w:pStyle w:val="Stopka"/>
          <w:jc w:val="center"/>
        </w:pPr>
        <w:r>
          <w:fldChar w:fldCharType="begin"/>
        </w:r>
        <w:r>
          <w:instrText>PAGE   \* MERGEFORMAT</w:instrText>
        </w:r>
        <w:r>
          <w:fldChar w:fldCharType="separate"/>
        </w:r>
        <w:r w:rsidR="008A0D14">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7167A87E" w14:textId="77777777" w:rsidR="00976BED" w:rsidRDefault="00976BED" w:rsidP="003B18B6">
        <w:pPr>
          <w:pStyle w:val="Stopka"/>
          <w:jc w:val="center"/>
        </w:pPr>
        <w:r>
          <w:fldChar w:fldCharType="begin"/>
        </w:r>
        <w:r>
          <w:instrText>PAGE   \* MERGEFORMAT</w:instrText>
        </w:r>
        <w:r>
          <w:fldChar w:fldCharType="separate"/>
        </w:r>
        <w:r w:rsidR="008A0D14">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9179" w14:textId="77777777" w:rsidR="00373061" w:rsidRDefault="00373061" w:rsidP="000662E2">
      <w:pPr>
        <w:spacing w:after="0" w:line="240" w:lineRule="auto"/>
      </w:pPr>
      <w:r>
        <w:separator/>
      </w:r>
    </w:p>
  </w:footnote>
  <w:footnote w:type="continuationSeparator" w:id="0">
    <w:p w14:paraId="61F9A5B8" w14:textId="77777777" w:rsidR="00373061" w:rsidRDefault="00373061" w:rsidP="000662E2">
      <w:pPr>
        <w:spacing w:after="0" w:line="240" w:lineRule="auto"/>
      </w:pPr>
      <w:r>
        <w:continuationSeparator/>
      </w:r>
    </w:p>
  </w:footnote>
  <w:footnote w:id="1">
    <w:p w14:paraId="2F0516A0" w14:textId="46392C3B" w:rsidR="00976BED" w:rsidRPr="007B572B" w:rsidRDefault="00976BED" w:rsidP="00976BED">
      <w:pPr>
        <w:pStyle w:val="Tekstprzypisudolnego"/>
        <w:rPr>
          <w:sz w:val="16"/>
          <w:szCs w:val="16"/>
          <w:lang w:val="en-GB"/>
        </w:rPr>
      </w:pPr>
      <w:r w:rsidRPr="00ED79C2">
        <w:rPr>
          <w:rStyle w:val="Odwoanieprzypisudolnego"/>
          <w:sz w:val="16"/>
          <w:szCs w:val="16"/>
        </w:rPr>
        <w:footnoteRef/>
      </w:r>
      <w:r w:rsidRPr="007B572B">
        <w:rPr>
          <w:sz w:val="16"/>
          <w:szCs w:val="16"/>
          <w:lang w:val="en-GB"/>
        </w:rPr>
        <w:t xml:space="preserve"> The scope of information provided to Eurostat about tourist accommodation establishments varies between countries. </w:t>
      </w:r>
      <w:r>
        <w:rPr>
          <w:sz w:val="16"/>
          <w:szCs w:val="16"/>
          <w:lang w:val="en-GB"/>
        </w:rPr>
        <w:t>It c</w:t>
      </w:r>
      <w:r w:rsidRPr="007B572B">
        <w:rPr>
          <w:sz w:val="16"/>
          <w:szCs w:val="16"/>
          <w:lang w:val="en-GB"/>
        </w:rPr>
        <w:t>overs at least all tourist accommodation establishments with 10 or more bed</w:t>
      </w:r>
      <w:r w:rsidR="00854B09">
        <w:rPr>
          <w:sz w:val="16"/>
          <w:szCs w:val="16"/>
          <w:lang w:val="en-GB"/>
        </w:rPr>
        <w:t xml:space="preserve"> places</w:t>
      </w:r>
      <w:r w:rsidRPr="007B572B">
        <w:rPr>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928D" w14:textId="77777777" w:rsidR="00976BED" w:rsidRDefault="00976BED">
    <w:pPr>
      <w:pStyle w:val="Nagwek"/>
    </w:pPr>
    <w:r>
      <w:rPr>
        <w:noProof/>
        <w:lang w:eastAsia="pl-PL"/>
      </w:rPr>
      <mc:AlternateContent>
        <mc:Choice Requires="wps">
          <w:drawing>
            <wp:anchor distT="0" distB="0" distL="114300" distR="114300" simplePos="0" relativeHeight="251662336" behindDoc="1" locked="0" layoutInCell="1" allowOverlap="1" wp14:anchorId="26400CD6" wp14:editId="023930E2">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0F4F"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43DF2FEC" w14:textId="77777777" w:rsidR="00976BED" w:rsidRDefault="00976B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6807" w14:textId="77777777" w:rsidR="00976BED" w:rsidRDefault="00976BED">
    <w:pPr>
      <w:pStyle w:val="Nagwek"/>
      <w:rPr>
        <w:noProof/>
        <w:lang w:eastAsia="pl-PL"/>
      </w:rPr>
    </w:pPr>
    <w:r>
      <w:rPr>
        <w:noProof/>
        <w:lang w:eastAsia="pl-PL"/>
      </w:rPr>
      <w:drawing>
        <wp:anchor distT="0" distB="0" distL="114300" distR="114300" simplePos="0" relativeHeight="251671552" behindDoc="0" locked="0" layoutInCell="1" allowOverlap="1" wp14:anchorId="6714F7FC" wp14:editId="2A7A6CFF">
          <wp:simplePos x="0" y="0"/>
          <wp:positionH relativeFrom="column">
            <wp:posOffset>0</wp:posOffset>
          </wp:positionH>
          <wp:positionV relativeFrom="paragraph">
            <wp:posOffset>-635</wp:posOffset>
          </wp:positionV>
          <wp:extent cx="1955800" cy="744855"/>
          <wp:effectExtent l="0" t="0" r="0" b="0"/>
          <wp:wrapSquare wrapText="bothSides"/>
          <wp:docPr id="4" name="Obraz 4"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172">
      <w:rPr>
        <w:noProof/>
        <w:lang w:eastAsia="pl-PL"/>
      </w:rPr>
      <mc:AlternateContent>
        <mc:Choice Requires="wps">
          <w:drawing>
            <wp:anchor distT="0" distB="0" distL="114300" distR="114300" simplePos="0" relativeHeight="251668480" behindDoc="0" locked="0" layoutInCell="1" allowOverlap="1" wp14:anchorId="35B43313" wp14:editId="5D1841D5">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6FAF7" w14:textId="77777777" w:rsidR="00976BED" w:rsidRPr="003C6C8D" w:rsidRDefault="00976BED"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3313" id="Schemat blokowy: opóźnienie 6" o:spid="_x0000_s1032"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2AB6FAF7" w14:textId="77777777" w:rsidR="00976BED" w:rsidRPr="003C6C8D" w:rsidRDefault="00976BED"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6A271BB" wp14:editId="20F1D53F">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AABA"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14:paraId="4689BAAC" w14:textId="77777777" w:rsidR="00976BED" w:rsidRDefault="00976BED">
    <w:pPr>
      <w:pStyle w:val="Nagwek"/>
      <w:rPr>
        <w:noProof/>
        <w:lang w:eastAsia="pl-PL"/>
      </w:rPr>
    </w:pPr>
  </w:p>
  <w:p w14:paraId="2CCB2211" w14:textId="77777777" w:rsidR="00976BED" w:rsidRDefault="00976BED">
    <w:pPr>
      <w:pStyle w:val="Nagwek"/>
      <w:rPr>
        <w:noProof/>
        <w:lang w:eastAsia="pl-PL"/>
      </w:rPr>
    </w:pPr>
  </w:p>
  <w:p w14:paraId="07E6A7E4" w14:textId="77777777" w:rsidR="00976BED" w:rsidRDefault="00976BED">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788EA235" wp14:editId="12F1C0AB">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07FCD4B7" w14:textId="2B1B1691" w:rsidR="00976BED" w:rsidRPr="00C97596" w:rsidRDefault="005F0BD3" w:rsidP="00F37172">
                          <w:pPr>
                            <w:jc w:val="both"/>
                            <w:rPr>
                              <w:rFonts w:ascii="Fira Sans SemiBold" w:hAnsi="Fira Sans SemiBold"/>
                              <w:color w:val="001D77"/>
                            </w:rPr>
                          </w:pPr>
                          <w:r>
                            <w:rPr>
                              <w:rFonts w:ascii="Fira Sans SemiBold" w:hAnsi="Fira Sans SemiBold"/>
                              <w:color w:val="001D77"/>
                            </w:rPr>
                            <w:t>28</w:t>
                          </w:r>
                          <w:r w:rsidR="00976BED">
                            <w:rPr>
                              <w:rFonts w:ascii="Fira Sans SemiBold" w:hAnsi="Fira Sans SemiBold"/>
                              <w:color w:val="001D77"/>
                            </w:rPr>
                            <w:t>.</w:t>
                          </w:r>
                          <w:r>
                            <w:rPr>
                              <w:rFonts w:ascii="Fira Sans SemiBold" w:hAnsi="Fira Sans SemiBold"/>
                              <w:color w:val="001D77"/>
                            </w:rPr>
                            <w:t>02</w:t>
                          </w:r>
                          <w:r w:rsidR="00976BED">
                            <w:rPr>
                              <w:rFonts w:ascii="Fira Sans SemiBold" w:hAnsi="Fira Sans SemiBold"/>
                              <w:color w:val="001D77"/>
                            </w:rPr>
                            <w:t>.</w:t>
                          </w:r>
                          <w:r>
                            <w:rPr>
                              <w:rFonts w:ascii="Fira Sans SemiBold" w:hAnsi="Fira Sans SemiBold"/>
                              <w:color w:val="001D77"/>
                            </w:rPr>
                            <w:t>2020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EA235" id="_x0000_t202" coordsize="21600,21600" o:spt="202" path="m,l,21600r21600,l21600,xe">
              <v:stroke joinstyle="miter"/>
              <v:path gradientshapeok="t" o:connecttype="rect"/>
            </v:shapetype>
            <v:shape id="_x0000_s1033"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14:paraId="07FCD4B7" w14:textId="2B1B1691" w:rsidR="00976BED" w:rsidRPr="00C97596" w:rsidRDefault="005F0BD3" w:rsidP="00F37172">
                    <w:pPr>
                      <w:jc w:val="both"/>
                      <w:rPr>
                        <w:rFonts w:ascii="Fira Sans SemiBold" w:hAnsi="Fira Sans SemiBold"/>
                        <w:color w:val="001D77"/>
                      </w:rPr>
                    </w:pPr>
                    <w:r>
                      <w:rPr>
                        <w:rFonts w:ascii="Fira Sans SemiBold" w:hAnsi="Fira Sans SemiBold"/>
                        <w:color w:val="001D77"/>
                      </w:rPr>
                      <w:t>28</w:t>
                    </w:r>
                    <w:r w:rsidR="00976BED">
                      <w:rPr>
                        <w:rFonts w:ascii="Fira Sans SemiBold" w:hAnsi="Fira Sans SemiBold"/>
                        <w:color w:val="001D77"/>
                      </w:rPr>
                      <w:t>.</w:t>
                    </w:r>
                    <w:r>
                      <w:rPr>
                        <w:rFonts w:ascii="Fira Sans SemiBold" w:hAnsi="Fira Sans SemiBold"/>
                        <w:color w:val="001D77"/>
                      </w:rPr>
                      <w:t>02</w:t>
                    </w:r>
                    <w:r w:rsidR="00976BED">
                      <w:rPr>
                        <w:rFonts w:ascii="Fira Sans SemiBold" w:hAnsi="Fira Sans SemiBold"/>
                        <w:color w:val="001D77"/>
                      </w:rPr>
                      <w:t>.</w:t>
                    </w:r>
                    <w:r>
                      <w:rPr>
                        <w:rFonts w:ascii="Fira Sans SemiBold" w:hAnsi="Fira Sans SemiBold"/>
                        <w:color w:val="001D77"/>
                      </w:rPr>
                      <w:t>2020 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C925" w14:textId="77777777" w:rsidR="00976BED" w:rsidRDefault="00976BED">
    <w:pPr>
      <w:pStyle w:val="Nagwek"/>
    </w:pPr>
  </w:p>
  <w:p w14:paraId="191680D6" w14:textId="77777777" w:rsidR="00976BED" w:rsidRDefault="00976B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25pt;height:124.35pt;visibility:visible;mso-wrap-style:square" o:bullet="t">
        <v:imagedata r:id="rId1" o:title=""/>
      </v:shape>
    </w:pict>
  </w:numPicBullet>
  <w:numPicBullet w:numPicBulletId="1">
    <w:pict>
      <v:shape id="_x0000_i1029" type="#_x0000_t75" style="width:124.35pt;height:124.3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8B8"/>
    <w:rsid w:val="000152F5"/>
    <w:rsid w:val="0004582E"/>
    <w:rsid w:val="000470AA"/>
    <w:rsid w:val="000555BA"/>
    <w:rsid w:val="00057CA1"/>
    <w:rsid w:val="000662E2"/>
    <w:rsid w:val="00066883"/>
    <w:rsid w:val="000670DE"/>
    <w:rsid w:val="00074DD8"/>
    <w:rsid w:val="00076F04"/>
    <w:rsid w:val="000806F7"/>
    <w:rsid w:val="000809B4"/>
    <w:rsid w:val="00093C74"/>
    <w:rsid w:val="000B0727"/>
    <w:rsid w:val="000C0DD6"/>
    <w:rsid w:val="000C135D"/>
    <w:rsid w:val="000D1D43"/>
    <w:rsid w:val="000D1EAB"/>
    <w:rsid w:val="000D225C"/>
    <w:rsid w:val="000D2A5C"/>
    <w:rsid w:val="000E0918"/>
    <w:rsid w:val="001011C3"/>
    <w:rsid w:val="00106837"/>
    <w:rsid w:val="00110D87"/>
    <w:rsid w:val="00114DB9"/>
    <w:rsid w:val="00116087"/>
    <w:rsid w:val="001217EA"/>
    <w:rsid w:val="00130296"/>
    <w:rsid w:val="001423B6"/>
    <w:rsid w:val="001448A7"/>
    <w:rsid w:val="00145E8D"/>
    <w:rsid w:val="00146621"/>
    <w:rsid w:val="00162325"/>
    <w:rsid w:val="00166477"/>
    <w:rsid w:val="00173CB7"/>
    <w:rsid w:val="001857BD"/>
    <w:rsid w:val="001951DA"/>
    <w:rsid w:val="001A3FBE"/>
    <w:rsid w:val="001C3269"/>
    <w:rsid w:val="001C7430"/>
    <w:rsid w:val="001D1DB4"/>
    <w:rsid w:val="001D2736"/>
    <w:rsid w:val="00223CE0"/>
    <w:rsid w:val="00226B35"/>
    <w:rsid w:val="0025563A"/>
    <w:rsid w:val="002574F9"/>
    <w:rsid w:val="00262B61"/>
    <w:rsid w:val="00276811"/>
    <w:rsid w:val="00282699"/>
    <w:rsid w:val="002926DF"/>
    <w:rsid w:val="00296697"/>
    <w:rsid w:val="002A6113"/>
    <w:rsid w:val="002B0472"/>
    <w:rsid w:val="002B6B12"/>
    <w:rsid w:val="002D5D08"/>
    <w:rsid w:val="002E0107"/>
    <w:rsid w:val="002E6140"/>
    <w:rsid w:val="002E6985"/>
    <w:rsid w:val="002E71B6"/>
    <w:rsid w:val="002F77C8"/>
    <w:rsid w:val="0030235A"/>
    <w:rsid w:val="00304F22"/>
    <w:rsid w:val="00306C7C"/>
    <w:rsid w:val="00322EDD"/>
    <w:rsid w:val="00327421"/>
    <w:rsid w:val="00331527"/>
    <w:rsid w:val="00332320"/>
    <w:rsid w:val="0033269E"/>
    <w:rsid w:val="0034100F"/>
    <w:rsid w:val="003439E1"/>
    <w:rsid w:val="00347D72"/>
    <w:rsid w:val="00357611"/>
    <w:rsid w:val="00367237"/>
    <w:rsid w:val="0037077F"/>
    <w:rsid w:val="00372411"/>
    <w:rsid w:val="00373061"/>
    <w:rsid w:val="00373882"/>
    <w:rsid w:val="003843DB"/>
    <w:rsid w:val="00391300"/>
    <w:rsid w:val="00393761"/>
    <w:rsid w:val="00397D18"/>
    <w:rsid w:val="003A1B36"/>
    <w:rsid w:val="003A2056"/>
    <w:rsid w:val="003A56B5"/>
    <w:rsid w:val="003B1454"/>
    <w:rsid w:val="003B18B6"/>
    <w:rsid w:val="003B3BFA"/>
    <w:rsid w:val="003C59E0"/>
    <w:rsid w:val="003C6C8D"/>
    <w:rsid w:val="003D4F95"/>
    <w:rsid w:val="003D5F42"/>
    <w:rsid w:val="003D60A9"/>
    <w:rsid w:val="003D6163"/>
    <w:rsid w:val="003F4C97"/>
    <w:rsid w:val="003F7A34"/>
    <w:rsid w:val="003F7FE6"/>
    <w:rsid w:val="00400193"/>
    <w:rsid w:val="004212E7"/>
    <w:rsid w:val="00423621"/>
    <w:rsid w:val="0042446D"/>
    <w:rsid w:val="00427BF8"/>
    <w:rsid w:val="00431C02"/>
    <w:rsid w:val="00437395"/>
    <w:rsid w:val="00445047"/>
    <w:rsid w:val="00463E39"/>
    <w:rsid w:val="004657FC"/>
    <w:rsid w:val="00470EA8"/>
    <w:rsid w:val="004733F6"/>
    <w:rsid w:val="004738CA"/>
    <w:rsid w:val="00474E69"/>
    <w:rsid w:val="00494DBA"/>
    <w:rsid w:val="0049621B"/>
    <w:rsid w:val="004C1895"/>
    <w:rsid w:val="004C271E"/>
    <w:rsid w:val="004C6D40"/>
    <w:rsid w:val="004F0C3C"/>
    <w:rsid w:val="004F63FC"/>
    <w:rsid w:val="00505A92"/>
    <w:rsid w:val="005203F1"/>
    <w:rsid w:val="0052050A"/>
    <w:rsid w:val="00521BC3"/>
    <w:rsid w:val="00533632"/>
    <w:rsid w:val="00541E6E"/>
    <w:rsid w:val="0054251F"/>
    <w:rsid w:val="00544EB2"/>
    <w:rsid w:val="005477A0"/>
    <w:rsid w:val="00551CD7"/>
    <w:rsid w:val="005520D8"/>
    <w:rsid w:val="00556CF1"/>
    <w:rsid w:val="005652B2"/>
    <w:rsid w:val="005762A7"/>
    <w:rsid w:val="0058274D"/>
    <w:rsid w:val="005916D7"/>
    <w:rsid w:val="005A698C"/>
    <w:rsid w:val="005A7330"/>
    <w:rsid w:val="005E0799"/>
    <w:rsid w:val="005E6947"/>
    <w:rsid w:val="005F0BD3"/>
    <w:rsid w:val="005F5A80"/>
    <w:rsid w:val="006044FF"/>
    <w:rsid w:val="0060773A"/>
    <w:rsid w:val="00607CC5"/>
    <w:rsid w:val="00633014"/>
    <w:rsid w:val="0063437B"/>
    <w:rsid w:val="00636363"/>
    <w:rsid w:val="00654A64"/>
    <w:rsid w:val="00663999"/>
    <w:rsid w:val="006673CA"/>
    <w:rsid w:val="00673C26"/>
    <w:rsid w:val="006812AF"/>
    <w:rsid w:val="0068327D"/>
    <w:rsid w:val="00694AF0"/>
    <w:rsid w:val="006A4686"/>
    <w:rsid w:val="006B0E9E"/>
    <w:rsid w:val="006B5AE4"/>
    <w:rsid w:val="006C4B14"/>
    <w:rsid w:val="006D1507"/>
    <w:rsid w:val="006D18F8"/>
    <w:rsid w:val="006D2D4D"/>
    <w:rsid w:val="006D4054"/>
    <w:rsid w:val="006E02EC"/>
    <w:rsid w:val="00715731"/>
    <w:rsid w:val="00721024"/>
    <w:rsid w:val="007211B1"/>
    <w:rsid w:val="007276C9"/>
    <w:rsid w:val="0073223E"/>
    <w:rsid w:val="00746187"/>
    <w:rsid w:val="00755BFA"/>
    <w:rsid w:val="00761C10"/>
    <w:rsid w:val="0076254F"/>
    <w:rsid w:val="00770EF8"/>
    <w:rsid w:val="007801F5"/>
    <w:rsid w:val="00783CA4"/>
    <w:rsid w:val="007842FB"/>
    <w:rsid w:val="00786124"/>
    <w:rsid w:val="0079514B"/>
    <w:rsid w:val="007A2DC1"/>
    <w:rsid w:val="007C5593"/>
    <w:rsid w:val="007C5DD8"/>
    <w:rsid w:val="007D3319"/>
    <w:rsid w:val="007D335D"/>
    <w:rsid w:val="007E3314"/>
    <w:rsid w:val="007E4B03"/>
    <w:rsid w:val="007F324B"/>
    <w:rsid w:val="0080553C"/>
    <w:rsid w:val="00805B46"/>
    <w:rsid w:val="00825DC2"/>
    <w:rsid w:val="00834AD3"/>
    <w:rsid w:val="00843795"/>
    <w:rsid w:val="00847F0F"/>
    <w:rsid w:val="008519D2"/>
    <w:rsid w:val="00852448"/>
    <w:rsid w:val="00854B09"/>
    <w:rsid w:val="0088258A"/>
    <w:rsid w:val="00886332"/>
    <w:rsid w:val="008A0D14"/>
    <w:rsid w:val="008A26D9"/>
    <w:rsid w:val="008B029E"/>
    <w:rsid w:val="008C0C29"/>
    <w:rsid w:val="008F3638"/>
    <w:rsid w:val="008F4441"/>
    <w:rsid w:val="008F6F31"/>
    <w:rsid w:val="008F74DF"/>
    <w:rsid w:val="009127BA"/>
    <w:rsid w:val="00915AA6"/>
    <w:rsid w:val="009227A6"/>
    <w:rsid w:val="00931837"/>
    <w:rsid w:val="00933EC1"/>
    <w:rsid w:val="009530DB"/>
    <w:rsid w:val="00953676"/>
    <w:rsid w:val="0095512A"/>
    <w:rsid w:val="00961AA8"/>
    <w:rsid w:val="00963855"/>
    <w:rsid w:val="00966718"/>
    <w:rsid w:val="009705EE"/>
    <w:rsid w:val="00976BED"/>
    <w:rsid w:val="00977927"/>
    <w:rsid w:val="0098135C"/>
    <w:rsid w:val="0098156A"/>
    <w:rsid w:val="00985CF5"/>
    <w:rsid w:val="00991BAC"/>
    <w:rsid w:val="009946E9"/>
    <w:rsid w:val="009A5961"/>
    <w:rsid w:val="009A6EA0"/>
    <w:rsid w:val="009C1335"/>
    <w:rsid w:val="009C1AB2"/>
    <w:rsid w:val="009C7251"/>
    <w:rsid w:val="009D1F6C"/>
    <w:rsid w:val="009E2806"/>
    <w:rsid w:val="009E2E91"/>
    <w:rsid w:val="009F750F"/>
    <w:rsid w:val="009F7516"/>
    <w:rsid w:val="009F7D68"/>
    <w:rsid w:val="00A047BF"/>
    <w:rsid w:val="00A139F5"/>
    <w:rsid w:val="00A16696"/>
    <w:rsid w:val="00A203DF"/>
    <w:rsid w:val="00A24587"/>
    <w:rsid w:val="00A365F4"/>
    <w:rsid w:val="00A47D80"/>
    <w:rsid w:val="00A53132"/>
    <w:rsid w:val="00A563F2"/>
    <w:rsid w:val="00A566E8"/>
    <w:rsid w:val="00A67D1B"/>
    <w:rsid w:val="00A810F9"/>
    <w:rsid w:val="00A86ECC"/>
    <w:rsid w:val="00A86FCC"/>
    <w:rsid w:val="00AA710D"/>
    <w:rsid w:val="00AA71AB"/>
    <w:rsid w:val="00AB5DFF"/>
    <w:rsid w:val="00AB6D25"/>
    <w:rsid w:val="00AC3FCE"/>
    <w:rsid w:val="00AC640B"/>
    <w:rsid w:val="00AE2D4B"/>
    <w:rsid w:val="00AE4F99"/>
    <w:rsid w:val="00B12859"/>
    <w:rsid w:val="00B1321E"/>
    <w:rsid w:val="00B14952"/>
    <w:rsid w:val="00B31E5A"/>
    <w:rsid w:val="00B653AB"/>
    <w:rsid w:val="00B65F9E"/>
    <w:rsid w:val="00B66B19"/>
    <w:rsid w:val="00B90CA4"/>
    <w:rsid w:val="00B914E9"/>
    <w:rsid w:val="00B956EE"/>
    <w:rsid w:val="00BA2BA1"/>
    <w:rsid w:val="00BA6D50"/>
    <w:rsid w:val="00BB1274"/>
    <w:rsid w:val="00BB4F09"/>
    <w:rsid w:val="00BC39B4"/>
    <w:rsid w:val="00BD4E33"/>
    <w:rsid w:val="00BE13B8"/>
    <w:rsid w:val="00BF65E1"/>
    <w:rsid w:val="00C030DE"/>
    <w:rsid w:val="00C22105"/>
    <w:rsid w:val="00C244B6"/>
    <w:rsid w:val="00C24FD7"/>
    <w:rsid w:val="00C36678"/>
    <w:rsid w:val="00C3702F"/>
    <w:rsid w:val="00C37851"/>
    <w:rsid w:val="00C64A37"/>
    <w:rsid w:val="00C7158E"/>
    <w:rsid w:val="00C7250B"/>
    <w:rsid w:val="00C7346B"/>
    <w:rsid w:val="00C77C0E"/>
    <w:rsid w:val="00C91687"/>
    <w:rsid w:val="00C9209D"/>
    <w:rsid w:val="00C924A8"/>
    <w:rsid w:val="00C927CA"/>
    <w:rsid w:val="00C92CCD"/>
    <w:rsid w:val="00C945FE"/>
    <w:rsid w:val="00C96FAA"/>
    <w:rsid w:val="00C97A04"/>
    <w:rsid w:val="00CA107B"/>
    <w:rsid w:val="00CA484D"/>
    <w:rsid w:val="00CA4FB6"/>
    <w:rsid w:val="00CB41A7"/>
    <w:rsid w:val="00CC739E"/>
    <w:rsid w:val="00CD58B7"/>
    <w:rsid w:val="00CF4099"/>
    <w:rsid w:val="00D00796"/>
    <w:rsid w:val="00D261A2"/>
    <w:rsid w:val="00D30555"/>
    <w:rsid w:val="00D41F6D"/>
    <w:rsid w:val="00D616D2"/>
    <w:rsid w:val="00D63B5F"/>
    <w:rsid w:val="00D64203"/>
    <w:rsid w:val="00D70EF7"/>
    <w:rsid w:val="00D8397C"/>
    <w:rsid w:val="00D94EED"/>
    <w:rsid w:val="00D96026"/>
    <w:rsid w:val="00DA7C1C"/>
    <w:rsid w:val="00DB147A"/>
    <w:rsid w:val="00DB1B7A"/>
    <w:rsid w:val="00DB3C5D"/>
    <w:rsid w:val="00DC00B9"/>
    <w:rsid w:val="00DC6708"/>
    <w:rsid w:val="00E01436"/>
    <w:rsid w:val="00E045BD"/>
    <w:rsid w:val="00E17B77"/>
    <w:rsid w:val="00E215E7"/>
    <w:rsid w:val="00E23337"/>
    <w:rsid w:val="00E259EA"/>
    <w:rsid w:val="00E31ACC"/>
    <w:rsid w:val="00E32061"/>
    <w:rsid w:val="00E42FF9"/>
    <w:rsid w:val="00E4714C"/>
    <w:rsid w:val="00E51AEB"/>
    <w:rsid w:val="00E522A7"/>
    <w:rsid w:val="00E54452"/>
    <w:rsid w:val="00E664C5"/>
    <w:rsid w:val="00E671A2"/>
    <w:rsid w:val="00E76D26"/>
    <w:rsid w:val="00E839AB"/>
    <w:rsid w:val="00E84408"/>
    <w:rsid w:val="00EB1390"/>
    <w:rsid w:val="00EB2C71"/>
    <w:rsid w:val="00EB4340"/>
    <w:rsid w:val="00EB556D"/>
    <w:rsid w:val="00EB5A7D"/>
    <w:rsid w:val="00ED17AB"/>
    <w:rsid w:val="00ED55C0"/>
    <w:rsid w:val="00ED682B"/>
    <w:rsid w:val="00EE41D5"/>
    <w:rsid w:val="00F037A4"/>
    <w:rsid w:val="00F06B26"/>
    <w:rsid w:val="00F12473"/>
    <w:rsid w:val="00F27C8F"/>
    <w:rsid w:val="00F32749"/>
    <w:rsid w:val="00F37172"/>
    <w:rsid w:val="00F37B4A"/>
    <w:rsid w:val="00F4477E"/>
    <w:rsid w:val="00F670E8"/>
    <w:rsid w:val="00F67D8F"/>
    <w:rsid w:val="00F765CE"/>
    <w:rsid w:val="00F802BE"/>
    <w:rsid w:val="00F86024"/>
    <w:rsid w:val="00F8611A"/>
    <w:rsid w:val="00FA4729"/>
    <w:rsid w:val="00FA5128"/>
    <w:rsid w:val="00FB42D4"/>
    <w:rsid w:val="00FB5906"/>
    <w:rsid w:val="00FB762F"/>
    <w:rsid w:val="00FC2AED"/>
    <w:rsid w:val="00FC7B04"/>
    <w:rsid w:val="00FD5EA7"/>
    <w:rsid w:val="00FD670D"/>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0560"/>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table" w:customStyle="1" w:styleId="Tabela-Siatka1">
    <w:name w:val="Tabela - Siatka1"/>
    <w:basedOn w:val="Standardowy"/>
    <w:next w:val="Tabela-Siatka"/>
    <w:uiPriority w:val="39"/>
    <w:rsid w:val="0097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36678"/>
  </w:style>
  <w:style w:type="character" w:styleId="Odwoaniedokomentarza">
    <w:name w:val="annotation reference"/>
    <w:basedOn w:val="Domylnaczcionkaakapitu"/>
    <w:uiPriority w:val="99"/>
    <w:semiHidden/>
    <w:unhideWhenUsed/>
    <w:rsid w:val="00854B09"/>
    <w:rPr>
      <w:sz w:val="16"/>
      <w:szCs w:val="16"/>
    </w:rPr>
  </w:style>
  <w:style w:type="paragraph" w:styleId="Tekstkomentarza">
    <w:name w:val="annotation text"/>
    <w:basedOn w:val="Normalny"/>
    <w:link w:val="TekstkomentarzaZnak"/>
    <w:uiPriority w:val="99"/>
    <w:semiHidden/>
    <w:unhideWhenUsed/>
    <w:rsid w:val="00854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B09"/>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854B09"/>
    <w:rPr>
      <w:b/>
      <w:bCs/>
    </w:rPr>
  </w:style>
  <w:style w:type="character" w:customStyle="1" w:styleId="TematkomentarzaZnak">
    <w:name w:val="Temat komentarza Znak"/>
    <w:basedOn w:val="TekstkomentarzaZnak"/>
    <w:link w:val="Tematkomentarza"/>
    <w:uiPriority w:val="99"/>
    <w:semiHidden/>
    <w:rsid w:val="00854B09"/>
    <w:rPr>
      <w:rFonts w:ascii="Fira Sans" w:hAnsi="Fira Sans"/>
      <w:b/>
      <w:bCs/>
      <w:sz w:val="20"/>
      <w:szCs w:val="20"/>
    </w:rPr>
  </w:style>
  <w:style w:type="paragraph" w:styleId="NormalnyWeb">
    <w:name w:val="Normal (Web)"/>
    <w:basedOn w:val="Normalny"/>
    <w:uiPriority w:val="99"/>
    <w:semiHidden/>
    <w:unhideWhenUsed/>
    <w:rsid w:val="00755BFA"/>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17949015">
      <w:bodyDiv w:val="1"/>
      <w:marLeft w:val="0"/>
      <w:marRight w:val="0"/>
      <w:marTop w:val="0"/>
      <w:marBottom w:val="0"/>
      <w:divBdr>
        <w:top w:val="none" w:sz="0" w:space="0" w:color="auto"/>
        <w:left w:val="none" w:sz="0" w:space="0" w:color="auto"/>
        <w:bottom w:val="none" w:sz="0" w:space="0" w:color="auto"/>
        <w:right w:val="none" w:sz="0" w:space="0" w:color="auto"/>
      </w:divBdr>
      <w:divsChild>
        <w:div w:id="1084036601">
          <w:marLeft w:val="0"/>
          <w:marRight w:val="0"/>
          <w:marTop w:val="0"/>
          <w:marBottom w:val="0"/>
          <w:divBdr>
            <w:top w:val="none" w:sz="0" w:space="0" w:color="auto"/>
            <w:left w:val="none" w:sz="0" w:space="0" w:color="auto"/>
            <w:bottom w:val="none" w:sz="0" w:space="0" w:color="auto"/>
            <w:right w:val="none" w:sz="0" w:space="0" w:color="auto"/>
          </w:divBdr>
        </w:div>
        <w:div w:id="1870751058">
          <w:marLeft w:val="0"/>
          <w:marRight w:val="0"/>
          <w:marTop w:val="0"/>
          <w:marBottom w:val="0"/>
          <w:divBdr>
            <w:top w:val="none" w:sz="0" w:space="0" w:color="auto"/>
            <w:left w:val="none" w:sz="0" w:space="0" w:color="auto"/>
            <w:bottom w:val="none" w:sz="0" w:space="0" w:color="auto"/>
            <w:right w:val="none" w:sz="0" w:space="0" w:color="auto"/>
          </w:divBdr>
        </w:div>
      </w:divsChild>
    </w:div>
    <w:div w:id="495071256">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55189925">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arszawa.stat.gov.pl/en/" TargetMode="External"/><Relationship Id="rId26" Type="http://schemas.openxmlformats.org/officeDocument/2006/relationships/hyperlink" Target="https://bdl.stat.gov.pl/BDL/dane/podgrup/temat"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2.xml"/><Relationship Id="rId25" Type="http://schemas.openxmlformats.org/officeDocument/2006/relationships/hyperlink" Target="https://ec.europa.eu/eurostat/web/tourism/data/databas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bdl.stat.gov.pl/BDL/dane/podgrup/tema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c.europa.eu/eurostat/web/tourism/data/database" TargetMode="Externa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mailto:obslugaprasowa@stat.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Dysk_D\dysk_C\Komunikaty\2020\Turystyka%20w%20Unii\WYKRES%20_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Dysk_D\dysk_C\Komunikaty\2020\Turystyka%20w%20Unii\Wersja%20angielska\Wykres_2%20ANG.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3562809111488"/>
          <c:y val="3.0174187354272391E-2"/>
          <c:w val="0.75863950438697947"/>
          <c:h val="0.89930050747496904"/>
        </c:manualLayout>
      </c:layout>
      <c:barChart>
        <c:barDir val="bar"/>
        <c:grouping val="clustered"/>
        <c:varyColors val="0"/>
        <c:ser>
          <c:idx val="2"/>
          <c:order val="2"/>
          <c:spPr>
            <a:solidFill>
              <a:srgbClr val="001D77"/>
            </a:solidFill>
            <a:ln>
              <a:noFill/>
            </a:ln>
            <a:effectLst/>
          </c:spPr>
          <c:invertIfNegative val="0"/>
          <c:cat>
            <c:strRef>
              <c:f>Arkusz1!$E$5:$E$32</c:f>
              <c:strCache>
                <c:ptCount val="28"/>
                <c:pt idx="0">
                  <c:v>Malta </c:v>
                </c:pt>
                <c:pt idx="1">
                  <c:v>Luxembourg</c:v>
                </c:pt>
                <c:pt idx="2">
                  <c:v>Croatia</c:v>
                </c:pt>
                <c:pt idx="3">
                  <c:v>Cyprus </c:v>
                </c:pt>
                <c:pt idx="4">
                  <c:v>Greece </c:v>
                </c:pt>
                <c:pt idx="5">
                  <c:v>Slovenia</c:v>
                </c:pt>
                <c:pt idx="6">
                  <c:v>Latvia</c:v>
                </c:pt>
                <c:pt idx="7">
                  <c:v>Austria </c:v>
                </c:pt>
                <c:pt idx="8">
                  <c:v>Estonia </c:v>
                </c:pt>
                <c:pt idx="9">
                  <c:v>Portugal </c:v>
                </c:pt>
                <c:pt idx="10">
                  <c:v>Belgium </c:v>
                </c:pt>
                <c:pt idx="11">
                  <c:v>Spain </c:v>
                </c:pt>
                <c:pt idx="12">
                  <c:v>Bulgaria</c:v>
                </c:pt>
                <c:pt idx="13">
                  <c:v>Czechia</c:v>
                </c:pt>
                <c:pt idx="14">
                  <c:v>Italy</c:v>
                </c:pt>
                <c:pt idx="15">
                  <c:v>Lithuania </c:v>
                </c:pt>
                <c:pt idx="16">
                  <c:v>Hungary</c:v>
                </c:pt>
                <c:pt idx="17">
                  <c:v>Netherlands </c:v>
                </c:pt>
                <c:pt idx="18">
                  <c:v>Slovakia</c:v>
                </c:pt>
                <c:pt idx="19">
                  <c:v>Denmark </c:v>
                </c:pt>
                <c:pt idx="20">
                  <c:v>United Kingdom</c:v>
                </c:pt>
                <c:pt idx="21">
                  <c:v>France </c:v>
                </c:pt>
                <c:pt idx="22">
                  <c:v>Ireland</c:v>
                </c:pt>
                <c:pt idx="23">
                  <c:v>Finland </c:v>
                </c:pt>
                <c:pt idx="24">
                  <c:v>Sweden </c:v>
                </c:pt>
                <c:pt idx="25">
                  <c:v>Romania </c:v>
                </c:pt>
                <c:pt idx="26">
                  <c:v>Germany </c:v>
                </c:pt>
                <c:pt idx="27">
                  <c:v>Poland </c:v>
                </c:pt>
              </c:strCache>
            </c:strRef>
          </c:cat>
          <c:val>
            <c:numRef>
              <c:f>Arkusz1!$D$5:$D$32</c:f>
              <c:numCache>
                <c:formatCode>General</c:formatCode>
                <c:ptCount val="28"/>
                <c:pt idx="0">
                  <c:v>90.690055730439994</c:v>
                </c:pt>
                <c:pt idx="1">
                  <c:v>89.350302053401251</c:v>
                </c:pt>
                <c:pt idx="2">
                  <c:v>89.200864370982643</c:v>
                </c:pt>
                <c:pt idx="3">
                  <c:v>83.903302350746472</c:v>
                </c:pt>
                <c:pt idx="4">
                  <c:v>72.82360034060757</c:v>
                </c:pt>
                <c:pt idx="5">
                  <c:v>72.424757552454153</c:v>
                </c:pt>
                <c:pt idx="6">
                  <c:v>68.548544435931547</c:v>
                </c:pt>
                <c:pt idx="7">
                  <c:v>67.358101616522191</c:v>
                </c:pt>
                <c:pt idx="8">
                  <c:v>59.600110817361575</c:v>
                </c:pt>
                <c:pt idx="9">
                  <c:v>58.128654206600359</c:v>
                </c:pt>
                <c:pt idx="10">
                  <c:v>51.929943852233905</c:v>
                </c:pt>
                <c:pt idx="11">
                  <c:v>50.282278422842566</c:v>
                </c:pt>
                <c:pt idx="12">
                  <c:v>50.132300299499462</c:v>
                </c:pt>
                <c:pt idx="13">
                  <c:v>49.942669958088501</c:v>
                </c:pt>
                <c:pt idx="14">
                  <c:v>49.332352242370881</c:v>
                </c:pt>
                <c:pt idx="15">
                  <c:v>48.191852259010773</c:v>
                </c:pt>
                <c:pt idx="16">
                  <c:v>45.327063257430432</c:v>
                </c:pt>
                <c:pt idx="17">
                  <c:v>42.767496310570436</c:v>
                </c:pt>
                <c:pt idx="18">
                  <c:v>40.348086011699571</c:v>
                </c:pt>
                <c:pt idx="19">
                  <c:v>38.05163861355441</c:v>
                </c:pt>
                <c:pt idx="20">
                  <c:v>35.618831083049955</c:v>
                </c:pt>
                <c:pt idx="21">
                  <c:v>30.619983821166141</c:v>
                </c:pt>
                <c:pt idx="22">
                  <c:v>30.056020365529807</c:v>
                </c:pt>
                <c:pt idx="23">
                  <c:v>26.94186076730093</c:v>
                </c:pt>
                <c:pt idx="24">
                  <c:v>23.480743797754162</c:v>
                </c:pt>
                <c:pt idx="25">
                  <c:v>21.742105316955783</c:v>
                </c:pt>
                <c:pt idx="26">
                  <c:v>21.617512338851466</c:v>
                </c:pt>
                <c:pt idx="27">
                  <c:v>20.894045391290341</c:v>
                </c:pt>
              </c:numCache>
            </c:numRef>
          </c:val>
        </c:ser>
        <c:dLbls>
          <c:showLegendKey val="0"/>
          <c:showVal val="0"/>
          <c:showCatName val="0"/>
          <c:showSerName val="0"/>
          <c:showPercent val="0"/>
          <c:showBubbleSize val="0"/>
        </c:dLbls>
        <c:gapWidth val="219"/>
        <c:axId val="1211430832"/>
        <c:axId val="121143300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Arkusz1!$E$5:$E$32</c15:sqref>
                        </c15:formulaRef>
                      </c:ext>
                    </c:extLst>
                    <c:strCache>
                      <c:ptCount val="28"/>
                      <c:pt idx="0">
                        <c:v>Malta </c:v>
                      </c:pt>
                      <c:pt idx="1">
                        <c:v>Luxembourg</c:v>
                      </c:pt>
                      <c:pt idx="2">
                        <c:v>Croatia</c:v>
                      </c:pt>
                      <c:pt idx="3">
                        <c:v>Cyprus </c:v>
                      </c:pt>
                      <c:pt idx="4">
                        <c:v>Greece </c:v>
                      </c:pt>
                      <c:pt idx="5">
                        <c:v>Slovenia</c:v>
                      </c:pt>
                      <c:pt idx="6">
                        <c:v>Latvia</c:v>
                      </c:pt>
                      <c:pt idx="7">
                        <c:v>Austria </c:v>
                      </c:pt>
                      <c:pt idx="8">
                        <c:v>Estonia </c:v>
                      </c:pt>
                      <c:pt idx="9">
                        <c:v>Portugal </c:v>
                      </c:pt>
                      <c:pt idx="10">
                        <c:v>Belgium </c:v>
                      </c:pt>
                      <c:pt idx="11">
                        <c:v>Spain </c:v>
                      </c:pt>
                      <c:pt idx="12">
                        <c:v>Bulgaria</c:v>
                      </c:pt>
                      <c:pt idx="13">
                        <c:v>Czechia</c:v>
                      </c:pt>
                      <c:pt idx="14">
                        <c:v>Italy</c:v>
                      </c:pt>
                      <c:pt idx="15">
                        <c:v>Lithuania </c:v>
                      </c:pt>
                      <c:pt idx="16">
                        <c:v>Hungary</c:v>
                      </c:pt>
                      <c:pt idx="17">
                        <c:v>Netherlands </c:v>
                      </c:pt>
                      <c:pt idx="18">
                        <c:v>Slovakia</c:v>
                      </c:pt>
                      <c:pt idx="19">
                        <c:v>Denmark </c:v>
                      </c:pt>
                      <c:pt idx="20">
                        <c:v>United Kingdom</c:v>
                      </c:pt>
                      <c:pt idx="21">
                        <c:v>France </c:v>
                      </c:pt>
                      <c:pt idx="22">
                        <c:v>Ireland</c:v>
                      </c:pt>
                      <c:pt idx="23">
                        <c:v>Finland </c:v>
                      </c:pt>
                      <c:pt idx="24">
                        <c:v>Sweden </c:v>
                      </c:pt>
                      <c:pt idx="25">
                        <c:v>Romania </c:v>
                      </c:pt>
                      <c:pt idx="26">
                        <c:v>Germany </c:v>
                      </c:pt>
                      <c:pt idx="27">
                        <c:v>Poland </c:v>
                      </c:pt>
                    </c:strCache>
                  </c:strRef>
                </c:cat>
                <c:val>
                  <c:numRef>
                    <c:extLst>
                      <c:ext uri="{02D57815-91ED-43cb-92C2-25804820EDAC}">
                        <c15:formulaRef>
                          <c15:sqref>Arkusz1!$B$5:$B$32</c15:sqref>
                        </c15:formulaRef>
                      </c:ext>
                    </c:extLst>
                    <c:numCache>
                      <c:formatCode>0.0%</c:formatCode>
                      <c:ptCount val="28"/>
                      <c:pt idx="0">
                        <c:v>0.9069005573044</c:v>
                      </c:pt>
                      <c:pt idx="1">
                        <c:v>0.89350302053401254</c:v>
                      </c:pt>
                      <c:pt idx="2">
                        <c:v>0.89200864370982647</c:v>
                      </c:pt>
                      <c:pt idx="3">
                        <c:v>0.83903302350746467</c:v>
                      </c:pt>
                      <c:pt idx="4">
                        <c:v>0.72823600340607564</c:v>
                      </c:pt>
                      <c:pt idx="5">
                        <c:v>0.72424757552454155</c:v>
                      </c:pt>
                      <c:pt idx="6">
                        <c:v>0.68548544435931547</c:v>
                      </c:pt>
                      <c:pt idx="7">
                        <c:v>0.67358101616522192</c:v>
                      </c:pt>
                      <c:pt idx="8">
                        <c:v>0.59600110817361573</c:v>
                      </c:pt>
                      <c:pt idx="9">
                        <c:v>0.58128654206600361</c:v>
                      </c:pt>
                      <c:pt idx="10">
                        <c:v>0.51929943852233906</c:v>
                      </c:pt>
                      <c:pt idx="11">
                        <c:v>0.50282278422842563</c:v>
                      </c:pt>
                      <c:pt idx="12">
                        <c:v>0.50132300299499466</c:v>
                      </c:pt>
                      <c:pt idx="13">
                        <c:v>0.49942669958088498</c:v>
                      </c:pt>
                      <c:pt idx="14">
                        <c:v>0.4933235224237088</c:v>
                      </c:pt>
                      <c:pt idx="15">
                        <c:v>0.4819185225901077</c:v>
                      </c:pt>
                      <c:pt idx="16">
                        <c:v>0.45327063257430433</c:v>
                      </c:pt>
                      <c:pt idx="17">
                        <c:v>0.42767496310570435</c:v>
                      </c:pt>
                      <c:pt idx="18">
                        <c:v>0.40348086011699574</c:v>
                      </c:pt>
                      <c:pt idx="19">
                        <c:v>0.38051638613554412</c:v>
                      </c:pt>
                      <c:pt idx="20">
                        <c:v>0.35618831083049957</c:v>
                      </c:pt>
                      <c:pt idx="21">
                        <c:v>0.30619983821166141</c:v>
                      </c:pt>
                      <c:pt idx="22">
                        <c:v>0.30056020365529806</c:v>
                      </c:pt>
                      <c:pt idx="23">
                        <c:v>0.26941860767300929</c:v>
                      </c:pt>
                      <c:pt idx="24">
                        <c:v>0.23480743797754161</c:v>
                      </c:pt>
                      <c:pt idx="25">
                        <c:v>0.21742105316955784</c:v>
                      </c:pt>
                      <c:pt idx="26">
                        <c:v>0.21617512338851466</c:v>
                      </c:pt>
                      <c:pt idx="27">
                        <c:v>0.20894045391290342</c:v>
                      </c:pt>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Arkusz1!$E$5:$E$32</c15:sqref>
                        </c15:formulaRef>
                      </c:ext>
                    </c:extLst>
                    <c:strCache>
                      <c:ptCount val="28"/>
                      <c:pt idx="0">
                        <c:v>Malta </c:v>
                      </c:pt>
                      <c:pt idx="1">
                        <c:v>Luxembourg</c:v>
                      </c:pt>
                      <c:pt idx="2">
                        <c:v>Croatia</c:v>
                      </c:pt>
                      <c:pt idx="3">
                        <c:v>Cyprus </c:v>
                      </c:pt>
                      <c:pt idx="4">
                        <c:v>Greece </c:v>
                      </c:pt>
                      <c:pt idx="5">
                        <c:v>Slovenia</c:v>
                      </c:pt>
                      <c:pt idx="6">
                        <c:v>Latvia</c:v>
                      </c:pt>
                      <c:pt idx="7">
                        <c:v>Austria </c:v>
                      </c:pt>
                      <c:pt idx="8">
                        <c:v>Estonia </c:v>
                      </c:pt>
                      <c:pt idx="9">
                        <c:v>Portugal </c:v>
                      </c:pt>
                      <c:pt idx="10">
                        <c:v>Belgium </c:v>
                      </c:pt>
                      <c:pt idx="11">
                        <c:v>Spain </c:v>
                      </c:pt>
                      <c:pt idx="12">
                        <c:v>Bulgaria</c:v>
                      </c:pt>
                      <c:pt idx="13">
                        <c:v>Czechia</c:v>
                      </c:pt>
                      <c:pt idx="14">
                        <c:v>Italy</c:v>
                      </c:pt>
                      <c:pt idx="15">
                        <c:v>Lithuania </c:v>
                      </c:pt>
                      <c:pt idx="16">
                        <c:v>Hungary</c:v>
                      </c:pt>
                      <c:pt idx="17">
                        <c:v>Netherlands </c:v>
                      </c:pt>
                      <c:pt idx="18">
                        <c:v>Slovakia</c:v>
                      </c:pt>
                      <c:pt idx="19">
                        <c:v>Denmark </c:v>
                      </c:pt>
                      <c:pt idx="20">
                        <c:v>United Kingdom</c:v>
                      </c:pt>
                      <c:pt idx="21">
                        <c:v>France </c:v>
                      </c:pt>
                      <c:pt idx="22">
                        <c:v>Ireland</c:v>
                      </c:pt>
                      <c:pt idx="23">
                        <c:v>Finland </c:v>
                      </c:pt>
                      <c:pt idx="24">
                        <c:v>Sweden </c:v>
                      </c:pt>
                      <c:pt idx="25">
                        <c:v>Romania </c:v>
                      </c:pt>
                      <c:pt idx="26">
                        <c:v>Germany </c:v>
                      </c:pt>
                      <c:pt idx="27">
                        <c:v>Poland </c:v>
                      </c:pt>
                    </c:strCache>
                  </c:strRef>
                </c:cat>
                <c:val>
                  <c:numRef>
                    <c:extLst xmlns:c15="http://schemas.microsoft.com/office/drawing/2012/chart">
                      <c:ext xmlns:c15="http://schemas.microsoft.com/office/drawing/2012/chart" uri="{02D57815-91ED-43cb-92C2-25804820EDAC}">
                        <c15:formulaRef>
                          <c15:sqref>Arkusz1!$C$5:$C$32</c15:sqref>
                        </c15:formulaRef>
                      </c:ext>
                    </c:extLst>
                    <c:numCache>
                      <c:formatCode>General</c:formatCode>
                      <c:ptCount val="28"/>
                      <c:pt idx="0">
                        <c:v>0.9069005573044</c:v>
                      </c:pt>
                      <c:pt idx="1">
                        <c:v>0.89350302053401254</c:v>
                      </c:pt>
                      <c:pt idx="2">
                        <c:v>0.89200864370982647</c:v>
                      </c:pt>
                      <c:pt idx="3">
                        <c:v>0.83903302350746467</c:v>
                      </c:pt>
                      <c:pt idx="4">
                        <c:v>0.72823600340607564</c:v>
                      </c:pt>
                      <c:pt idx="5">
                        <c:v>0.72424757552454155</c:v>
                      </c:pt>
                      <c:pt idx="6">
                        <c:v>0.68548544435931547</c:v>
                      </c:pt>
                      <c:pt idx="7">
                        <c:v>0.67358101616522192</c:v>
                      </c:pt>
                      <c:pt idx="8">
                        <c:v>0.59600110817361573</c:v>
                      </c:pt>
                      <c:pt idx="9">
                        <c:v>0.58128654206600361</c:v>
                      </c:pt>
                      <c:pt idx="10">
                        <c:v>0.51929943852233906</c:v>
                      </c:pt>
                      <c:pt idx="11">
                        <c:v>0.50282278422842563</c:v>
                      </c:pt>
                      <c:pt idx="12">
                        <c:v>0.50132300299499466</c:v>
                      </c:pt>
                      <c:pt idx="13">
                        <c:v>0.49942669958088498</c:v>
                      </c:pt>
                      <c:pt idx="14">
                        <c:v>0.4933235224237088</c:v>
                      </c:pt>
                      <c:pt idx="15">
                        <c:v>0.4819185225901077</c:v>
                      </c:pt>
                      <c:pt idx="16">
                        <c:v>0.45327063257430433</c:v>
                      </c:pt>
                      <c:pt idx="17">
                        <c:v>0.42767496310570435</c:v>
                      </c:pt>
                      <c:pt idx="18">
                        <c:v>0.40348086011699574</c:v>
                      </c:pt>
                      <c:pt idx="19">
                        <c:v>0.38051638613554412</c:v>
                      </c:pt>
                      <c:pt idx="20">
                        <c:v>0.35618831083049957</c:v>
                      </c:pt>
                      <c:pt idx="21">
                        <c:v>0.30619983821166141</c:v>
                      </c:pt>
                      <c:pt idx="22">
                        <c:v>0.30056020365529806</c:v>
                      </c:pt>
                      <c:pt idx="23">
                        <c:v>0.26941860767300929</c:v>
                      </c:pt>
                      <c:pt idx="24">
                        <c:v>0.23480743797754161</c:v>
                      </c:pt>
                      <c:pt idx="25">
                        <c:v>0.21742105316955784</c:v>
                      </c:pt>
                      <c:pt idx="26">
                        <c:v>0.21617512338851466</c:v>
                      </c:pt>
                      <c:pt idx="27">
                        <c:v>0.20894045391290342</c:v>
                      </c:pt>
                    </c:numCache>
                  </c:numRef>
                </c:val>
              </c15:ser>
            </c15:filteredBarSeries>
          </c:ext>
        </c:extLst>
      </c:barChart>
      <c:catAx>
        <c:axId val="1211430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211433008"/>
        <c:crosses val="autoZero"/>
        <c:auto val="1"/>
        <c:lblAlgn val="ctr"/>
        <c:lblOffset val="100"/>
        <c:noMultiLvlLbl val="0"/>
      </c:catAx>
      <c:valAx>
        <c:axId val="1211433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r>
                  <a:rPr lang="pl-PL" sz="900" b="0" i="0" baseline="0">
                    <a:solidFill>
                      <a:sysClr val="windowText" lastClr="000000"/>
                    </a:solidFill>
                    <a:effectLst/>
                    <a:latin typeface="Fira Sans" panose="020B0503050000020004" pitchFamily="34" charset="0"/>
                    <a:ea typeface="Fira Sans" panose="020B0503050000020004" pitchFamily="34" charset="0"/>
                  </a:rPr>
                  <a:t>Average of EU Member States</a:t>
                </a:r>
                <a:endParaRPr lang="pl-PL" sz="900">
                  <a:solidFill>
                    <a:sysClr val="windowText" lastClr="000000"/>
                  </a:solidFill>
                  <a:effectLst/>
                  <a:latin typeface="Fira Sans" panose="020B0503050000020004" pitchFamily="34" charset="0"/>
                  <a:ea typeface="Fira Sans" panose="020B0503050000020004" pitchFamily="34" charset="0"/>
                </a:endParaRPr>
              </a:p>
            </c:rich>
          </c:tx>
          <c:layout>
            <c:manualLayout>
              <c:xMode val="edge"/>
              <c:yMode val="edge"/>
              <c:x val="0.50570565997956096"/>
              <c:y val="1.9064600192017556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211430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80205151931316"/>
          <c:y val="2.8361479953590306E-2"/>
          <c:w val="0.75595607261624842"/>
          <c:h val="0.90535000644579067"/>
        </c:manualLayout>
      </c:layout>
      <c:barChart>
        <c:barDir val="bar"/>
        <c:grouping val="clustered"/>
        <c:varyColors val="0"/>
        <c:ser>
          <c:idx val="0"/>
          <c:order val="0"/>
          <c:spPr>
            <a:solidFill>
              <a:srgbClr val="001D77"/>
            </a:solidFill>
            <a:ln>
              <a:noFill/>
            </a:ln>
            <a:effectLst/>
          </c:spPr>
          <c:invertIfNegative val="0"/>
          <c:cat>
            <c:strRef>
              <c:f>Arkusz1!$C$5:$C$32</c:f>
              <c:strCache>
                <c:ptCount val="28"/>
                <c:pt idx="0">
                  <c:v>Croatia</c:v>
                </c:pt>
                <c:pt idx="1">
                  <c:v>Austria </c:v>
                </c:pt>
                <c:pt idx="2">
                  <c:v>Malta </c:v>
                </c:pt>
                <c:pt idx="3">
                  <c:v>Cyprus </c:v>
                </c:pt>
                <c:pt idx="4">
                  <c:v>Sweden </c:v>
                </c:pt>
                <c:pt idx="5">
                  <c:v>Spain </c:v>
                </c:pt>
                <c:pt idx="6">
                  <c:v>Estonia </c:v>
                </c:pt>
                <c:pt idx="7">
                  <c:v>Greece </c:v>
                </c:pt>
                <c:pt idx="8">
                  <c:v>France </c:v>
                </c:pt>
                <c:pt idx="9">
                  <c:v>Netherlands </c:v>
                </c:pt>
                <c:pt idx="10">
                  <c:v>Portugal </c:v>
                </c:pt>
                <c:pt idx="11">
                  <c:v>Slovenia</c:v>
                </c:pt>
                <c:pt idx="12">
                  <c:v>Finland </c:v>
                </c:pt>
                <c:pt idx="13">
                  <c:v>Ireland</c:v>
                </c:pt>
                <c:pt idx="14">
                  <c:v>Germany </c:v>
                </c:pt>
                <c:pt idx="15">
                  <c:v>Italy</c:v>
                </c:pt>
                <c:pt idx="16">
                  <c:v>Czechia</c:v>
                </c:pt>
                <c:pt idx="17">
                  <c:v>Luxembourg</c:v>
                </c:pt>
                <c:pt idx="18">
                  <c:v>United Kingdom</c:v>
                </c:pt>
                <c:pt idx="19">
                  <c:v>Belgium </c:v>
                </c:pt>
                <c:pt idx="20">
                  <c:v>Latvia</c:v>
                </c:pt>
                <c:pt idx="21">
                  <c:v>Denmark </c:v>
                </c:pt>
                <c:pt idx="22">
                  <c:v>Hungary</c:v>
                </c:pt>
                <c:pt idx="23">
                  <c:v>Lithuania </c:v>
                </c:pt>
                <c:pt idx="24">
                  <c:v>Bulgaria</c:v>
                </c:pt>
                <c:pt idx="25">
                  <c:v>Slovakia</c:v>
                </c:pt>
                <c:pt idx="26">
                  <c:v>Poland </c:v>
                </c:pt>
                <c:pt idx="27">
                  <c:v>Romania </c:v>
                </c:pt>
              </c:strCache>
            </c:strRef>
          </c:cat>
          <c:val>
            <c:numRef>
              <c:f>Arkusz1!$B$5:$B$32</c:f>
              <c:numCache>
                <c:formatCode>0.0</c:formatCode>
                <c:ptCount val="28"/>
                <c:pt idx="0">
                  <c:v>4.5586731622702708</c:v>
                </c:pt>
                <c:pt idx="1">
                  <c:v>4.5351942492982031</c:v>
                </c:pt>
                <c:pt idx="2">
                  <c:v>4.090912655015166</c:v>
                </c:pt>
                <c:pt idx="3">
                  <c:v>3.6516279780752519</c:v>
                </c:pt>
                <c:pt idx="4">
                  <c:v>3.0207572548723425</c:v>
                </c:pt>
                <c:pt idx="5">
                  <c:v>2.795156616228001</c:v>
                </c:pt>
                <c:pt idx="6">
                  <c:v>2.7167616065792397</c:v>
                </c:pt>
                <c:pt idx="7">
                  <c:v>2.6759995549644113</c:v>
                </c:pt>
                <c:pt idx="8">
                  <c:v>2.5602164930772542</c:v>
                </c:pt>
                <c:pt idx="9">
                  <c:v>2.5483736340919938</c:v>
                </c:pt>
                <c:pt idx="10">
                  <c:v>2.5152537646023045</c:v>
                </c:pt>
                <c:pt idx="11">
                  <c:v>2.358840905080009</c:v>
                </c:pt>
                <c:pt idx="12">
                  <c:v>2.1697151376990531</c:v>
                </c:pt>
                <c:pt idx="13">
                  <c:v>2.1685678883341906</c:v>
                </c:pt>
                <c:pt idx="14">
                  <c:v>2.1619984116427489</c:v>
                </c:pt>
                <c:pt idx="15">
                  <c:v>2.1201125730209824</c:v>
                </c:pt>
                <c:pt idx="16">
                  <c:v>1.9988047895905217</c:v>
                </c:pt>
                <c:pt idx="17">
                  <c:v>1.8735717358102935</c:v>
                </c:pt>
                <c:pt idx="18">
                  <c:v>1.83629916209883</c:v>
                </c:pt>
                <c:pt idx="19">
                  <c:v>1.5358630122512782</c:v>
                </c:pt>
                <c:pt idx="20">
                  <c:v>1.4574754167177995</c:v>
                </c:pt>
                <c:pt idx="21">
                  <c:v>1.3750733887211233</c:v>
                </c:pt>
                <c:pt idx="22">
                  <c:v>1.3417186640954253</c:v>
                </c:pt>
                <c:pt idx="23">
                  <c:v>1.2922845182609224</c:v>
                </c:pt>
                <c:pt idx="24">
                  <c:v>1.1102689644388324</c:v>
                </c:pt>
                <c:pt idx="25">
                  <c:v>1.0074239404799596</c:v>
                </c:pt>
                <c:pt idx="26">
                  <c:v>0.89259127305105723</c:v>
                </c:pt>
                <c:pt idx="27">
                  <c:v>0.65837377298827715</c:v>
                </c:pt>
              </c:numCache>
            </c:numRef>
          </c:val>
        </c:ser>
        <c:dLbls>
          <c:showLegendKey val="0"/>
          <c:showVal val="0"/>
          <c:showCatName val="0"/>
          <c:showSerName val="0"/>
          <c:showPercent val="0"/>
          <c:showBubbleSize val="0"/>
        </c:dLbls>
        <c:gapWidth val="219"/>
        <c:axId val="1211427568"/>
        <c:axId val="1211423216"/>
      </c:barChart>
      <c:catAx>
        <c:axId val="121142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211423216"/>
        <c:crosses val="autoZero"/>
        <c:auto val="1"/>
        <c:lblAlgn val="ctr"/>
        <c:lblOffset val="100"/>
        <c:noMultiLvlLbl val="0"/>
      </c:catAx>
      <c:valAx>
        <c:axId val="1211423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sz="900">
                    <a:solidFill>
                      <a:sysClr val="windowText" lastClr="000000"/>
                    </a:solidFill>
                    <a:effectLst/>
                    <a:latin typeface="Fira Sans" panose="020B0503050000020004" pitchFamily="34" charset="0"/>
                    <a:ea typeface="Fira Sans" panose="020B0503050000020004" pitchFamily="34" charset="0"/>
                  </a:rPr>
                  <a:t>Average of EU Member States</a:t>
                </a:r>
              </a:p>
            </c:rich>
          </c:tx>
          <c:layout>
            <c:manualLayout>
              <c:xMode val="edge"/>
              <c:yMode val="edge"/>
              <c:x val="0.50442563218087888"/>
              <c:y val="1.5598813974474667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211427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0.50058</cdr:x>
      <cdr:y>0.02743</cdr:y>
    </cdr:from>
    <cdr:to>
      <cdr:x>0.50081</cdr:x>
      <cdr:y>0.92983</cdr:y>
    </cdr:to>
    <cdr:cxnSp macro="">
      <cdr:nvCxnSpPr>
        <cdr:cNvPr id="2" name="Łącznik prosty 1"/>
        <cdr:cNvCxnSpPr/>
      </cdr:nvCxnSpPr>
      <cdr:spPr>
        <a:xfrm xmlns:a="http://schemas.openxmlformats.org/drawingml/2006/main" flipV="1">
          <a:off x="2564236" y="127000"/>
          <a:ext cx="1164" cy="4177917"/>
        </a:xfrm>
        <a:prstGeom xmlns:a="http://schemas.openxmlformats.org/drawingml/2006/main" prst="line">
          <a:avLst/>
        </a:prstGeom>
        <a:ln xmlns:a="http://schemas.openxmlformats.org/drawingml/2006/main" w="19050">
          <a:solidFill>
            <a:srgbClr val="00854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0.95599</cdr:x>
      <cdr:y>0.93485</cdr:y>
    </cdr:from>
    <cdr:to>
      <cdr:x>0.99368</cdr:x>
      <cdr:y>0.97325</cdr:y>
    </cdr:to>
    <cdr:sp macro="" textlink="">
      <cdr:nvSpPr>
        <cdr:cNvPr id="6" name="Pole tekstowe 5"/>
        <cdr:cNvSpPr txBox="1"/>
      </cdr:nvSpPr>
      <cdr:spPr>
        <a:xfrm xmlns:a="http://schemas.openxmlformats.org/drawingml/2006/main">
          <a:off x="4897120" y="4328160"/>
          <a:ext cx="193040" cy="177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900">
              <a:latin typeface="Fira Sans" panose="020B0503050000020004" pitchFamily="34" charset="0"/>
              <a:ea typeface="Fira Sans" panose="020B0503050000020004"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0.50127</cdr:x>
      <cdr:y>0.02578</cdr:y>
    </cdr:from>
    <cdr:to>
      <cdr:x>0.50279</cdr:x>
      <cdr:y>0.92613</cdr:y>
    </cdr:to>
    <cdr:cxnSp macro="">
      <cdr:nvCxnSpPr>
        <cdr:cNvPr id="3" name="Łącznik prosty 2"/>
        <cdr:cNvCxnSpPr/>
      </cdr:nvCxnSpPr>
      <cdr:spPr>
        <a:xfrm xmlns:a="http://schemas.openxmlformats.org/drawingml/2006/main" flipH="1" flipV="1">
          <a:off x="2567779" y="126985"/>
          <a:ext cx="7781" cy="4434855"/>
        </a:xfrm>
        <a:prstGeom xmlns:a="http://schemas.openxmlformats.org/drawingml/2006/main" prst="line">
          <a:avLst/>
        </a:prstGeom>
        <a:ln xmlns:a="http://schemas.openxmlformats.org/drawingml/2006/main" w="19050">
          <a:solidFill>
            <a:srgbClr val="00854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Odbiorcy2 xmlns="9070EBFB-EDD5-4A8B-ADA9-FC396769AC9B" xsi:nil="true"/>
    <Osoba xmlns="9070EBFB-EDD5-4A8B-ADA9-FC396769AC9B">STAT\KARCZMARSKIJ</Osoba>
    <_SourceUrl xmlns="http://schemas.microsoft.com/sharepoint/v3" xsi:nil="true"/>
    <NazwaPliku xmlns="9070EBFB-EDD5-4A8B-ADA9-FC396769AC9B">Informacja sygnalna_szablon 2019 EN US.DOCX.DOCX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F462-1D9B-4871-AD73-F43B239A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3E307-68DB-4D7B-B624-E4A283995621}">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3.xml><?xml version="1.0" encoding="utf-8"?>
<ds:datastoreItem xmlns:ds="http://schemas.openxmlformats.org/officeDocument/2006/customXml" ds:itemID="{0F172E56-E563-4221-8CEA-81851ABC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1381</Words>
  <Characters>8288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2020-02-25T09:02:00Z</cp:lastPrinted>
  <dcterms:created xsi:type="dcterms:W3CDTF">2020-02-24T11:01:00Z</dcterms:created>
  <dcterms:modified xsi:type="dcterms:W3CDTF">2020-02-27T08:08:00Z</dcterms:modified>
</cp:coreProperties>
</file>