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1E" w:rsidRPr="00975517" w:rsidRDefault="00184EA6" w:rsidP="00E2731E">
      <w:pPr>
        <w:pStyle w:val="tytuinformacji"/>
        <w:spacing w:before="0"/>
        <w:rPr>
          <w:sz w:val="32"/>
          <w:lang w:val="en-US"/>
        </w:rPr>
      </w:pPr>
      <w:r>
        <w:rPr>
          <w:rFonts w:ascii="Fira Sans" w:hAnsi="Fira Sans"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529294</wp:posOffset>
                </wp:positionV>
                <wp:extent cx="1666875" cy="963930"/>
                <wp:effectExtent l="0" t="0" r="0" b="0"/>
                <wp:wrapTight wrapText="bothSides">
                  <wp:wrapPolygon edited="0">
                    <wp:start x="741" y="0"/>
                    <wp:lineTo x="741" y="20917"/>
                    <wp:lineTo x="20736" y="20917"/>
                    <wp:lineTo x="20736" y="0"/>
                    <wp:lineTo x="741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975517" w:rsidRDefault="00DE58BF" w:rsidP="00C03B6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In Po</w:t>
                            </w:r>
                            <w:r w:rsidR="00012758">
                              <w:rPr>
                                <w:lang w:val="en"/>
                              </w:rPr>
                              <w:t>land, the length of the sewage</w:t>
                            </w:r>
                            <w:r>
                              <w:rPr>
                                <w:lang w:val="en"/>
                              </w:rPr>
                              <w:t xml:space="preserve"> network and the number of connections to </w:t>
                            </w:r>
                            <w:r w:rsidR="00975517">
                              <w:rPr>
                                <w:lang w:val="en"/>
                              </w:rPr>
                              <w:t xml:space="preserve">residential </w:t>
                            </w:r>
                            <w:r>
                              <w:rPr>
                                <w:lang w:val="en"/>
                              </w:rPr>
                              <w:t>buildings is</w:t>
                            </w:r>
                            <w:r w:rsidR="00C211C3">
                              <w:rPr>
                                <w:lang w:val="en"/>
                              </w:rPr>
                              <w:t xml:space="preserve"> continually</w:t>
                            </w:r>
                            <w:r w:rsidR="00012758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increasing</w:t>
                            </w:r>
                            <w:r w:rsidR="00353D75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0.45pt;margin-top:41.7pt;width:131.25pt;height:75.9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" filled="f" stroked="f">
                <v:textbox>
                  <w:txbxContent>
                    <w:p w:rsidR="007A2DC1" w:rsidRPr="00975517" w:rsidRDefault="00DE58BF" w:rsidP="00C03B6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>In Po</w:t>
                      </w:r>
                      <w:r w:rsidR="00012758">
                        <w:rPr>
                          <w:lang w:val="en"/>
                        </w:rPr>
                        <w:t>land, the length of the sewage</w:t>
                      </w:r>
                      <w:r>
                        <w:rPr>
                          <w:lang w:val="en"/>
                        </w:rPr>
                        <w:t xml:space="preserve"> network and the number of connections to </w:t>
                      </w:r>
                      <w:r w:rsidR="00975517">
                        <w:rPr>
                          <w:lang w:val="en"/>
                        </w:rPr>
                        <w:t xml:space="preserve">residential </w:t>
                      </w:r>
                      <w:r>
                        <w:rPr>
                          <w:lang w:val="en"/>
                        </w:rPr>
                        <w:t>buildings is</w:t>
                      </w:r>
                      <w:r w:rsidR="00C211C3">
                        <w:rPr>
                          <w:lang w:val="en"/>
                        </w:rPr>
                        <w:t xml:space="preserve"> continually</w:t>
                      </w:r>
                      <w:r w:rsidR="00012758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increasing</w:t>
                      </w:r>
                      <w:r w:rsidR="00353D75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32C0" w:rsidRPr="00975517">
        <w:rPr>
          <w:b/>
          <w:bCs/>
          <w:lang w:val="en-US"/>
        </w:rPr>
        <w:t>Water supply system and sewage management in Poland in 2017</w:t>
      </w:r>
    </w:p>
    <w:p w:rsidR="005916D7" w:rsidRPr="00975517" w:rsidRDefault="00184EA6" w:rsidP="00633014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101850" cy="1059815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598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AD5110" w:rsidRDefault="00184EA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73380" cy="373380"/>
                                  <wp:effectExtent l="0" t="0" r="7620" b="7620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11C5" w:rsidRPr="00AD511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101</w:t>
                            </w:r>
                            <w:r w:rsidR="00D066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5B655D" w:rsidRPr="00AD511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</w:t>
                            </w:r>
                          </w:p>
                          <w:p w:rsidR="002B5932" w:rsidRPr="00975517" w:rsidRDefault="002847F1" w:rsidP="002847F1">
                            <w:pPr>
                              <w:pStyle w:val="Tekstpodstawowy"/>
                              <w:kinsoku w:val="0"/>
                              <w:overflowPunct w:val="0"/>
                              <w:spacing w:before="1" w:line="238" w:lineRule="exact"/>
                              <w:ind w:left="151" w:right="21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The increase </w:t>
                            </w:r>
                            <w:r w:rsidR="002205AF">
                              <w:rPr>
                                <w:rStyle w:val="shorttext"/>
                                <w:lang w:val="en"/>
                              </w:rPr>
                              <w:t>of</w:t>
                            </w: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 the length of the sewage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6.6pt;width:165.5pt;height:83.4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" fillcolor="#001d77" stroked="f">
                <v:textbox>
                  <w:txbxContent>
                    <w:p w:rsidR="00933EC1" w:rsidRPr="00AD5110" w:rsidRDefault="00184EA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>
                            <wp:extent cx="373380" cy="373380"/>
                            <wp:effectExtent l="0" t="0" r="7620" b="7620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11C5" w:rsidRPr="00AD511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101</w:t>
                      </w:r>
                      <w:r w:rsidR="00D066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5B655D" w:rsidRPr="00AD511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</w:t>
                      </w:r>
                    </w:p>
                    <w:p w:rsidR="002B5932" w:rsidRPr="00975517" w:rsidRDefault="002847F1" w:rsidP="002847F1">
                      <w:pPr>
                        <w:pStyle w:val="Tekstpodstawowy"/>
                        <w:kinsoku w:val="0"/>
                        <w:overflowPunct w:val="0"/>
                        <w:spacing w:before="1" w:line="238" w:lineRule="exact"/>
                        <w:ind w:left="151" w:right="215"/>
                        <w:rPr>
                          <w:lang w:val="en-US"/>
                        </w:rPr>
                      </w:pPr>
                      <w:r>
                        <w:rPr>
                          <w:rStyle w:val="shorttext"/>
                          <w:lang w:val="en"/>
                        </w:rPr>
                        <w:t xml:space="preserve">The increase </w:t>
                      </w:r>
                      <w:r w:rsidR="002205AF">
                        <w:rPr>
                          <w:rStyle w:val="shorttext"/>
                          <w:lang w:val="en"/>
                        </w:rPr>
                        <w:t>of</w:t>
                      </w:r>
                      <w:r>
                        <w:rPr>
                          <w:rStyle w:val="shorttext"/>
                          <w:lang w:val="en"/>
                        </w:rPr>
                        <w:t xml:space="preserve"> the length of the sewage network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826">
        <w:rPr>
          <w:lang w:val="en"/>
        </w:rPr>
        <w:t xml:space="preserve">In Poland in 2017, the length of the sewage network increased by over 2.8 thous. km (by 1.8%), and the number of sewage connections to </w:t>
      </w:r>
      <w:r w:rsidR="00240ABF">
        <w:rPr>
          <w:lang w:val="en"/>
        </w:rPr>
        <w:t>buildings by 82.2 thous. p</w:t>
      </w:r>
      <w:r w:rsidR="004E1826">
        <w:rPr>
          <w:lang w:val="en"/>
        </w:rPr>
        <w:t>cs (by 2.5%).</w:t>
      </w:r>
      <w:r w:rsidR="008F5CD7">
        <w:rPr>
          <w:lang w:val="en"/>
        </w:rPr>
        <w:t xml:space="preserve"> </w:t>
      </w:r>
    </w:p>
    <w:p w:rsidR="00003437" w:rsidRPr="0097551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C22105" w:rsidRPr="00975517" w:rsidRDefault="00C22105" w:rsidP="00E2731E">
      <w:pPr>
        <w:pStyle w:val="Nagwek1"/>
        <w:spacing w:after="0"/>
        <w:rPr>
          <w:shd w:val="clear" w:color="auto" w:fill="FFFFFF"/>
          <w:lang w:val="en-US"/>
        </w:rPr>
      </w:pPr>
    </w:p>
    <w:p w:rsidR="00E2731E" w:rsidRPr="00975517" w:rsidRDefault="00E2731E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  <w:bookmarkStart w:id="0" w:name="_GoBack"/>
      <w:bookmarkEnd w:id="0"/>
    </w:p>
    <w:p w:rsidR="00265626" w:rsidRPr="00975517" w:rsidRDefault="00265626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F802BE" w:rsidRPr="00975517" w:rsidRDefault="00184EA6" w:rsidP="00F458CE">
      <w:pPr>
        <w:pStyle w:val="Nagwek1"/>
        <w:spacing w:before="0" w:after="0"/>
        <w:rPr>
          <w:rFonts w:ascii="Fira Sans" w:hAnsi="Fira Sans"/>
          <w:b/>
          <w:lang w:val="en-US"/>
        </w:rPr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5223348</wp:posOffset>
                </wp:positionH>
                <wp:positionV relativeFrom="paragraph">
                  <wp:posOffset>79714</wp:posOffset>
                </wp:positionV>
                <wp:extent cx="1667510" cy="857250"/>
                <wp:effectExtent l="0" t="0" r="0" b="0"/>
                <wp:wrapTight wrapText="bothSides">
                  <wp:wrapPolygon edited="0">
                    <wp:start x="740" y="0"/>
                    <wp:lineTo x="740" y="21120"/>
                    <wp:lineTo x="20728" y="21120"/>
                    <wp:lineTo x="20728" y="0"/>
                    <wp:lineTo x="74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975517" w:rsidRDefault="00DE58BF" w:rsidP="00F32590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Compared </w:t>
                            </w:r>
                            <w:r w:rsidR="002205AF">
                              <w:rPr>
                                <w:lang w:val="en"/>
                              </w:rPr>
                              <w:t>to</w:t>
                            </w:r>
                            <w:r>
                              <w:rPr>
                                <w:lang w:val="en"/>
                              </w:rPr>
                              <w:t xml:space="preserve"> 2016, the length of the sew</w:t>
                            </w:r>
                            <w:r w:rsidR="00012758">
                              <w:rPr>
                                <w:lang w:val="en"/>
                              </w:rPr>
                              <w:t>age</w:t>
                            </w:r>
                            <w:r>
                              <w:rPr>
                                <w:lang w:val="en"/>
                              </w:rPr>
                              <w:t xml:space="preserve"> network increased by 1.8%</w:t>
                            </w:r>
                            <w:r w:rsidR="00353D75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6" o:spid="_x0000_s1028" type="#_x0000_t202" style="position:absolute;margin-left:411.3pt;margin-top:6.3pt;width:131.3pt;height:67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" filled="f" stroked="f">
                <v:textbox>
                  <w:txbxContent>
                    <w:p w:rsidR="00F802BE" w:rsidRPr="00975517" w:rsidRDefault="00DE58BF" w:rsidP="00F32590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 xml:space="preserve">Compared </w:t>
                      </w:r>
                      <w:r w:rsidR="002205AF">
                        <w:rPr>
                          <w:lang w:val="en"/>
                        </w:rPr>
                        <w:t>to</w:t>
                      </w:r>
                      <w:r>
                        <w:rPr>
                          <w:lang w:val="en"/>
                        </w:rPr>
                        <w:t xml:space="preserve"> 2016, the length of the sew</w:t>
                      </w:r>
                      <w:r w:rsidR="00012758">
                        <w:rPr>
                          <w:lang w:val="en"/>
                        </w:rPr>
                        <w:t>age</w:t>
                      </w:r>
                      <w:r>
                        <w:rPr>
                          <w:lang w:val="en"/>
                        </w:rPr>
                        <w:t xml:space="preserve"> network increased by 1.8%</w:t>
                      </w:r>
                      <w:r w:rsidR="00353D75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8BF" w:rsidRPr="00975517">
        <w:rPr>
          <w:rFonts w:ascii="Fira Sans" w:hAnsi="Fira Sans"/>
          <w:b/>
          <w:lang w:val="en-US"/>
        </w:rPr>
        <w:t xml:space="preserve">The sewage network </w:t>
      </w:r>
    </w:p>
    <w:p w:rsidR="00F458CE" w:rsidRPr="00975517" w:rsidRDefault="00F458CE" w:rsidP="00EC1A34">
      <w:pPr>
        <w:spacing w:before="0" w:after="0" w:line="240" w:lineRule="auto"/>
        <w:rPr>
          <w:sz w:val="12"/>
          <w:szCs w:val="12"/>
          <w:lang w:val="en-US" w:eastAsia="pl-PL"/>
        </w:rPr>
      </w:pPr>
    </w:p>
    <w:p w:rsidR="002847F1" w:rsidRPr="00975517" w:rsidRDefault="002847F1" w:rsidP="002847F1">
      <w:pPr>
        <w:spacing w:before="0" w:after="0"/>
        <w:rPr>
          <w:shd w:val="clear" w:color="auto" w:fill="FFFFFF"/>
          <w:lang w:val="en-US"/>
        </w:rPr>
      </w:pPr>
      <w:r w:rsidRPr="002847F1">
        <w:rPr>
          <w:shd w:val="clear" w:color="auto" w:fill="FFFFFF"/>
          <w:lang w:val="en"/>
        </w:rPr>
        <w:t xml:space="preserve">In 2017, the sewage </w:t>
      </w:r>
      <w:r w:rsidR="00013DC3">
        <w:rPr>
          <w:shd w:val="clear" w:color="auto" w:fill="FFFFFF"/>
          <w:lang w:val="en"/>
        </w:rPr>
        <w:t>network</w:t>
      </w:r>
      <w:r w:rsidRPr="002847F1">
        <w:rPr>
          <w:shd w:val="clear" w:color="auto" w:fill="FFFFFF"/>
          <w:lang w:val="en"/>
        </w:rPr>
        <w:t xml:space="preserve"> in Poland reached the length of 156.8 </w:t>
      </w:r>
      <w:proofErr w:type="spellStart"/>
      <w:r w:rsidRPr="002847F1">
        <w:rPr>
          <w:shd w:val="clear" w:color="auto" w:fill="FFFFFF"/>
          <w:lang w:val="en"/>
        </w:rPr>
        <w:t>thous</w:t>
      </w:r>
      <w:proofErr w:type="spellEnd"/>
      <w:r w:rsidR="002F2493">
        <w:rPr>
          <w:shd w:val="clear" w:color="auto" w:fill="FFFFFF"/>
          <w:lang w:val="en"/>
        </w:rPr>
        <w:t>.</w:t>
      </w:r>
      <w:r w:rsidRPr="002847F1">
        <w:rPr>
          <w:shd w:val="clear" w:color="auto" w:fill="FFFFFF"/>
          <w:lang w:val="en"/>
        </w:rPr>
        <w:t xml:space="preserve"> km and the number of connections</w:t>
      </w:r>
      <w:r>
        <w:rPr>
          <w:shd w:val="clear" w:color="auto" w:fill="FFFFFF"/>
          <w:lang w:val="en"/>
        </w:rPr>
        <w:t xml:space="preserve"> </w:t>
      </w:r>
      <w:r w:rsidR="002F2493">
        <w:rPr>
          <w:shd w:val="clear" w:color="auto" w:fill="FFFFFF"/>
          <w:lang w:val="en"/>
        </w:rPr>
        <w:t>to</w:t>
      </w:r>
      <w:r w:rsidRPr="002847F1">
        <w:rPr>
          <w:shd w:val="clear" w:color="auto" w:fill="FFFFFF"/>
          <w:lang w:val="en"/>
        </w:rPr>
        <w:t xml:space="preserve"> </w:t>
      </w:r>
      <w:r w:rsidR="00975517">
        <w:rPr>
          <w:shd w:val="clear" w:color="auto" w:fill="FFFFFF"/>
          <w:lang w:val="en"/>
        </w:rPr>
        <w:t xml:space="preserve">residential </w:t>
      </w:r>
      <w:r w:rsidR="00AA4FDB">
        <w:rPr>
          <w:shd w:val="clear" w:color="auto" w:fill="FFFFFF"/>
          <w:lang w:val="en"/>
        </w:rPr>
        <w:t xml:space="preserve">buildings </w:t>
      </w:r>
      <w:r w:rsidR="002F7B63">
        <w:rPr>
          <w:shd w:val="clear" w:color="auto" w:fill="FFFFFF"/>
          <w:lang w:val="en"/>
        </w:rPr>
        <w:t>–</w:t>
      </w:r>
      <w:r w:rsidR="00AA4FDB">
        <w:rPr>
          <w:shd w:val="clear" w:color="auto" w:fill="FFFFFF"/>
          <w:lang w:val="en"/>
        </w:rPr>
        <w:t xml:space="preserve"> 3.3 </w:t>
      </w:r>
      <w:proofErr w:type="spellStart"/>
      <w:r w:rsidR="00AA4FDB">
        <w:rPr>
          <w:shd w:val="clear" w:color="auto" w:fill="FFFFFF"/>
          <w:lang w:val="en"/>
        </w:rPr>
        <w:t>mln</w:t>
      </w:r>
      <w:proofErr w:type="spellEnd"/>
      <w:r w:rsidR="00AA4FDB">
        <w:rPr>
          <w:shd w:val="clear" w:color="auto" w:fill="FFFFFF"/>
          <w:lang w:val="en"/>
        </w:rPr>
        <w:t xml:space="preserve"> p</w:t>
      </w:r>
      <w:r w:rsidR="002F2493">
        <w:rPr>
          <w:shd w:val="clear" w:color="auto" w:fill="FFFFFF"/>
          <w:lang w:val="en"/>
        </w:rPr>
        <w:t>cs. As</w:t>
      </w:r>
      <w:r w:rsidRPr="002847F1">
        <w:rPr>
          <w:shd w:val="clear" w:color="auto" w:fill="FFFFFF"/>
          <w:lang w:val="en"/>
        </w:rPr>
        <w:t xml:space="preserve"> </w:t>
      </w:r>
      <w:r w:rsidR="007112C2">
        <w:rPr>
          <w:shd w:val="clear" w:color="auto" w:fill="FFFFFF"/>
          <w:lang w:val="en"/>
        </w:rPr>
        <w:t>compar</w:t>
      </w:r>
      <w:r w:rsidR="002F2493">
        <w:rPr>
          <w:shd w:val="clear" w:color="auto" w:fill="FFFFFF"/>
          <w:lang w:val="en"/>
        </w:rPr>
        <w:t>ed</w:t>
      </w:r>
      <w:r w:rsidR="007112C2">
        <w:rPr>
          <w:shd w:val="clear" w:color="auto" w:fill="FFFFFF"/>
          <w:lang w:val="en"/>
        </w:rPr>
        <w:t xml:space="preserve"> </w:t>
      </w:r>
      <w:r w:rsidRPr="002847F1">
        <w:rPr>
          <w:shd w:val="clear" w:color="auto" w:fill="FFFFFF"/>
          <w:lang w:val="en"/>
        </w:rPr>
        <w:t xml:space="preserve">to the previous year, the length of the </w:t>
      </w:r>
      <w:r w:rsidR="002F2493">
        <w:rPr>
          <w:shd w:val="clear" w:color="auto" w:fill="FFFFFF"/>
          <w:lang w:val="en"/>
        </w:rPr>
        <w:t xml:space="preserve">newly built or </w:t>
      </w:r>
      <w:r w:rsidRPr="002847F1">
        <w:rPr>
          <w:shd w:val="clear" w:color="auto" w:fill="FFFFFF"/>
          <w:lang w:val="en"/>
        </w:rPr>
        <w:t xml:space="preserve">reconstructed sewage network increased by approx. 2.8 </w:t>
      </w:r>
      <w:proofErr w:type="spellStart"/>
      <w:r w:rsidRPr="002847F1">
        <w:rPr>
          <w:shd w:val="clear" w:color="auto" w:fill="FFFFFF"/>
          <w:lang w:val="en"/>
        </w:rPr>
        <w:t>thous</w:t>
      </w:r>
      <w:proofErr w:type="spellEnd"/>
      <w:r w:rsidR="00975517">
        <w:rPr>
          <w:shd w:val="clear" w:color="auto" w:fill="FFFFFF"/>
          <w:lang w:val="en"/>
        </w:rPr>
        <w:t>.</w:t>
      </w:r>
      <w:r w:rsidRPr="002847F1">
        <w:rPr>
          <w:shd w:val="clear" w:color="auto" w:fill="FFFFFF"/>
          <w:lang w:val="en"/>
        </w:rPr>
        <w:t xml:space="preserve"> km,</w:t>
      </w:r>
      <w:r>
        <w:rPr>
          <w:shd w:val="clear" w:color="auto" w:fill="FFFFFF"/>
          <w:lang w:val="en"/>
        </w:rPr>
        <w:t xml:space="preserve"> </w:t>
      </w:r>
      <w:r w:rsidRPr="002847F1">
        <w:rPr>
          <w:shd w:val="clear" w:color="auto" w:fill="FFFFFF"/>
          <w:lang w:val="en"/>
        </w:rPr>
        <w:t>i</w:t>
      </w:r>
      <w:r w:rsidR="002F2493">
        <w:rPr>
          <w:shd w:val="clear" w:color="auto" w:fill="FFFFFF"/>
          <w:lang w:val="en"/>
        </w:rPr>
        <w:t>.</w:t>
      </w:r>
      <w:r w:rsidRPr="002847F1">
        <w:rPr>
          <w:shd w:val="clear" w:color="auto" w:fill="FFFFFF"/>
          <w:lang w:val="en"/>
        </w:rPr>
        <w:t>e</w:t>
      </w:r>
      <w:r w:rsidR="002F2493">
        <w:rPr>
          <w:shd w:val="clear" w:color="auto" w:fill="FFFFFF"/>
          <w:lang w:val="en"/>
        </w:rPr>
        <w:t>.</w:t>
      </w:r>
      <w:r w:rsidRPr="002847F1">
        <w:rPr>
          <w:shd w:val="clear" w:color="auto" w:fill="FFFFFF"/>
          <w:lang w:val="en"/>
        </w:rPr>
        <w:t xml:space="preserve"> by 1.8%, with a simultaneous increase in the number of connections by almost 82 </w:t>
      </w:r>
      <w:proofErr w:type="spellStart"/>
      <w:r w:rsidRPr="002847F1">
        <w:rPr>
          <w:shd w:val="clear" w:color="auto" w:fill="FFFFFF"/>
          <w:lang w:val="en"/>
        </w:rPr>
        <w:t>thous</w:t>
      </w:r>
      <w:proofErr w:type="spellEnd"/>
      <w:r w:rsidRPr="002847F1">
        <w:rPr>
          <w:shd w:val="clear" w:color="auto" w:fill="FFFFFF"/>
          <w:lang w:val="en"/>
        </w:rPr>
        <w:t>. pcs, i</w:t>
      </w:r>
      <w:r w:rsidR="00240ABF">
        <w:rPr>
          <w:shd w:val="clear" w:color="auto" w:fill="FFFFFF"/>
          <w:lang w:val="en"/>
        </w:rPr>
        <w:t>.</w:t>
      </w:r>
      <w:r w:rsidRPr="002847F1">
        <w:rPr>
          <w:shd w:val="clear" w:color="auto" w:fill="FFFFFF"/>
          <w:lang w:val="en"/>
        </w:rPr>
        <w:t>e</w:t>
      </w:r>
      <w:r w:rsidR="00240ABF">
        <w:rPr>
          <w:shd w:val="clear" w:color="auto" w:fill="FFFFFF"/>
          <w:lang w:val="en"/>
        </w:rPr>
        <w:t>.</w:t>
      </w:r>
      <w:r w:rsidRPr="002847F1">
        <w:rPr>
          <w:shd w:val="clear" w:color="auto" w:fill="FFFFFF"/>
          <w:lang w:val="en"/>
        </w:rPr>
        <w:t xml:space="preserve"> by 2.5%.</w:t>
      </w:r>
    </w:p>
    <w:p w:rsidR="00667D50" w:rsidRPr="00975517" w:rsidRDefault="00667D50" w:rsidP="00F458CE">
      <w:pPr>
        <w:spacing w:before="0" w:after="0"/>
        <w:rPr>
          <w:spacing w:val="-2"/>
          <w:szCs w:val="19"/>
          <w:lang w:val="en-US"/>
        </w:rPr>
      </w:pPr>
    </w:p>
    <w:p w:rsidR="00F87C30" w:rsidRPr="00975517" w:rsidRDefault="0022731A" w:rsidP="00F458CE">
      <w:pPr>
        <w:spacing w:before="0" w:after="0"/>
        <w:rPr>
          <w:spacing w:val="-2"/>
          <w:sz w:val="18"/>
          <w:lang w:val="en-US"/>
        </w:rPr>
      </w:pPr>
      <w:r w:rsidRPr="00975517">
        <w:rPr>
          <w:b/>
          <w:spacing w:val="-2"/>
          <w:sz w:val="18"/>
          <w:lang w:val="en-US"/>
        </w:rPr>
        <w:t>Tab</w:t>
      </w:r>
      <w:r w:rsidR="00DE58BF" w:rsidRPr="00975517">
        <w:rPr>
          <w:b/>
          <w:spacing w:val="-2"/>
          <w:sz w:val="18"/>
          <w:lang w:val="en-US"/>
        </w:rPr>
        <w:t>le</w:t>
      </w:r>
      <w:r w:rsidRPr="00975517">
        <w:rPr>
          <w:b/>
          <w:spacing w:val="-2"/>
          <w:sz w:val="18"/>
          <w:lang w:val="en-US"/>
        </w:rPr>
        <w:t xml:space="preserve"> </w:t>
      </w:r>
      <w:r w:rsidR="00BF3836" w:rsidRPr="00975517">
        <w:rPr>
          <w:b/>
          <w:spacing w:val="-2"/>
          <w:sz w:val="18"/>
          <w:lang w:val="en-US"/>
        </w:rPr>
        <w:t>1</w:t>
      </w:r>
      <w:r w:rsidRPr="00975517">
        <w:rPr>
          <w:b/>
          <w:spacing w:val="-2"/>
          <w:sz w:val="18"/>
          <w:lang w:val="en-US"/>
        </w:rPr>
        <w:t xml:space="preserve">. </w:t>
      </w:r>
      <w:r w:rsidR="00975517">
        <w:rPr>
          <w:b/>
          <w:spacing w:val="-2"/>
          <w:sz w:val="18"/>
          <w:lang w:val="en-US"/>
        </w:rPr>
        <w:t xml:space="preserve">Infrastructure </w:t>
      </w:r>
      <w:r w:rsidR="00DE58BF" w:rsidRPr="00975517">
        <w:rPr>
          <w:b/>
          <w:spacing w:val="-2"/>
          <w:sz w:val="18"/>
          <w:lang w:val="en-US"/>
        </w:rPr>
        <w:t xml:space="preserve">of the sewage </w:t>
      </w:r>
      <w:r w:rsidR="00975517">
        <w:rPr>
          <w:b/>
          <w:spacing w:val="-2"/>
          <w:sz w:val="18"/>
          <w:lang w:val="en-US"/>
        </w:rPr>
        <w:t>system</w:t>
      </w:r>
      <w:r w:rsidR="00DE58BF" w:rsidRPr="00975517">
        <w:rPr>
          <w:b/>
          <w:spacing w:val="-2"/>
          <w:sz w:val="18"/>
          <w:lang w:val="en-US"/>
        </w:rPr>
        <w:t xml:space="preserve"> in 2017</w:t>
      </w:r>
    </w:p>
    <w:p w:rsidR="00F458CE" w:rsidRPr="00975517" w:rsidRDefault="00353D75" w:rsidP="00F458CE">
      <w:pPr>
        <w:spacing w:before="0" w:after="0"/>
        <w:rPr>
          <w:sz w:val="12"/>
          <w:szCs w:val="12"/>
          <w:shd w:val="clear" w:color="auto" w:fill="FFFFFF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1428746</wp:posOffset>
                </wp:positionV>
                <wp:extent cx="1350335" cy="786809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D75" w:rsidRDefault="00353D75" w:rsidP="00353D75">
                            <w:pPr>
                              <w:pStyle w:val="tekstzboku"/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58.7% of sewage network was located in rural areas.</w:t>
                            </w:r>
                          </w:p>
                          <w:p w:rsidR="00F27A45" w:rsidRPr="00353D75" w:rsidRDefault="00F27A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7" o:spid="_x0000_s1029" type="#_x0000_t202" style="position:absolute;margin-left:411.85pt;margin-top:112.5pt;width:106.35pt;height:61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" filled="f" stroked="f" strokeweight=".5pt">
                <v:textbox>
                  <w:txbxContent>
                    <w:p w:rsidR="00353D75" w:rsidRDefault="00353D75" w:rsidP="00353D75">
                      <w:pPr>
                        <w:pStyle w:val="tekstzboku"/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58.7% of sewage network was</w:t>
                      </w:r>
                      <w:r>
                        <w:rPr>
                          <w:lang w:val="en-US"/>
                        </w:rPr>
                        <w:t xml:space="preserve"> located</w:t>
                      </w:r>
                      <w:r>
                        <w:rPr>
                          <w:lang w:val="en-US"/>
                        </w:rPr>
                        <w:t xml:space="preserve"> in rural areas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F27A45" w:rsidRPr="00353D75" w:rsidRDefault="00F27A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020"/>
        <w:gridCol w:w="1020"/>
        <w:gridCol w:w="1020"/>
        <w:gridCol w:w="1020"/>
      </w:tblGrid>
      <w:tr w:rsidR="0038453C" w:rsidRPr="0038453C" w:rsidTr="00C36A86">
        <w:trPr>
          <w:trHeight w:val="315"/>
        </w:trPr>
        <w:tc>
          <w:tcPr>
            <w:tcW w:w="3798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7112C2" w:rsidP="00F458CE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F458CE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F458CE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F458CE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F458CE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 = 100</w:t>
            </w:r>
          </w:p>
        </w:tc>
      </w:tr>
      <w:tr w:rsidR="0038453C" w:rsidRPr="0038453C" w:rsidTr="00C36A86">
        <w:trPr>
          <w:trHeight w:val="330"/>
        </w:trPr>
        <w:tc>
          <w:tcPr>
            <w:tcW w:w="379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975517" w:rsidRDefault="005C4B2A" w:rsidP="00AD5110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Sewage </w:t>
            </w:r>
            <w:r w:rsidR="00AD5110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network</w:t>
            </w: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 in </w:t>
            </w:r>
            <w:proofErr w:type="spellStart"/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thous</w:t>
            </w:r>
            <w:proofErr w:type="spellEnd"/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. km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 </w:t>
            </w:r>
            <w:r w:rsidR="003C65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154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3C65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C65B9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  <w:r w:rsidR="0038453C"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156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8 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8453C" w:rsidRPr="0038453C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38453C" w:rsidRPr="0038453C" w:rsidTr="00C36A86">
        <w:trPr>
          <w:trHeight w:val="315"/>
        </w:trPr>
        <w:tc>
          <w:tcPr>
            <w:tcW w:w="3798" w:type="dxa"/>
            <w:shd w:val="clear" w:color="auto" w:fill="auto"/>
            <w:vAlign w:val="center"/>
            <w:hideMark/>
          </w:tcPr>
          <w:p w:rsidR="0038453C" w:rsidRPr="007112C2" w:rsidRDefault="007112C2" w:rsidP="00F458CE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</w:pPr>
            <w:proofErr w:type="spellStart"/>
            <w:r w:rsidRPr="007112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Sewage</w:t>
            </w:r>
            <w:proofErr w:type="spellEnd"/>
            <w:r w:rsidRPr="007112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network for 100 km</w:t>
            </w:r>
            <w:r w:rsidRPr="007112C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38453C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3C65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49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3C65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38453C" w:rsidRDefault="003C65B9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  <w:r w:rsidR="0038453C"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38453C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38453C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417C0" w:rsidRPr="00AD5110" w:rsidTr="00C36A86">
        <w:trPr>
          <w:trHeight w:val="315"/>
        </w:trPr>
        <w:tc>
          <w:tcPr>
            <w:tcW w:w="3798" w:type="dxa"/>
            <w:shd w:val="clear" w:color="auto" w:fill="auto"/>
            <w:vAlign w:val="center"/>
          </w:tcPr>
          <w:p w:rsidR="009417C0" w:rsidRPr="00975517" w:rsidRDefault="007112C2" w:rsidP="002F2493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Connections to </w:t>
            </w:r>
            <w:r w:rsidR="005C4B2A"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residential </w:t>
            </w: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buildings in </w:t>
            </w:r>
            <w:proofErr w:type="spellStart"/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thous</w:t>
            </w:r>
            <w:proofErr w:type="spellEnd"/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pcs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17C0" w:rsidRPr="00AD5110" w:rsidRDefault="004E1FDB" w:rsidP="0033646D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</w:t>
            </w:r>
            <w:r w:rsidR="0033646D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225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17C0" w:rsidRPr="00AD5110" w:rsidRDefault="00660001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105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17C0" w:rsidRPr="00AD5110" w:rsidRDefault="004E1FDB" w:rsidP="0033646D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</w:t>
            </w:r>
            <w:r w:rsidR="0033646D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307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17C0" w:rsidRPr="00AD5110" w:rsidRDefault="004E1FDB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102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5</w:t>
            </w:r>
          </w:p>
        </w:tc>
      </w:tr>
      <w:tr w:rsidR="0038453C" w:rsidRPr="0038453C" w:rsidTr="00C36A86">
        <w:trPr>
          <w:trHeight w:val="705"/>
        </w:trPr>
        <w:tc>
          <w:tcPr>
            <w:tcW w:w="3798" w:type="dxa"/>
            <w:shd w:val="clear" w:color="auto" w:fill="auto"/>
            <w:vAlign w:val="center"/>
            <w:hideMark/>
          </w:tcPr>
          <w:p w:rsidR="0038453C" w:rsidRPr="00975517" w:rsidRDefault="005C4B2A" w:rsidP="0093623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Wastewater </w:t>
            </w:r>
            <w:r w:rsidR="0093623A"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from households </w:t>
            </w: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discharged by sewage system (during the year) in hm</w:t>
            </w:r>
            <w:r w:rsidRPr="00975517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val="en-US"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AD5110" w:rsidRDefault="0038453C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 </w:t>
            </w:r>
            <w:r w:rsidR="003C65B9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938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="003C65B9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AD5110" w:rsidRDefault="003C65B9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101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</w:t>
            </w:r>
            <w:r w:rsidR="0038453C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AD5110" w:rsidRDefault="00D56D33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954</w:t>
            </w:r>
            <w:r w:rsidR="00975517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4</w:t>
            </w:r>
            <w:r w:rsidR="0038453C" w:rsidRPr="00AD5110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453C" w:rsidRPr="0038453C" w:rsidRDefault="006829C1" w:rsidP="00975517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97551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</w:tbl>
    <w:p w:rsidR="00EC1A34" w:rsidRPr="00EC1A34" w:rsidRDefault="00EC1A34" w:rsidP="00EC1A34">
      <w:pPr>
        <w:spacing w:before="0" w:after="0"/>
        <w:rPr>
          <w:sz w:val="12"/>
          <w:szCs w:val="12"/>
          <w:shd w:val="clear" w:color="auto" w:fill="FFFFFF"/>
        </w:rPr>
      </w:pPr>
    </w:p>
    <w:p w:rsidR="00013DC3" w:rsidRPr="00975517" w:rsidRDefault="007112C2" w:rsidP="007112C2">
      <w:pPr>
        <w:spacing w:before="0"/>
        <w:rPr>
          <w:szCs w:val="19"/>
          <w:shd w:val="clear" w:color="auto" w:fill="FFFFFF"/>
          <w:lang w:val="en-US"/>
        </w:rPr>
      </w:pPr>
      <w:r w:rsidRPr="00975517">
        <w:rPr>
          <w:szCs w:val="19"/>
          <w:shd w:val="clear" w:color="auto" w:fill="FFFFFF"/>
          <w:lang w:val="en-US"/>
        </w:rPr>
        <w:t>In rural areas there w</w:t>
      </w:r>
      <w:r w:rsidR="00013DC3" w:rsidRPr="00975517">
        <w:rPr>
          <w:szCs w:val="19"/>
          <w:shd w:val="clear" w:color="auto" w:fill="FFFFFF"/>
          <w:lang w:val="en-US"/>
        </w:rPr>
        <w:t>as</w:t>
      </w:r>
      <w:r w:rsidRPr="00975517">
        <w:rPr>
          <w:szCs w:val="19"/>
          <w:shd w:val="clear" w:color="auto" w:fill="FFFFFF"/>
          <w:lang w:val="en-US"/>
        </w:rPr>
        <w:t xml:space="preserve"> 58.7% of sewage network and 45.3% of </w:t>
      </w:r>
      <w:r w:rsidR="003571C0">
        <w:rPr>
          <w:szCs w:val="19"/>
          <w:shd w:val="clear" w:color="auto" w:fill="FFFFFF"/>
          <w:lang w:val="en-US"/>
        </w:rPr>
        <w:t>all</w:t>
      </w:r>
      <w:r w:rsidR="002F2493" w:rsidRPr="00975517">
        <w:rPr>
          <w:szCs w:val="19"/>
          <w:shd w:val="clear" w:color="auto" w:fill="FFFFFF"/>
          <w:lang w:val="en-US"/>
        </w:rPr>
        <w:t xml:space="preserve"> </w:t>
      </w:r>
      <w:r w:rsidRPr="00975517">
        <w:rPr>
          <w:szCs w:val="19"/>
          <w:shd w:val="clear" w:color="auto" w:fill="FFFFFF"/>
          <w:lang w:val="en-US"/>
        </w:rPr>
        <w:t xml:space="preserve">connections </w:t>
      </w:r>
      <w:r w:rsidR="002F2493" w:rsidRPr="00975517">
        <w:rPr>
          <w:szCs w:val="19"/>
          <w:shd w:val="clear" w:color="auto" w:fill="FFFFFF"/>
          <w:lang w:val="en-US"/>
        </w:rPr>
        <w:t>to</w:t>
      </w:r>
      <w:r w:rsidRPr="00975517">
        <w:rPr>
          <w:szCs w:val="19"/>
          <w:shd w:val="clear" w:color="auto" w:fill="FFFFFF"/>
          <w:lang w:val="en-US"/>
        </w:rPr>
        <w:t xml:space="preserve"> </w:t>
      </w:r>
      <w:r w:rsidR="00975517">
        <w:rPr>
          <w:szCs w:val="19"/>
          <w:shd w:val="clear" w:color="auto" w:fill="FFFFFF"/>
          <w:lang w:val="en-US"/>
        </w:rPr>
        <w:t xml:space="preserve">residential </w:t>
      </w:r>
      <w:r w:rsidR="002F2493" w:rsidRPr="00975517">
        <w:rPr>
          <w:szCs w:val="19"/>
          <w:shd w:val="clear" w:color="auto" w:fill="FFFFFF"/>
          <w:lang w:val="en-US"/>
        </w:rPr>
        <w:t>buildings. As</w:t>
      </w:r>
      <w:r w:rsidRPr="00975517">
        <w:rPr>
          <w:szCs w:val="19"/>
          <w:shd w:val="clear" w:color="auto" w:fill="FFFFFF"/>
          <w:lang w:val="en-US"/>
        </w:rPr>
        <w:t xml:space="preserve"> compar</w:t>
      </w:r>
      <w:r w:rsidR="002F2493" w:rsidRPr="00975517">
        <w:rPr>
          <w:szCs w:val="19"/>
          <w:shd w:val="clear" w:color="auto" w:fill="FFFFFF"/>
          <w:lang w:val="en-US"/>
        </w:rPr>
        <w:t>ed to</w:t>
      </w:r>
      <w:r w:rsidRPr="00975517">
        <w:rPr>
          <w:szCs w:val="19"/>
          <w:shd w:val="clear" w:color="auto" w:fill="FFFFFF"/>
          <w:lang w:val="en-US"/>
        </w:rPr>
        <w:t xml:space="preserve"> the previous year, the length of the network in rural areas increased by 1.6 </w:t>
      </w:r>
      <w:proofErr w:type="spellStart"/>
      <w:r w:rsidRPr="00975517">
        <w:rPr>
          <w:szCs w:val="19"/>
          <w:shd w:val="clear" w:color="auto" w:fill="FFFFFF"/>
          <w:lang w:val="en-US"/>
        </w:rPr>
        <w:t>thous</w:t>
      </w:r>
      <w:proofErr w:type="spellEnd"/>
      <w:r w:rsidR="002F2493" w:rsidRPr="00975517">
        <w:rPr>
          <w:szCs w:val="19"/>
          <w:shd w:val="clear" w:color="auto" w:fill="FFFFFF"/>
          <w:lang w:val="en-US"/>
        </w:rPr>
        <w:t>. km (by 1.7%)</w:t>
      </w:r>
      <w:r w:rsidRPr="00975517">
        <w:rPr>
          <w:szCs w:val="19"/>
          <w:shd w:val="clear" w:color="auto" w:fill="FFFFFF"/>
          <w:lang w:val="en-US"/>
        </w:rPr>
        <w:t xml:space="preserve"> and the number of connections by over 35 </w:t>
      </w:r>
      <w:proofErr w:type="spellStart"/>
      <w:r w:rsidRPr="00975517">
        <w:rPr>
          <w:szCs w:val="19"/>
          <w:shd w:val="clear" w:color="auto" w:fill="FFFFFF"/>
          <w:lang w:val="en-US"/>
        </w:rPr>
        <w:t>thous</w:t>
      </w:r>
      <w:proofErr w:type="spellEnd"/>
      <w:r w:rsidRPr="00975517">
        <w:rPr>
          <w:szCs w:val="19"/>
          <w:shd w:val="clear" w:color="auto" w:fill="FFFFFF"/>
          <w:lang w:val="en-US"/>
        </w:rPr>
        <w:t xml:space="preserve">. </w:t>
      </w:r>
      <w:r w:rsidR="00013DC3" w:rsidRPr="00975517">
        <w:rPr>
          <w:szCs w:val="19"/>
          <w:shd w:val="clear" w:color="auto" w:fill="FFFFFF"/>
          <w:lang w:val="en-US"/>
        </w:rPr>
        <w:t>p</w:t>
      </w:r>
      <w:r w:rsidRPr="00975517">
        <w:rPr>
          <w:szCs w:val="19"/>
          <w:shd w:val="clear" w:color="auto" w:fill="FFFFFF"/>
          <w:lang w:val="en-US"/>
        </w:rPr>
        <w:t xml:space="preserve">cs (by 2.4%). In the </w:t>
      </w:r>
      <w:r w:rsidR="002F2493" w:rsidRPr="00975517">
        <w:rPr>
          <w:szCs w:val="19"/>
          <w:shd w:val="clear" w:color="auto" w:fill="FFFFFF"/>
          <w:lang w:val="en-US"/>
        </w:rPr>
        <w:t>corresponding</w:t>
      </w:r>
      <w:r w:rsidRPr="00975517">
        <w:rPr>
          <w:szCs w:val="19"/>
          <w:shd w:val="clear" w:color="auto" w:fill="FFFFFF"/>
          <w:lang w:val="en-US"/>
        </w:rPr>
        <w:t xml:space="preserve"> period 1.2 </w:t>
      </w:r>
      <w:proofErr w:type="spellStart"/>
      <w:r w:rsidRPr="00975517">
        <w:rPr>
          <w:szCs w:val="19"/>
          <w:shd w:val="clear" w:color="auto" w:fill="FFFFFF"/>
          <w:lang w:val="en-US"/>
        </w:rPr>
        <w:t>thous</w:t>
      </w:r>
      <w:proofErr w:type="spellEnd"/>
      <w:r w:rsidR="002F2493" w:rsidRPr="00975517">
        <w:rPr>
          <w:szCs w:val="19"/>
          <w:shd w:val="clear" w:color="auto" w:fill="FFFFFF"/>
          <w:lang w:val="en-US"/>
        </w:rPr>
        <w:t>.</w:t>
      </w:r>
      <w:r w:rsidRPr="00975517">
        <w:rPr>
          <w:szCs w:val="19"/>
          <w:shd w:val="clear" w:color="auto" w:fill="FFFFFF"/>
          <w:lang w:val="en-US"/>
        </w:rPr>
        <w:t xml:space="preserve"> </w:t>
      </w:r>
      <w:r w:rsidR="002F2493" w:rsidRPr="00975517">
        <w:rPr>
          <w:szCs w:val="19"/>
          <w:shd w:val="clear" w:color="auto" w:fill="FFFFFF"/>
          <w:lang w:val="en-US"/>
        </w:rPr>
        <w:t xml:space="preserve">km of network </w:t>
      </w:r>
      <w:r w:rsidRPr="00975517">
        <w:rPr>
          <w:szCs w:val="19"/>
          <w:shd w:val="clear" w:color="auto" w:fill="FFFFFF"/>
          <w:lang w:val="en-US"/>
        </w:rPr>
        <w:t>(increase by 1.9%) and over 46</w:t>
      </w:r>
      <w:r w:rsidR="0093623A">
        <w:rPr>
          <w:szCs w:val="19"/>
          <w:shd w:val="clear" w:color="auto" w:fill="FFFFFF"/>
          <w:lang w:val="en-US"/>
        </w:rPr>
        <w:t> </w:t>
      </w:r>
      <w:proofErr w:type="spellStart"/>
      <w:r w:rsidRPr="00975517">
        <w:rPr>
          <w:szCs w:val="19"/>
          <w:shd w:val="clear" w:color="auto" w:fill="FFFFFF"/>
          <w:lang w:val="en-US"/>
        </w:rPr>
        <w:t>thous</w:t>
      </w:r>
      <w:proofErr w:type="spellEnd"/>
      <w:r w:rsidR="002F2493" w:rsidRPr="00975517">
        <w:rPr>
          <w:szCs w:val="19"/>
          <w:shd w:val="clear" w:color="auto" w:fill="FFFFFF"/>
          <w:lang w:val="en-US"/>
        </w:rPr>
        <w:t>.</w:t>
      </w:r>
      <w:r w:rsidRPr="00975517">
        <w:rPr>
          <w:szCs w:val="19"/>
          <w:shd w:val="clear" w:color="auto" w:fill="FFFFFF"/>
          <w:lang w:val="en-US"/>
        </w:rPr>
        <w:t xml:space="preserve"> pcs of connections (</w:t>
      </w:r>
      <w:r w:rsidR="00E55805" w:rsidRPr="00975517">
        <w:rPr>
          <w:szCs w:val="19"/>
          <w:shd w:val="clear" w:color="auto" w:fill="FFFFFF"/>
          <w:lang w:val="en-US"/>
        </w:rPr>
        <w:t>increase by 2.6%) were constructed in urban areas.</w:t>
      </w:r>
    </w:p>
    <w:p w:rsidR="00013DC3" w:rsidRPr="00975517" w:rsidRDefault="00E55805" w:rsidP="007112C2">
      <w:pPr>
        <w:spacing w:before="0"/>
        <w:rPr>
          <w:szCs w:val="19"/>
          <w:shd w:val="clear" w:color="auto" w:fill="FFFFFF"/>
          <w:lang w:val="en-US"/>
        </w:rPr>
      </w:pPr>
      <w:r w:rsidRPr="00975517">
        <w:rPr>
          <w:szCs w:val="19"/>
          <w:shd w:val="clear" w:color="auto" w:fill="FFFFFF"/>
          <w:lang w:val="en-US"/>
        </w:rPr>
        <w:t xml:space="preserve">As far as individual </w:t>
      </w:r>
      <w:r w:rsidR="007112C2" w:rsidRPr="00975517">
        <w:rPr>
          <w:szCs w:val="19"/>
          <w:shd w:val="clear" w:color="auto" w:fill="FFFFFF"/>
          <w:lang w:val="en-US"/>
        </w:rPr>
        <w:t>voivodship</w:t>
      </w:r>
      <w:r w:rsidRPr="00975517">
        <w:rPr>
          <w:szCs w:val="19"/>
          <w:shd w:val="clear" w:color="auto" w:fill="FFFFFF"/>
          <w:lang w:val="en-US"/>
        </w:rPr>
        <w:t>s are concerned</w:t>
      </w:r>
      <w:r w:rsidR="007112C2" w:rsidRPr="00975517">
        <w:rPr>
          <w:szCs w:val="19"/>
          <w:shd w:val="clear" w:color="auto" w:fill="FFFFFF"/>
          <w:lang w:val="en-US"/>
        </w:rPr>
        <w:t xml:space="preserve">, the most significant increase in the sewage network compared to 2016 was </w:t>
      </w:r>
      <w:r w:rsidRPr="00975517">
        <w:rPr>
          <w:szCs w:val="19"/>
          <w:shd w:val="clear" w:color="auto" w:fill="FFFFFF"/>
          <w:lang w:val="en-US"/>
        </w:rPr>
        <w:t>observed</w:t>
      </w:r>
      <w:r w:rsidR="007112C2" w:rsidRPr="00975517">
        <w:rPr>
          <w:szCs w:val="19"/>
          <w:shd w:val="clear" w:color="auto" w:fill="FFFFFF"/>
          <w:lang w:val="en-US"/>
        </w:rPr>
        <w:t xml:space="preserve"> in the </w:t>
      </w:r>
      <w:r w:rsidRPr="00975517">
        <w:rPr>
          <w:szCs w:val="19"/>
          <w:shd w:val="clear" w:color="auto" w:fill="FFFFFF"/>
          <w:lang w:val="en-US"/>
        </w:rPr>
        <w:t>voivodships</w:t>
      </w:r>
      <w:r w:rsidR="007112C2" w:rsidRPr="00975517">
        <w:rPr>
          <w:szCs w:val="19"/>
          <w:shd w:val="clear" w:color="auto" w:fill="FFFFFF"/>
          <w:lang w:val="en-US"/>
        </w:rPr>
        <w:t xml:space="preserve">: </w:t>
      </w:r>
      <w:proofErr w:type="spellStart"/>
      <w:r w:rsidRPr="00975517">
        <w:rPr>
          <w:szCs w:val="19"/>
          <w:shd w:val="clear" w:color="auto" w:fill="FFFFFF"/>
          <w:lang w:val="en-US"/>
        </w:rPr>
        <w:t>m</w:t>
      </w:r>
      <w:r w:rsidR="00FD428E" w:rsidRPr="00975517">
        <w:rPr>
          <w:szCs w:val="19"/>
          <w:shd w:val="clear" w:color="auto" w:fill="FFFFFF"/>
          <w:lang w:val="en-US"/>
        </w:rPr>
        <w:t>azowieckie</w:t>
      </w:r>
      <w:proofErr w:type="spellEnd"/>
      <w:r w:rsidR="00FD428E" w:rsidRPr="00975517">
        <w:rPr>
          <w:szCs w:val="19"/>
          <w:shd w:val="clear" w:color="auto" w:fill="FFFFFF"/>
          <w:lang w:val="en-US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FD428E" w:rsidRPr="00975517">
        <w:rPr>
          <w:szCs w:val="19"/>
          <w:shd w:val="clear" w:color="auto" w:fill="FFFFFF"/>
          <w:lang w:val="en-US"/>
        </w:rPr>
        <w:t xml:space="preserve"> of</w:t>
      </w:r>
      <w:r w:rsidRPr="00975517">
        <w:rPr>
          <w:szCs w:val="19"/>
          <w:shd w:val="clear" w:color="auto" w:fill="FFFFFF"/>
          <w:lang w:val="en-US"/>
        </w:rPr>
        <w:t xml:space="preserve"> 3.6%, </w:t>
      </w:r>
      <w:proofErr w:type="spellStart"/>
      <w:r w:rsidRPr="00975517">
        <w:rPr>
          <w:szCs w:val="19"/>
          <w:shd w:val="clear" w:color="auto" w:fill="FFFFFF"/>
          <w:lang w:val="en-US"/>
        </w:rPr>
        <w:t>d</w:t>
      </w:r>
      <w:r w:rsidR="00FD428E" w:rsidRPr="00975517">
        <w:rPr>
          <w:szCs w:val="19"/>
          <w:shd w:val="clear" w:color="auto" w:fill="FFFFFF"/>
          <w:lang w:val="en-US"/>
        </w:rPr>
        <w:t>olnośląskie</w:t>
      </w:r>
      <w:proofErr w:type="spellEnd"/>
      <w:r w:rsidR="00FD428E" w:rsidRPr="00975517">
        <w:rPr>
          <w:szCs w:val="19"/>
          <w:shd w:val="clear" w:color="auto" w:fill="FFFFFF"/>
          <w:lang w:val="en-US"/>
        </w:rPr>
        <w:t xml:space="preserve"> and </w:t>
      </w:r>
      <w:proofErr w:type="spellStart"/>
      <w:r w:rsidR="00FD428E" w:rsidRPr="00975517">
        <w:rPr>
          <w:szCs w:val="19"/>
          <w:shd w:val="clear" w:color="auto" w:fill="FFFFFF"/>
          <w:lang w:val="en-US"/>
        </w:rPr>
        <w:t>ł</w:t>
      </w:r>
      <w:r w:rsidR="007112C2" w:rsidRPr="00975517">
        <w:rPr>
          <w:szCs w:val="19"/>
          <w:shd w:val="clear" w:color="auto" w:fill="FFFFFF"/>
          <w:lang w:val="en-US"/>
        </w:rPr>
        <w:t>ódzkie</w:t>
      </w:r>
      <w:proofErr w:type="spellEnd"/>
      <w:r w:rsidR="007112C2" w:rsidRPr="00975517">
        <w:rPr>
          <w:szCs w:val="19"/>
          <w:shd w:val="clear" w:color="auto" w:fill="FFFFFF"/>
          <w:lang w:val="en-US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7112C2" w:rsidRPr="00975517">
        <w:rPr>
          <w:szCs w:val="19"/>
          <w:shd w:val="clear" w:color="auto" w:fill="FFFFFF"/>
          <w:lang w:val="en-US"/>
        </w:rPr>
        <w:t xml:space="preserve"> </w:t>
      </w:r>
      <w:r w:rsidR="00FD428E" w:rsidRPr="00975517">
        <w:rPr>
          <w:szCs w:val="19"/>
          <w:shd w:val="clear" w:color="auto" w:fill="FFFFFF"/>
          <w:lang w:val="en-US"/>
        </w:rPr>
        <w:t>of</w:t>
      </w:r>
      <w:r w:rsidR="007112C2" w:rsidRPr="00975517">
        <w:rPr>
          <w:szCs w:val="19"/>
          <w:shd w:val="clear" w:color="auto" w:fill="FFFFFF"/>
          <w:lang w:val="en-US"/>
        </w:rPr>
        <w:t xml:space="preserve"> 3.0%, and the </w:t>
      </w:r>
      <w:r w:rsidR="00FD428E" w:rsidRPr="00975517">
        <w:rPr>
          <w:szCs w:val="19"/>
          <w:shd w:val="clear" w:color="auto" w:fill="FFFFFF"/>
          <w:lang w:val="en-US"/>
        </w:rPr>
        <w:t>low</w:t>
      </w:r>
      <w:r w:rsidR="007112C2" w:rsidRPr="00975517">
        <w:rPr>
          <w:szCs w:val="19"/>
          <w:shd w:val="clear" w:color="auto" w:fill="FFFFFF"/>
          <w:lang w:val="en-US"/>
        </w:rPr>
        <w:t>est</w:t>
      </w:r>
      <w:r w:rsidR="00FD428E" w:rsidRPr="00975517">
        <w:rPr>
          <w:szCs w:val="19"/>
          <w:shd w:val="clear" w:color="auto" w:fill="FFFFFF"/>
          <w:lang w:val="en-US"/>
        </w:rPr>
        <w:t xml:space="preserve"> increase </w:t>
      </w:r>
      <w:r w:rsidR="007112C2" w:rsidRPr="00975517">
        <w:rPr>
          <w:szCs w:val="19"/>
          <w:shd w:val="clear" w:color="auto" w:fill="FFFFFF"/>
          <w:lang w:val="en-US"/>
        </w:rPr>
        <w:t xml:space="preserve">in </w:t>
      </w:r>
      <w:proofErr w:type="spellStart"/>
      <w:r w:rsidR="00FD428E" w:rsidRPr="00975517">
        <w:rPr>
          <w:szCs w:val="19"/>
          <w:shd w:val="clear" w:color="auto" w:fill="FFFFFF"/>
          <w:lang w:val="en-US"/>
        </w:rPr>
        <w:t>l</w:t>
      </w:r>
      <w:r w:rsidR="007112C2" w:rsidRPr="00975517">
        <w:rPr>
          <w:szCs w:val="19"/>
          <w:shd w:val="clear" w:color="auto" w:fill="FFFFFF"/>
          <w:lang w:val="en-US"/>
        </w:rPr>
        <w:t>ubuskie</w:t>
      </w:r>
      <w:proofErr w:type="spellEnd"/>
      <w:r w:rsidR="007112C2" w:rsidRPr="00975517">
        <w:rPr>
          <w:szCs w:val="19"/>
          <w:shd w:val="clear" w:color="auto" w:fill="FFFFFF"/>
          <w:lang w:val="en-US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7112C2" w:rsidRPr="00975517">
        <w:rPr>
          <w:szCs w:val="19"/>
          <w:shd w:val="clear" w:color="auto" w:fill="FFFFFF"/>
          <w:lang w:val="en-US"/>
        </w:rPr>
        <w:t xml:space="preserve"> </w:t>
      </w:r>
      <w:r w:rsidR="00FD428E" w:rsidRPr="00975517">
        <w:rPr>
          <w:szCs w:val="19"/>
          <w:shd w:val="clear" w:color="auto" w:fill="FFFFFF"/>
          <w:lang w:val="en-US"/>
        </w:rPr>
        <w:t>of</w:t>
      </w:r>
      <w:r w:rsidR="007112C2" w:rsidRPr="00975517">
        <w:rPr>
          <w:szCs w:val="19"/>
          <w:shd w:val="clear" w:color="auto" w:fill="FFFFFF"/>
          <w:lang w:val="en-US"/>
        </w:rPr>
        <w:t xml:space="preserve"> 0.9% and </w:t>
      </w:r>
      <w:proofErr w:type="spellStart"/>
      <w:r w:rsidR="00FD428E" w:rsidRPr="00975517">
        <w:rPr>
          <w:szCs w:val="19"/>
          <w:shd w:val="clear" w:color="auto" w:fill="FFFFFF"/>
          <w:lang w:val="en-US"/>
        </w:rPr>
        <w:t>kujawsko-pomorskie</w:t>
      </w:r>
      <w:proofErr w:type="spellEnd"/>
      <w:r w:rsidR="00FD428E" w:rsidRPr="00975517">
        <w:rPr>
          <w:szCs w:val="19"/>
          <w:shd w:val="clear" w:color="auto" w:fill="FFFFFF"/>
          <w:lang w:val="en-US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FD428E" w:rsidRPr="00975517">
        <w:rPr>
          <w:szCs w:val="19"/>
          <w:shd w:val="clear" w:color="auto" w:fill="FFFFFF"/>
          <w:lang w:val="en-US"/>
        </w:rPr>
        <w:t xml:space="preserve"> of</w:t>
      </w:r>
      <w:r w:rsidR="007112C2" w:rsidRPr="00975517">
        <w:rPr>
          <w:szCs w:val="19"/>
          <w:shd w:val="clear" w:color="auto" w:fill="FFFFFF"/>
          <w:lang w:val="en-US"/>
        </w:rPr>
        <w:t xml:space="preserve"> 1.0%.</w:t>
      </w:r>
    </w:p>
    <w:p w:rsidR="007112C2" w:rsidRPr="00975517" w:rsidRDefault="007112C2" w:rsidP="007112C2">
      <w:pPr>
        <w:spacing w:before="0"/>
        <w:rPr>
          <w:szCs w:val="19"/>
          <w:shd w:val="clear" w:color="auto" w:fill="FFFFFF"/>
          <w:lang w:val="en-US"/>
        </w:rPr>
      </w:pPr>
      <w:r w:rsidRPr="00975517">
        <w:rPr>
          <w:szCs w:val="19"/>
          <w:shd w:val="clear" w:color="auto" w:fill="FFFFFF"/>
          <w:lang w:val="en-US"/>
        </w:rPr>
        <w:t xml:space="preserve">As a result of the update of the length measurements of the sewage network carried out in individual municipalities of the </w:t>
      </w:r>
      <w:proofErr w:type="spellStart"/>
      <w:r w:rsidR="00FD428E" w:rsidRPr="00975517">
        <w:rPr>
          <w:szCs w:val="19"/>
          <w:shd w:val="clear" w:color="auto" w:fill="FFFFFF"/>
          <w:lang w:val="en-US"/>
        </w:rPr>
        <w:t>ś</w:t>
      </w:r>
      <w:r w:rsidRPr="00975517">
        <w:rPr>
          <w:szCs w:val="19"/>
          <w:shd w:val="clear" w:color="auto" w:fill="FFFFFF"/>
          <w:lang w:val="en-US"/>
        </w:rPr>
        <w:t>więtokrzyskie</w:t>
      </w:r>
      <w:proofErr w:type="spellEnd"/>
      <w:r w:rsidRPr="00975517">
        <w:rPr>
          <w:szCs w:val="19"/>
          <w:shd w:val="clear" w:color="auto" w:fill="FFFFFF"/>
          <w:lang w:val="en-US"/>
        </w:rPr>
        <w:t xml:space="preserve"> and </w:t>
      </w:r>
      <w:proofErr w:type="spellStart"/>
      <w:r w:rsidR="00FD428E" w:rsidRPr="00975517">
        <w:rPr>
          <w:szCs w:val="19"/>
          <w:shd w:val="clear" w:color="auto" w:fill="FFFFFF"/>
          <w:lang w:val="en-US"/>
        </w:rPr>
        <w:t>l</w:t>
      </w:r>
      <w:r w:rsidRPr="00975517">
        <w:rPr>
          <w:szCs w:val="19"/>
          <w:shd w:val="clear" w:color="auto" w:fill="FFFFFF"/>
          <w:lang w:val="en-US"/>
        </w:rPr>
        <w:t>ubelskie</w:t>
      </w:r>
      <w:proofErr w:type="spellEnd"/>
      <w:r w:rsidR="003571C0">
        <w:rPr>
          <w:szCs w:val="19"/>
          <w:shd w:val="clear" w:color="auto" w:fill="FFFFFF"/>
          <w:lang w:val="en-US"/>
        </w:rPr>
        <w:t xml:space="preserve"> </w:t>
      </w:r>
      <w:r w:rsidR="003571C0" w:rsidRPr="00975517">
        <w:rPr>
          <w:szCs w:val="19"/>
          <w:shd w:val="clear" w:color="auto" w:fill="FFFFFF"/>
          <w:lang w:val="en-US"/>
        </w:rPr>
        <w:t>voivodships</w:t>
      </w:r>
      <w:r w:rsidRPr="00975517">
        <w:rPr>
          <w:szCs w:val="19"/>
          <w:shd w:val="clear" w:color="auto" w:fill="FFFFFF"/>
          <w:lang w:val="en-US"/>
        </w:rPr>
        <w:t xml:space="preserve">, there was </w:t>
      </w:r>
      <w:r w:rsidR="00FD428E" w:rsidRPr="00975517">
        <w:rPr>
          <w:szCs w:val="19"/>
          <w:shd w:val="clear" w:color="auto" w:fill="FFFFFF"/>
          <w:lang w:val="en-US"/>
        </w:rPr>
        <w:t xml:space="preserve">observed </w:t>
      </w:r>
      <w:r w:rsidRPr="00975517">
        <w:rPr>
          <w:szCs w:val="19"/>
          <w:shd w:val="clear" w:color="auto" w:fill="FFFFFF"/>
          <w:lang w:val="en-US"/>
        </w:rPr>
        <w:t xml:space="preserve">a </w:t>
      </w:r>
      <w:r w:rsidR="00975517">
        <w:rPr>
          <w:szCs w:val="19"/>
          <w:shd w:val="clear" w:color="auto" w:fill="FFFFFF"/>
          <w:lang w:val="en-US"/>
        </w:rPr>
        <w:t>decrease</w:t>
      </w:r>
      <w:r w:rsidRPr="00975517">
        <w:rPr>
          <w:szCs w:val="19"/>
          <w:shd w:val="clear" w:color="auto" w:fill="FFFFFF"/>
          <w:lang w:val="en-US"/>
        </w:rPr>
        <w:t xml:space="preserve"> of the </w:t>
      </w:r>
      <w:r w:rsidR="00012F89">
        <w:rPr>
          <w:szCs w:val="19"/>
          <w:shd w:val="clear" w:color="auto" w:fill="FFFFFF"/>
          <w:lang w:val="en-US"/>
        </w:rPr>
        <w:t xml:space="preserve">length of </w:t>
      </w:r>
      <w:r w:rsidRPr="00975517">
        <w:rPr>
          <w:szCs w:val="19"/>
          <w:shd w:val="clear" w:color="auto" w:fill="FFFFFF"/>
          <w:lang w:val="en-US"/>
        </w:rPr>
        <w:t>network.</w:t>
      </w:r>
    </w:p>
    <w:p w:rsidR="00265626" w:rsidRPr="00975517" w:rsidRDefault="00141F9D">
      <w:pPr>
        <w:spacing w:before="0" w:after="160" w:line="259" w:lineRule="auto"/>
        <w:rPr>
          <w:szCs w:val="19"/>
          <w:shd w:val="clear" w:color="auto" w:fill="FFFFFF"/>
          <w:lang w:val="en-US"/>
        </w:rPr>
      </w:pPr>
      <w:r>
        <w:rPr>
          <w:lang w:val="en"/>
        </w:rPr>
        <w:t xml:space="preserve">The highest </w:t>
      </w:r>
      <w:r w:rsidR="00542998">
        <w:rPr>
          <w:lang w:val="en"/>
        </w:rPr>
        <w:t xml:space="preserve">sewage network density </w:t>
      </w:r>
      <w:r>
        <w:rPr>
          <w:lang w:val="en"/>
        </w:rPr>
        <w:t xml:space="preserve">in 2017 </w:t>
      </w:r>
      <w:r w:rsidR="00542998">
        <w:rPr>
          <w:lang w:val="en"/>
        </w:rPr>
        <w:t xml:space="preserve">was observed in </w:t>
      </w:r>
      <w:proofErr w:type="spellStart"/>
      <w:r>
        <w:rPr>
          <w:lang w:val="en"/>
        </w:rPr>
        <w:t>śląskie</w:t>
      </w:r>
      <w:proofErr w:type="spellEnd"/>
      <w:r w:rsidR="00DD5E37">
        <w:rPr>
          <w:lang w:val="en"/>
        </w:rPr>
        <w:t xml:space="preserve"> </w:t>
      </w:r>
      <w:r w:rsidR="003571C0" w:rsidRPr="003571C0">
        <w:rPr>
          <w:szCs w:val="19"/>
          <w:shd w:val="clear" w:color="auto" w:fill="FFFFFF"/>
          <w:lang w:val="en-GB"/>
        </w:rPr>
        <w:t>–</w:t>
      </w:r>
      <w:r>
        <w:rPr>
          <w:lang w:val="en"/>
        </w:rPr>
        <w:t xml:space="preserve"> 132 km per 100 km</w:t>
      </w:r>
      <w:r w:rsidRPr="00141F9D">
        <w:rPr>
          <w:vertAlign w:val="superscript"/>
          <w:lang w:val="en"/>
        </w:rPr>
        <w:t>2</w:t>
      </w:r>
      <w:r w:rsidR="0093623A" w:rsidRPr="0093623A">
        <w:rPr>
          <w:lang w:val="en"/>
        </w:rPr>
        <w:t>,</w:t>
      </w:r>
      <w:r w:rsidR="00975517">
        <w:rPr>
          <w:lang w:val="en"/>
        </w:rPr>
        <w:t xml:space="preserve"> and</w:t>
      </w:r>
      <w:r w:rsidR="00542998">
        <w:rPr>
          <w:lang w:val="en"/>
        </w:rPr>
        <w:t xml:space="preserve"> </w:t>
      </w:r>
      <w:proofErr w:type="spellStart"/>
      <w:r w:rsidR="00542998">
        <w:rPr>
          <w:lang w:val="en"/>
        </w:rPr>
        <w:t>m</w:t>
      </w:r>
      <w:r>
        <w:rPr>
          <w:lang w:val="en"/>
        </w:rPr>
        <w:t>ałopolskie</w:t>
      </w:r>
      <w:proofErr w:type="spellEnd"/>
      <w:r w:rsidR="003571C0">
        <w:rPr>
          <w:lang w:val="en"/>
        </w:rPr>
        <w:t xml:space="preserve"> voivodship</w:t>
      </w:r>
      <w:r>
        <w:rPr>
          <w:lang w:val="en"/>
        </w:rPr>
        <w:t xml:space="preserve"> </w:t>
      </w:r>
      <w:r w:rsidR="003571C0" w:rsidRPr="003571C0">
        <w:rPr>
          <w:szCs w:val="19"/>
          <w:shd w:val="clear" w:color="auto" w:fill="FFFFFF"/>
          <w:lang w:val="en-GB"/>
        </w:rPr>
        <w:t>–</w:t>
      </w:r>
      <w:r>
        <w:rPr>
          <w:lang w:val="en"/>
        </w:rPr>
        <w:t xml:space="preserve"> 105 km per 100 km</w:t>
      </w:r>
      <w:r w:rsidRPr="00141F9D">
        <w:rPr>
          <w:vertAlign w:val="superscript"/>
          <w:lang w:val="en"/>
        </w:rPr>
        <w:t>2</w:t>
      </w:r>
      <w:r>
        <w:rPr>
          <w:lang w:val="en"/>
        </w:rPr>
        <w:t xml:space="preserve">, </w:t>
      </w:r>
      <w:r w:rsidR="00542998">
        <w:rPr>
          <w:lang w:val="en"/>
        </w:rPr>
        <w:t xml:space="preserve">and </w:t>
      </w:r>
      <w:r>
        <w:rPr>
          <w:lang w:val="en"/>
        </w:rPr>
        <w:t xml:space="preserve">the </w:t>
      </w:r>
      <w:r w:rsidR="00542998">
        <w:rPr>
          <w:lang w:val="en"/>
        </w:rPr>
        <w:t xml:space="preserve">lowest in </w:t>
      </w:r>
      <w:proofErr w:type="spellStart"/>
      <w:r w:rsidR="00542998">
        <w:rPr>
          <w:lang w:val="en"/>
        </w:rPr>
        <w:t>p</w:t>
      </w:r>
      <w:r>
        <w:rPr>
          <w:lang w:val="en"/>
        </w:rPr>
        <w:t>odlas</w:t>
      </w:r>
      <w:r w:rsidR="00542998">
        <w:rPr>
          <w:lang w:val="en"/>
        </w:rPr>
        <w:t>kie</w:t>
      </w:r>
      <w:proofErr w:type="spellEnd"/>
      <w:r w:rsidR="00542998">
        <w:rPr>
          <w:lang w:val="en"/>
        </w:rPr>
        <w:t xml:space="preserve"> </w:t>
      </w:r>
      <w:r w:rsidR="003571C0" w:rsidRPr="003571C0">
        <w:rPr>
          <w:szCs w:val="19"/>
          <w:shd w:val="clear" w:color="auto" w:fill="FFFFFF"/>
          <w:lang w:val="en-GB"/>
        </w:rPr>
        <w:t>–</w:t>
      </w:r>
      <w:r>
        <w:rPr>
          <w:lang w:val="en"/>
        </w:rPr>
        <w:t xml:space="preserve"> 18 km per 100 km</w:t>
      </w:r>
      <w:r w:rsidRPr="00141F9D">
        <w:rPr>
          <w:vertAlign w:val="superscript"/>
          <w:lang w:val="en"/>
        </w:rPr>
        <w:t>2</w:t>
      </w:r>
      <w:r w:rsidR="0093623A" w:rsidRPr="0093623A">
        <w:rPr>
          <w:lang w:val="en"/>
        </w:rPr>
        <w:t>,</w:t>
      </w:r>
      <w:r w:rsidR="00542998" w:rsidRPr="0093623A">
        <w:rPr>
          <w:lang w:val="en"/>
        </w:rPr>
        <w:t xml:space="preserve"> </w:t>
      </w:r>
      <w:r w:rsidR="00542998">
        <w:rPr>
          <w:lang w:val="en"/>
        </w:rPr>
        <w:t xml:space="preserve">and </w:t>
      </w:r>
      <w:proofErr w:type="spellStart"/>
      <w:r w:rsidR="00542998">
        <w:rPr>
          <w:lang w:val="en"/>
        </w:rPr>
        <w:t>l</w:t>
      </w:r>
      <w:r>
        <w:rPr>
          <w:lang w:val="en"/>
        </w:rPr>
        <w:t>ubelskie</w:t>
      </w:r>
      <w:proofErr w:type="spellEnd"/>
      <w:r w:rsidR="007448F7">
        <w:rPr>
          <w:lang w:val="en"/>
        </w:rPr>
        <w:t xml:space="preserve"> </w:t>
      </w:r>
      <w:r w:rsidR="00DD5E37">
        <w:rPr>
          <w:lang w:val="en"/>
        </w:rPr>
        <w:t xml:space="preserve">voivodship </w:t>
      </w:r>
      <w:r w:rsidR="00305491" w:rsidRPr="004D245F">
        <w:rPr>
          <w:spacing w:val="-2"/>
          <w:szCs w:val="19"/>
          <w:lang w:val="en-GB"/>
        </w:rPr>
        <w:t>–</w:t>
      </w:r>
      <w:r>
        <w:rPr>
          <w:lang w:val="en"/>
        </w:rPr>
        <w:t xml:space="preserve"> 26 km per 100</w:t>
      </w:r>
      <w:r w:rsidR="007448F7">
        <w:rPr>
          <w:lang w:val="en"/>
        </w:rPr>
        <w:t xml:space="preserve"> km</w:t>
      </w:r>
      <w:r w:rsidR="007448F7" w:rsidRPr="00141F9D">
        <w:rPr>
          <w:vertAlign w:val="superscript"/>
          <w:lang w:val="en"/>
        </w:rPr>
        <w:t>2</w:t>
      </w:r>
      <w:r w:rsidR="007448F7">
        <w:rPr>
          <w:lang w:val="en"/>
        </w:rPr>
        <w:t>.</w:t>
      </w:r>
      <w:r>
        <w:rPr>
          <w:lang w:val="en"/>
        </w:rPr>
        <w:t xml:space="preserve"> </w:t>
      </w:r>
      <w:r w:rsidR="00265626" w:rsidRPr="00975517">
        <w:rPr>
          <w:szCs w:val="19"/>
          <w:shd w:val="clear" w:color="auto" w:fill="FFFFFF"/>
          <w:lang w:val="en-US"/>
        </w:rPr>
        <w:br w:type="page"/>
      </w:r>
    </w:p>
    <w:p w:rsidR="009817A4" w:rsidRPr="00975517" w:rsidRDefault="004E1826" w:rsidP="009817A4">
      <w:pPr>
        <w:rPr>
          <w:b/>
          <w:sz w:val="18"/>
          <w:szCs w:val="18"/>
          <w:shd w:val="clear" w:color="auto" w:fill="FFFFFF"/>
          <w:lang w:val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4394</wp:posOffset>
            </wp:positionH>
            <wp:positionV relativeFrom="paragraph">
              <wp:posOffset>220650</wp:posOffset>
            </wp:positionV>
            <wp:extent cx="5124450" cy="5419725"/>
            <wp:effectExtent l="0" t="0" r="0" b="0"/>
            <wp:wrapNone/>
            <wp:docPr id="250" name="Wykres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975517">
        <w:rPr>
          <w:b/>
          <w:sz w:val="18"/>
          <w:szCs w:val="18"/>
          <w:shd w:val="clear" w:color="auto" w:fill="FFFFFF"/>
          <w:lang w:val="en-US"/>
        </w:rPr>
        <w:t>Chart</w:t>
      </w:r>
      <w:r w:rsidR="00BF3836" w:rsidRPr="00975517">
        <w:rPr>
          <w:b/>
          <w:sz w:val="18"/>
          <w:szCs w:val="18"/>
          <w:shd w:val="clear" w:color="auto" w:fill="FFFFFF"/>
          <w:lang w:val="en-US"/>
        </w:rPr>
        <w:t xml:space="preserve"> 1</w:t>
      </w:r>
      <w:r w:rsidR="00AD4A02" w:rsidRPr="00975517">
        <w:rPr>
          <w:b/>
          <w:sz w:val="18"/>
          <w:szCs w:val="18"/>
          <w:shd w:val="clear" w:color="auto" w:fill="FFFFFF"/>
          <w:lang w:val="en-US"/>
        </w:rPr>
        <w:t>.</w:t>
      </w:r>
      <w:r w:rsidR="009817A4" w:rsidRPr="00975517">
        <w:rPr>
          <w:b/>
          <w:sz w:val="18"/>
          <w:szCs w:val="18"/>
          <w:shd w:val="clear" w:color="auto" w:fill="FFFFFF"/>
          <w:lang w:val="en-US"/>
        </w:rPr>
        <w:t xml:space="preserve"> </w:t>
      </w:r>
      <w:r w:rsidR="00975517">
        <w:rPr>
          <w:b/>
          <w:sz w:val="18"/>
          <w:szCs w:val="18"/>
          <w:shd w:val="clear" w:color="auto" w:fill="FFFFFF"/>
          <w:lang w:val="en-US"/>
        </w:rPr>
        <w:t>The length</w:t>
      </w:r>
      <w:r w:rsidRPr="00975517">
        <w:rPr>
          <w:b/>
          <w:sz w:val="18"/>
          <w:szCs w:val="18"/>
          <w:shd w:val="clear" w:color="auto" w:fill="FFFFFF"/>
          <w:lang w:val="en-US"/>
        </w:rPr>
        <w:t xml:space="preserve"> of sewage network in 2017 </w:t>
      </w:r>
      <w:r w:rsidR="00975517">
        <w:rPr>
          <w:b/>
          <w:sz w:val="18"/>
          <w:szCs w:val="18"/>
          <w:shd w:val="clear" w:color="auto" w:fill="FFFFFF"/>
          <w:lang w:val="en-US"/>
        </w:rPr>
        <w:t>in urban and rural areas by voiv</w:t>
      </w:r>
      <w:r w:rsidRPr="00975517">
        <w:rPr>
          <w:b/>
          <w:sz w:val="18"/>
          <w:szCs w:val="18"/>
          <w:shd w:val="clear" w:color="auto" w:fill="FFFFFF"/>
          <w:lang w:val="en-US"/>
        </w:rPr>
        <w:t>odships</w:t>
      </w: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D144E5" w:rsidRPr="00975517" w:rsidRDefault="00D144E5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E87A1F" w:rsidP="00896A0B">
      <w:pPr>
        <w:rPr>
          <w:shd w:val="clear" w:color="auto" w:fill="FFFFFF"/>
          <w:lang w:val="en-US"/>
        </w:rPr>
      </w:pPr>
      <w:r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rightMargin">
                  <wp:posOffset>26035</wp:posOffset>
                </wp:positionH>
                <wp:positionV relativeFrom="paragraph">
                  <wp:posOffset>85223</wp:posOffset>
                </wp:positionV>
                <wp:extent cx="1550670" cy="829945"/>
                <wp:effectExtent l="0" t="0" r="0" b="0"/>
                <wp:wrapTight wrapText="bothSides">
                  <wp:wrapPolygon edited="0">
                    <wp:start x="796" y="0"/>
                    <wp:lineTo x="796" y="20823"/>
                    <wp:lineTo x="20698" y="20823"/>
                    <wp:lineTo x="20698" y="0"/>
                    <wp:lineTo x="796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A0" w:rsidRPr="00975517" w:rsidRDefault="0038440D" w:rsidP="00DB31A0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975517">
                              <w:rPr>
                                <w:lang w:val="en-US"/>
                              </w:rPr>
                              <w:t>The amount of sewage discharged from households is increasing</w:t>
                            </w:r>
                            <w:r w:rsidR="00353D7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.05pt;margin-top:6.7pt;width:122.1pt;height:65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" filled="f" stroked="f">
                <v:textbox>
                  <w:txbxContent>
                    <w:p w:rsidR="00DB31A0" w:rsidRPr="00975517" w:rsidRDefault="0038440D" w:rsidP="00DB31A0">
                      <w:pPr>
                        <w:pStyle w:val="tekstzboku"/>
                        <w:rPr>
                          <w:lang w:val="en-US"/>
                        </w:rPr>
                      </w:pPr>
                      <w:r w:rsidRPr="00975517">
                        <w:rPr>
                          <w:lang w:val="en-US"/>
                        </w:rPr>
                        <w:t>The amount of sewage discharged from households is increasing</w:t>
                      </w:r>
                      <w:r w:rsidR="00353D7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64AAD" w:rsidRPr="00975517" w:rsidRDefault="00141F9D" w:rsidP="00B251F9">
      <w:pPr>
        <w:spacing w:before="0" w:after="200" w:line="276" w:lineRule="auto"/>
        <w:rPr>
          <w:sz w:val="12"/>
          <w:szCs w:val="12"/>
          <w:shd w:val="clear" w:color="auto" w:fill="FFFFFF"/>
          <w:lang w:val="en-US"/>
        </w:rPr>
      </w:pPr>
      <w:r>
        <w:rPr>
          <w:lang w:val="en"/>
        </w:rPr>
        <w:t xml:space="preserve">The amount of </w:t>
      </w:r>
      <w:r w:rsidR="00A77702">
        <w:rPr>
          <w:lang w:val="en"/>
        </w:rPr>
        <w:t>wastewater</w:t>
      </w:r>
      <w:r>
        <w:rPr>
          <w:lang w:val="en"/>
        </w:rPr>
        <w:t xml:space="preserve"> discharged from households by sewage </w:t>
      </w:r>
      <w:r w:rsidR="0033646D">
        <w:rPr>
          <w:lang w:val="en"/>
        </w:rPr>
        <w:t>system</w:t>
      </w:r>
      <w:r>
        <w:rPr>
          <w:lang w:val="en"/>
        </w:rPr>
        <w:t xml:space="preserve"> in 2017 amounted to 954.4 hm</w:t>
      </w:r>
      <w:r w:rsidRPr="0057102B">
        <w:rPr>
          <w:vertAlign w:val="superscript"/>
          <w:lang w:val="en"/>
        </w:rPr>
        <w:t>3</w:t>
      </w:r>
      <w:r>
        <w:rPr>
          <w:lang w:val="en"/>
        </w:rPr>
        <w:t xml:space="preserve"> (in </w:t>
      </w:r>
      <w:r w:rsidR="00A77702">
        <w:rPr>
          <w:lang w:val="en"/>
        </w:rPr>
        <w:t xml:space="preserve">urban areas </w:t>
      </w:r>
      <w:r w:rsidR="00E82163">
        <w:rPr>
          <w:lang w:val="en"/>
        </w:rPr>
        <w:t>–</w:t>
      </w:r>
      <w:r>
        <w:rPr>
          <w:lang w:val="en"/>
        </w:rPr>
        <w:t xml:space="preserve"> 830.9 hm</w:t>
      </w:r>
      <w:r w:rsidRPr="00A77702">
        <w:rPr>
          <w:vertAlign w:val="superscript"/>
          <w:lang w:val="en"/>
        </w:rPr>
        <w:t>3</w:t>
      </w:r>
      <w:r>
        <w:rPr>
          <w:lang w:val="en"/>
        </w:rPr>
        <w:t xml:space="preserve"> and in rural areas </w:t>
      </w:r>
      <w:r w:rsidR="009C312A">
        <w:rPr>
          <w:lang w:val="en"/>
        </w:rPr>
        <w:t xml:space="preserve">– </w:t>
      </w:r>
      <w:r>
        <w:rPr>
          <w:lang w:val="en"/>
        </w:rPr>
        <w:t>123</w:t>
      </w:r>
      <w:r w:rsidR="00AD5110">
        <w:rPr>
          <w:lang w:val="en"/>
        </w:rPr>
        <w:t>.</w:t>
      </w:r>
      <w:r>
        <w:rPr>
          <w:lang w:val="en"/>
        </w:rPr>
        <w:t>5</w:t>
      </w:r>
      <w:r w:rsidR="00AD5110">
        <w:rPr>
          <w:lang w:val="en"/>
        </w:rPr>
        <w:t xml:space="preserve"> </w:t>
      </w:r>
      <w:r>
        <w:rPr>
          <w:lang w:val="en"/>
        </w:rPr>
        <w:t>h</w:t>
      </w:r>
      <w:r w:rsidR="00AD5110">
        <w:rPr>
          <w:lang w:val="en"/>
        </w:rPr>
        <w:t>m</w:t>
      </w:r>
      <w:r w:rsidRPr="00A77702">
        <w:rPr>
          <w:vertAlign w:val="superscript"/>
          <w:lang w:val="en"/>
        </w:rPr>
        <w:t>3</w:t>
      </w:r>
      <w:r>
        <w:rPr>
          <w:lang w:val="en"/>
        </w:rPr>
        <w:t>) and increased</w:t>
      </w:r>
      <w:r>
        <w:rPr>
          <w:lang w:val="en"/>
        </w:rPr>
        <w:br/>
      </w:r>
      <w:r w:rsidR="00A77702">
        <w:rPr>
          <w:lang w:val="en"/>
        </w:rPr>
        <w:t>by 16 hm</w:t>
      </w:r>
      <w:r w:rsidR="00A77702" w:rsidRPr="00A77702">
        <w:rPr>
          <w:vertAlign w:val="superscript"/>
          <w:lang w:val="en"/>
        </w:rPr>
        <w:t>3</w:t>
      </w:r>
      <w:r w:rsidR="00A77702">
        <w:rPr>
          <w:lang w:val="en"/>
        </w:rPr>
        <w:t xml:space="preserve"> </w:t>
      </w:r>
      <w:r>
        <w:rPr>
          <w:lang w:val="en"/>
        </w:rPr>
        <w:t>compared to 2016 (12 hm</w:t>
      </w:r>
      <w:r w:rsidRPr="00A77702">
        <w:rPr>
          <w:vertAlign w:val="superscript"/>
          <w:lang w:val="en"/>
        </w:rPr>
        <w:t>3</w:t>
      </w:r>
      <w:r>
        <w:rPr>
          <w:lang w:val="en"/>
        </w:rPr>
        <w:t xml:space="preserve"> and 4 hm</w:t>
      </w:r>
      <w:r w:rsidRPr="00A77702">
        <w:rPr>
          <w:vertAlign w:val="superscript"/>
          <w:lang w:val="en"/>
        </w:rPr>
        <w:t>3</w:t>
      </w:r>
      <w:r w:rsidR="009C312A" w:rsidRPr="009C312A">
        <w:rPr>
          <w:lang w:val="en"/>
        </w:rPr>
        <w:t>,</w:t>
      </w:r>
      <w:r>
        <w:rPr>
          <w:lang w:val="en"/>
        </w:rPr>
        <w:t xml:space="preserve"> respectively).</w:t>
      </w:r>
    </w:p>
    <w:p w:rsidR="00265626" w:rsidRPr="00975517" w:rsidRDefault="00184EA6" w:rsidP="00265626">
      <w:pPr>
        <w:spacing w:before="0" w:after="0"/>
        <w:rPr>
          <w:rFonts w:eastAsia="Times New Roman" w:cs="Times New Roman"/>
          <w:b/>
          <w:bCs/>
          <w:color w:val="001D77"/>
          <w:szCs w:val="19"/>
          <w:lang w:val="en-US" w:eastAsia="pl-PL"/>
        </w:rPr>
      </w:pPr>
      <w:r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88885</wp:posOffset>
                </wp:positionV>
                <wp:extent cx="1656080" cy="856615"/>
                <wp:effectExtent l="0" t="0" r="4445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DA" w:rsidRPr="00975517" w:rsidRDefault="006573ED" w:rsidP="00C41FD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573ED">
                              <w:rPr>
                                <w:lang w:val="en"/>
                              </w:rPr>
                              <w:t xml:space="preserve">Compared </w:t>
                            </w:r>
                            <w:r>
                              <w:rPr>
                                <w:lang w:val="en"/>
                              </w:rPr>
                              <w:t>to</w:t>
                            </w:r>
                            <w:r w:rsidRPr="006573ED">
                              <w:rPr>
                                <w:lang w:val="en"/>
                              </w:rPr>
                              <w:t xml:space="preserve"> 2016, the length of the water supply network increased by 1.0%</w:t>
                            </w:r>
                            <w:r w:rsidR="00353D75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1" type="#_x0000_t202" style="position:absolute;margin-left:413.75pt;margin-top:7pt;width:130.4pt;height:6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" filled="f" stroked="f">
                <v:fill opacity="0"/>
                <v:textbox>
                  <w:txbxContent>
                    <w:p w:rsidR="00C41FDA" w:rsidRPr="00975517" w:rsidRDefault="006573ED" w:rsidP="00C41FDA">
                      <w:pPr>
                        <w:pStyle w:val="tekstzboku"/>
                        <w:rPr>
                          <w:lang w:val="en-US"/>
                        </w:rPr>
                      </w:pPr>
                      <w:r w:rsidRPr="006573ED">
                        <w:rPr>
                          <w:lang w:val="en"/>
                        </w:rPr>
                        <w:t xml:space="preserve">Compared </w:t>
                      </w:r>
                      <w:r>
                        <w:rPr>
                          <w:lang w:val="en"/>
                        </w:rPr>
                        <w:t>to</w:t>
                      </w:r>
                      <w:r w:rsidRPr="006573ED">
                        <w:rPr>
                          <w:lang w:val="en"/>
                        </w:rPr>
                        <w:t xml:space="preserve"> 2016, the length of the water supply network increased by 1.0%</w:t>
                      </w:r>
                      <w:r w:rsidR="00353D75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1F9D" w:rsidRPr="00975517">
        <w:rPr>
          <w:rFonts w:eastAsia="Times New Roman" w:cs="Times New Roman"/>
          <w:b/>
          <w:bCs/>
          <w:color w:val="001D77"/>
          <w:szCs w:val="19"/>
          <w:lang w:val="en-US" w:eastAsia="pl-PL"/>
        </w:rPr>
        <w:t>The water supply network</w:t>
      </w:r>
    </w:p>
    <w:p w:rsidR="00265626" w:rsidRPr="00975517" w:rsidRDefault="00265626" w:rsidP="00265626">
      <w:pPr>
        <w:spacing w:before="0" w:after="0" w:line="240" w:lineRule="auto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265626" w:rsidRPr="00975517" w:rsidRDefault="00310683" w:rsidP="009B44F1">
      <w:pPr>
        <w:spacing w:before="0" w:after="0"/>
        <w:rPr>
          <w:spacing w:val="-2"/>
          <w:szCs w:val="19"/>
          <w:lang w:val="en-US"/>
        </w:rPr>
      </w:pPr>
      <w:r>
        <w:rPr>
          <w:lang w:val="en"/>
        </w:rPr>
        <w:t xml:space="preserve">In 2017, the length of the distribution water supply network reached 303.9 </w:t>
      </w:r>
      <w:proofErr w:type="spellStart"/>
      <w:r>
        <w:rPr>
          <w:lang w:val="en"/>
        </w:rPr>
        <w:t>thous</w:t>
      </w:r>
      <w:proofErr w:type="spellEnd"/>
      <w:r w:rsidR="00E5255B">
        <w:rPr>
          <w:lang w:val="en"/>
        </w:rPr>
        <w:t>.</w:t>
      </w:r>
      <w:r>
        <w:rPr>
          <w:lang w:val="en"/>
        </w:rPr>
        <w:t xml:space="preserve"> km, and the number of co</w:t>
      </w:r>
      <w:r w:rsidR="00695E71">
        <w:rPr>
          <w:lang w:val="en"/>
        </w:rPr>
        <w:t xml:space="preserve">nnections </w:t>
      </w:r>
      <w:r w:rsidR="00E82163">
        <w:rPr>
          <w:lang w:val="en"/>
        </w:rPr>
        <w:t>–</w:t>
      </w:r>
      <w:r w:rsidR="00695E71">
        <w:rPr>
          <w:lang w:val="en"/>
        </w:rPr>
        <w:t xml:space="preserve"> over 5.6 million p</w:t>
      </w:r>
      <w:r>
        <w:rPr>
          <w:lang w:val="en"/>
        </w:rPr>
        <w:t xml:space="preserve">cs. In comparison </w:t>
      </w:r>
      <w:r w:rsidR="00E5255B">
        <w:rPr>
          <w:lang w:val="en"/>
        </w:rPr>
        <w:t>to</w:t>
      </w:r>
      <w:r>
        <w:rPr>
          <w:lang w:val="en"/>
        </w:rPr>
        <w:t xml:space="preserve"> 2016, the length of the </w:t>
      </w:r>
      <w:r w:rsidR="00E5255B">
        <w:rPr>
          <w:shd w:val="clear" w:color="auto" w:fill="FFFFFF"/>
          <w:lang w:val="en"/>
        </w:rPr>
        <w:t xml:space="preserve">newly built or </w:t>
      </w:r>
      <w:r w:rsidR="00E5255B" w:rsidRPr="002847F1">
        <w:rPr>
          <w:shd w:val="clear" w:color="auto" w:fill="FFFFFF"/>
          <w:lang w:val="en"/>
        </w:rPr>
        <w:t>r</w:t>
      </w:r>
      <w:r w:rsidR="00E5255B" w:rsidRPr="00E5255B">
        <w:rPr>
          <w:shd w:val="clear" w:color="auto" w:fill="FFFFFF"/>
          <w:lang w:val="en"/>
        </w:rPr>
        <w:t>econstructed</w:t>
      </w:r>
      <w:r w:rsidRPr="00E5255B">
        <w:rPr>
          <w:lang w:val="en"/>
        </w:rPr>
        <w:t xml:space="preserve"> water supply network increased by 2.9 </w:t>
      </w:r>
      <w:proofErr w:type="spellStart"/>
      <w:r w:rsidRPr="00E5255B">
        <w:rPr>
          <w:lang w:val="en"/>
        </w:rPr>
        <w:t>thous</w:t>
      </w:r>
      <w:proofErr w:type="spellEnd"/>
      <w:r w:rsidRPr="00E5255B">
        <w:rPr>
          <w:lang w:val="en"/>
        </w:rPr>
        <w:t xml:space="preserve">. km (by 1.0%), </w:t>
      </w:r>
      <w:r w:rsidR="006D46CD">
        <w:rPr>
          <w:lang w:val="en"/>
        </w:rPr>
        <w:t xml:space="preserve">and </w:t>
      </w:r>
      <w:r w:rsidR="00E5255B" w:rsidRPr="00975517">
        <w:rPr>
          <w:rStyle w:val="gt-card-ttl-txt"/>
          <w:lang w:val="en-US"/>
        </w:rPr>
        <w:t>simultaneously</w:t>
      </w:r>
      <w:r w:rsidR="00E5255B" w:rsidRPr="00975517">
        <w:rPr>
          <w:lang w:val="en-US"/>
        </w:rPr>
        <w:t xml:space="preserve"> </w:t>
      </w:r>
      <w:r w:rsidRPr="00E5255B">
        <w:rPr>
          <w:lang w:val="en"/>
        </w:rPr>
        <w:t>an increase</w:t>
      </w:r>
      <w:r>
        <w:rPr>
          <w:lang w:val="en"/>
        </w:rPr>
        <w:t xml:space="preserve"> in the number of connections to </w:t>
      </w:r>
      <w:r w:rsidR="00975517">
        <w:rPr>
          <w:lang w:val="en"/>
        </w:rPr>
        <w:t xml:space="preserve">residential </w:t>
      </w:r>
      <w:r>
        <w:rPr>
          <w:lang w:val="en"/>
        </w:rPr>
        <w:t xml:space="preserve">buildings was observed </w:t>
      </w:r>
      <w:r w:rsidR="00E82163">
        <w:rPr>
          <w:lang w:val="en"/>
        </w:rPr>
        <w:t xml:space="preserve">– </w:t>
      </w:r>
      <w:r>
        <w:rPr>
          <w:lang w:val="en"/>
        </w:rPr>
        <w:t xml:space="preserve">by 71.1 </w:t>
      </w:r>
      <w:proofErr w:type="spellStart"/>
      <w:r>
        <w:rPr>
          <w:lang w:val="en"/>
        </w:rPr>
        <w:t>thous</w:t>
      </w:r>
      <w:proofErr w:type="spellEnd"/>
      <w:r>
        <w:rPr>
          <w:lang w:val="en"/>
        </w:rPr>
        <w:t xml:space="preserve">. </w:t>
      </w:r>
      <w:r w:rsidR="0017685D">
        <w:rPr>
          <w:lang w:val="en"/>
        </w:rPr>
        <w:t>pcs</w:t>
      </w:r>
      <w:r>
        <w:rPr>
          <w:lang w:val="en"/>
        </w:rPr>
        <w:t xml:space="preserve"> (increase </w:t>
      </w:r>
      <w:r w:rsidR="00E5255B">
        <w:rPr>
          <w:lang w:val="en"/>
        </w:rPr>
        <w:t>of</w:t>
      </w:r>
      <w:r>
        <w:rPr>
          <w:lang w:val="en"/>
        </w:rPr>
        <w:t xml:space="preserve"> 1.3%).</w:t>
      </w:r>
    </w:p>
    <w:p w:rsidR="00265626" w:rsidRPr="00975517" w:rsidRDefault="00265626" w:rsidP="00CD790B">
      <w:pPr>
        <w:spacing w:before="0" w:after="0"/>
        <w:jc w:val="both"/>
        <w:rPr>
          <w:spacing w:val="-2"/>
          <w:sz w:val="12"/>
          <w:szCs w:val="12"/>
          <w:lang w:val="en-US"/>
        </w:rPr>
      </w:pPr>
    </w:p>
    <w:p w:rsidR="00265626" w:rsidRPr="00975517" w:rsidRDefault="00310683" w:rsidP="00265626">
      <w:pPr>
        <w:spacing w:before="0" w:after="0"/>
        <w:rPr>
          <w:spacing w:val="-2"/>
          <w:sz w:val="18"/>
          <w:lang w:val="en-US"/>
        </w:rPr>
      </w:pPr>
      <w:r w:rsidRPr="00975517">
        <w:rPr>
          <w:b/>
          <w:spacing w:val="-2"/>
          <w:sz w:val="18"/>
          <w:lang w:val="en-US"/>
        </w:rPr>
        <w:t>Table</w:t>
      </w:r>
      <w:r w:rsidR="00265626" w:rsidRPr="00975517">
        <w:rPr>
          <w:b/>
          <w:spacing w:val="-2"/>
          <w:sz w:val="18"/>
          <w:lang w:val="en-US"/>
        </w:rPr>
        <w:t xml:space="preserve"> </w:t>
      </w:r>
      <w:r w:rsidR="00BF3836" w:rsidRPr="00975517">
        <w:rPr>
          <w:b/>
          <w:spacing w:val="-2"/>
          <w:sz w:val="18"/>
          <w:lang w:val="en-US"/>
        </w:rPr>
        <w:t>2</w:t>
      </w:r>
      <w:r w:rsidR="00265626" w:rsidRPr="00975517">
        <w:rPr>
          <w:b/>
          <w:spacing w:val="-2"/>
          <w:sz w:val="18"/>
          <w:lang w:val="en-US"/>
        </w:rPr>
        <w:t xml:space="preserve">. </w:t>
      </w:r>
      <w:r w:rsidR="00975517">
        <w:rPr>
          <w:b/>
          <w:spacing w:val="-2"/>
          <w:sz w:val="18"/>
          <w:lang w:val="en-US"/>
        </w:rPr>
        <w:t xml:space="preserve">Infrastructure </w:t>
      </w:r>
      <w:r w:rsidRPr="00975517">
        <w:rPr>
          <w:b/>
          <w:spacing w:val="-2"/>
          <w:sz w:val="18"/>
          <w:lang w:val="en-US"/>
        </w:rPr>
        <w:t xml:space="preserve">of water supply </w:t>
      </w:r>
      <w:r w:rsidR="00975517">
        <w:rPr>
          <w:b/>
          <w:spacing w:val="-2"/>
          <w:sz w:val="18"/>
          <w:lang w:val="en-US"/>
        </w:rPr>
        <w:t>system</w:t>
      </w:r>
      <w:r w:rsidRPr="00975517">
        <w:rPr>
          <w:b/>
          <w:spacing w:val="-2"/>
          <w:sz w:val="18"/>
          <w:lang w:val="en-US"/>
        </w:rPr>
        <w:t xml:space="preserve"> in 2017 </w:t>
      </w: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tbl>
      <w:tblPr>
        <w:tblW w:w="7878" w:type="dxa"/>
        <w:tblBorders>
          <w:top w:val="single" w:sz="4" w:space="0" w:color="212492"/>
          <w:bottom w:val="single" w:sz="4" w:space="0" w:color="212492"/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020"/>
        <w:gridCol w:w="1020"/>
        <w:gridCol w:w="1020"/>
        <w:gridCol w:w="1020"/>
      </w:tblGrid>
      <w:tr w:rsidR="00265626" w:rsidRPr="00BA1994" w:rsidTr="0091485C">
        <w:trPr>
          <w:trHeight w:val="270"/>
        </w:trPr>
        <w:tc>
          <w:tcPr>
            <w:tcW w:w="3798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310683" w:rsidP="0091485C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91485C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91485C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2015</w:t>
            </w:r>
            <w:r w:rsidR="006D46C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=</w:t>
            </w:r>
            <w:r w:rsidR="006D46CD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91485C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91485C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2016 = 100</w:t>
            </w:r>
          </w:p>
        </w:tc>
      </w:tr>
      <w:tr w:rsidR="00265626" w:rsidRPr="00BA1994" w:rsidTr="0091485C">
        <w:trPr>
          <w:trHeight w:val="547"/>
        </w:trPr>
        <w:tc>
          <w:tcPr>
            <w:tcW w:w="3798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975517" w:rsidRDefault="00310683" w:rsidP="0091485C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Distribution water supply network in </w:t>
            </w:r>
            <w:proofErr w:type="spellStart"/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thous</w:t>
            </w:r>
            <w:proofErr w:type="spellEnd"/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. km (as of December 31</w:t>
            </w:r>
            <w:r w:rsidR="00AD5110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st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)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301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303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65626" w:rsidRPr="00BA1994" w:rsidTr="0091485C">
        <w:trPr>
          <w:trHeight w:val="410"/>
        </w:trPr>
        <w:tc>
          <w:tcPr>
            <w:tcW w:w="3798" w:type="dxa"/>
            <w:shd w:val="clear" w:color="auto" w:fill="auto"/>
            <w:vAlign w:val="center"/>
            <w:hideMark/>
          </w:tcPr>
          <w:p w:rsidR="00265626" w:rsidRPr="00975517" w:rsidRDefault="00310683" w:rsidP="0091485C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Distribution water supply network for 100 km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96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97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E1FDB" w:rsidRPr="00AD5110" w:rsidTr="0091485C">
        <w:trPr>
          <w:trHeight w:val="410"/>
        </w:trPr>
        <w:tc>
          <w:tcPr>
            <w:tcW w:w="3798" w:type="dxa"/>
            <w:shd w:val="clear" w:color="auto" w:fill="auto"/>
            <w:vAlign w:val="center"/>
          </w:tcPr>
          <w:p w:rsidR="004E1FDB" w:rsidRPr="00975517" w:rsidRDefault="00310683" w:rsidP="0017685D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Connections to </w:t>
            </w:r>
            <w:r w:rsidR="00AD5110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residential 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buildings in </w:t>
            </w:r>
            <w:proofErr w:type="spellStart"/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thous</w:t>
            </w:r>
            <w:proofErr w:type="spellEnd"/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.</w:t>
            </w:r>
            <w:r w:rsidR="00AD5110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pcs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E1FDB" w:rsidRPr="00AD5110" w:rsidRDefault="004E1FDB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5576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E1FDB" w:rsidRPr="00AD5110" w:rsidRDefault="00660001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101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E1FDB" w:rsidRPr="00AD5110" w:rsidRDefault="004E1FDB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5647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E1FDB" w:rsidRPr="00AD5110" w:rsidRDefault="004E1FDB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101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</w:tr>
      <w:tr w:rsidR="00265626" w:rsidRPr="00AD5110" w:rsidTr="0091485C">
        <w:trPr>
          <w:trHeight w:val="402"/>
        </w:trPr>
        <w:tc>
          <w:tcPr>
            <w:tcW w:w="3798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265626" w:rsidRPr="00975517" w:rsidRDefault="00310683" w:rsidP="0091485C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Water consumption in households in hm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265626" w:rsidRPr="00AD5110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1238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265626" w:rsidRPr="00AD5110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100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1 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265626" w:rsidRPr="00AD5110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1223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265626" w:rsidRPr="00AD5110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98</w:t>
            </w:r>
            <w:r w:rsidR="00184EA6"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.</w:t>
            </w:r>
            <w:r w:rsidRPr="00AD5110"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</w:tr>
      <w:tr w:rsidR="00265626" w:rsidRPr="00BA1994" w:rsidTr="0091485C">
        <w:trPr>
          <w:trHeight w:val="480"/>
        </w:trPr>
        <w:tc>
          <w:tcPr>
            <w:tcW w:w="37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65626" w:rsidRPr="00975517" w:rsidRDefault="00310683" w:rsidP="0091485C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Average water consumption per capita in 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65626" w:rsidRPr="00BA1994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D91092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32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D91092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65626" w:rsidRPr="00D91092" w:rsidRDefault="00265626" w:rsidP="00184EA6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D91092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Pr="00D91092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 w:rsidR="00184EA6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65626" w:rsidRPr="00BA1994" w:rsidRDefault="00184EA6" w:rsidP="0091485C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31.</w:t>
            </w:r>
            <w:r w:rsidR="00265626"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65626" w:rsidRPr="00BA1994" w:rsidRDefault="00184EA6" w:rsidP="0091485C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98.</w:t>
            </w:r>
            <w:r w:rsidR="00265626"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</w:tbl>
    <w:p w:rsidR="00265626" w:rsidRDefault="00265626" w:rsidP="00265626">
      <w:pPr>
        <w:spacing w:before="0" w:after="0"/>
        <w:rPr>
          <w:spacing w:val="-2"/>
          <w:szCs w:val="19"/>
        </w:rPr>
      </w:pPr>
    </w:p>
    <w:p w:rsidR="00310683" w:rsidRDefault="00353D75" w:rsidP="006D46CD">
      <w:pPr>
        <w:spacing w:before="0"/>
        <w:rPr>
          <w:lang w:val="e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-132182</wp:posOffset>
                </wp:positionV>
                <wp:extent cx="1660550" cy="850604"/>
                <wp:effectExtent l="0" t="0" r="0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50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45" w:rsidRPr="00B74914" w:rsidRDefault="00353D75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</w:pPr>
                            <w:r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Over 77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.3</w:t>
                            </w:r>
                            <w:r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% of the leng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</w:t>
                            </w:r>
                            <w:r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h 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br/>
                            </w:r>
                            <w:r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of the water supply network is located in rural</w:t>
                            </w: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areas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12" o:spid="_x0000_s1032" type="#_x0000_t202" style="position:absolute;margin-left:410.4pt;margin-top:-10.4pt;width:130.75pt;height:6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" filled="f" stroked="f" strokeweight=".5pt">
                <v:textbox>
                  <w:txbxContent>
                    <w:p w:rsidR="00F27A45" w:rsidRPr="00B74914" w:rsidRDefault="00353D75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</w:pPr>
                      <w:r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Over 77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.3</w:t>
                      </w:r>
                      <w:r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% of the leng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t</w:t>
                      </w:r>
                      <w:r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h 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br/>
                      </w:r>
                      <w:r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of the water supply network is located in rural</w:t>
                      </w: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areas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0683">
        <w:rPr>
          <w:lang w:val="en"/>
        </w:rPr>
        <w:t xml:space="preserve">Over 77.3% of the length of the water supply network and 61.6% of the connections to the </w:t>
      </w:r>
      <w:r w:rsidR="00AD5110">
        <w:rPr>
          <w:lang w:val="en"/>
        </w:rPr>
        <w:t xml:space="preserve">residential </w:t>
      </w:r>
      <w:r w:rsidR="00310683">
        <w:rPr>
          <w:lang w:val="en"/>
        </w:rPr>
        <w:t xml:space="preserve">buildings was located in rural areas. In comparison </w:t>
      </w:r>
      <w:r w:rsidR="005B438D">
        <w:rPr>
          <w:lang w:val="en"/>
        </w:rPr>
        <w:t>to</w:t>
      </w:r>
      <w:r w:rsidR="00310683">
        <w:rPr>
          <w:lang w:val="en"/>
        </w:rPr>
        <w:t xml:space="preserve"> the previous year, the length of the water</w:t>
      </w:r>
      <w:r w:rsidR="005B438D">
        <w:rPr>
          <w:lang w:val="en"/>
        </w:rPr>
        <w:t xml:space="preserve"> supply network in rural areas</w:t>
      </w:r>
      <w:r w:rsidR="00310683">
        <w:rPr>
          <w:lang w:val="en"/>
        </w:rPr>
        <w:t xml:space="preserve"> increased by 1.8 </w:t>
      </w:r>
      <w:proofErr w:type="spellStart"/>
      <w:r w:rsidR="00310683">
        <w:rPr>
          <w:lang w:val="en"/>
        </w:rPr>
        <w:t>thous</w:t>
      </w:r>
      <w:proofErr w:type="spellEnd"/>
      <w:r w:rsidR="001B7F97">
        <w:rPr>
          <w:lang w:val="en"/>
        </w:rPr>
        <w:t>.</w:t>
      </w:r>
      <w:r w:rsidR="00310683">
        <w:rPr>
          <w:lang w:val="en"/>
        </w:rPr>
        <w:t xml:space="preserve"> km, (by 0.8%) and amounted to</w:t>
      </w:r>
      <w:r w:rsidR="00CB7B09">
        <w:rPr>
          <w:lang w:val="en"/>
        </w:rPr>
        <w:t> </w:t>
      </w:r>
      <w:r w:rsidR="00310683">
        <w:rPr>
          <w:lang w:val="en"/>
        </w:rPr>
        <w:t>235</w:t>
      </w:r>
      <w:r w:rsidR="004D245F">
        <w:rPr>
          <w:lang w:val="en"/>
        </w:rPr>
        <w:t xml:space="preserve"> </w:t>
      </w:r>
      <w:proofErr w:type="spellStart"/>
      <w:r w:rsidR="004D245F">
        <w:rPr>
          <w:lang w:val="en"/>
        </w:rPr>
        <w:t>thous</w:t>
      </w:r>
      <w:proofErr w:type="spellEnd"/>
      <w:r w:rsidR="004D245F">
        <w:rPr>
          <w:lang w:val="en"/>
        </w:rPr>
        <w:t xml:space="preserve">. </w:t>
      </w:r>
      <w:r w:rsidR="00310683">
        <w:rPr>
          <w:lang w:val="en"/>
        </w:rPr>
        <w:t xml:space="preserve">km, and the number of connections </w:t>
      </w:r>
      <w:r w:rsidR="004D245F" w:rsidRPr="004D245F">
        <w:rPr>
          <w:spacing w:val="-2"/>
          <w:szCs w:val="19"/>
          <w:lang w:val="en-GB"/>
        </w:rPr>
        <w:t>–</w:t>
      </w:r>
      <w:r w:rsidR="005B438D">
        <w:rPr>
          <w:lang w:val="en"/>
        </w:rPr>
        <w:t xml:space="preserve"> by 31.3 </w:t>
      </w:r>
      <w:proofErr w:type="spellStart"/>
      <w:r w:rsidR="005B438D">
        <w:rPr>
          <w:lang w:val="en"/>
        </w:rPr>
        <w:t>thous</w:t>
      </w:r>
      <w:proofErr w:type="spellEnd"/>
      <w:r w:rsidR="005B438D">
        <w:rPr>
          <w:lang w:val="en"/>
        </w:rPr>
        <w:t xml:space="preserve">. pcs </w:t>
      </w:r>
      <w:r w:rsidR="00310683">
        <w:rPr>
          <w:lang w:val="en"/>
        </w:rPr>
        <w:t xml:space="preserve">(by 0.9%). In </w:t>
      </w:r>
      <w:r w:rsidR="005B438D">
        <w:rPr>
          <w:lang w:val="en"/>
        </w:rPr>
        <w:t>urban area</w:t>
      </w:r>
      <w:r w:rsidR="004D245F">
        <w:rPr>
          <w:lang w:val="en"/>
        </w:rPr>
        <w:t>s</w:t>
      </w:r>
      <w:r w:rsidR="005B438D">
        <w:rPr>
          <w:lang w:val="en"/>
        </w:rPr>
        <w:t xml:space="preserve"> there </w:t>
      </w:r>
      <w:r w:rsidR="002E5444">
        <w:rPr>
          <w:lang w:val="en"/>
        </w:rPr>
        <w:t xml:space="preserve">were over 1.1 </w:t>
      </w:r>
      <w:proofErr w:type="spellStart"/>
      <w:r w:rsidR="002E5444">
        <w:rPr>
          <w:lang w:val="en"/>
        </w:rPr>
        <w:t>thous</w:t>
      </w:r>
      <w:proofErr w:type="spellEnd"/>
      <w:r w:rsidR="002E5444">
        <w:rPr>
          <w:lang w:val="en"/>
        </w:rPr>
        <w:t>.</w:t>
      </w:r>
      <w:r w:rsidR="00310683">
        <w:rPr>
          <w:lang w:val="en"/>
        </w:rPr>
        <w:t xml:space="preserve"> </w:t>
      </w:r>
      <w:r w:rsidR="004D245F">
        <w:rPr>
          <w:lang w:val="en"/>
        </w:rPr>
        <w:t xml:space="preserve">km of </w:t>
      </w:r>
      <w:r w:rsidR="00184EA6">
        <w:rPr>
          <w:lang w:val="en"/>
        </w:rPr>
        <w:t>new</w:t>
      </w:r>
      <w:r w:rsidR="00AD5110">
        <w:rPr>
          <w:lang w:val="en"/>
        </w:rPr>
        <w:t>ly</w:t>
      </w:r>
      <w:r w:rsidR="00184EA6">
        <w:rPr>
          <w:lang w:val="en"/>
        </w:rPr>
        <w:t xml:space="preserve"> built </w:t>
      </w:r>
      <w:r w:rsidR="00310683">
        <w:rPr>
          <w:lang w:val="en"/>
        </w:rPr>
        <w:t xml:space="preserve">network (increase </w:t>
      </w:r>
      <w:r w:rsidR="002E5444">
        <w:rPr>
          <w:lang w:val="en"/>
        </w:rPr>
        <w:t>of</w:t>
      </w:r>
      <w:r w:rsidR="00310683">
        <w:rPr>
          <w:lang w:val="en"/>
        </w:rPr>
        <w:t xml:space="preserve"> 1.6%).</w:t>
      </w:r>
    </w:p>
    <w:p w:rsidR="00310683" w:rsidRPr="00310683" w:rsidRDefault="002E5444" w:rsidP="006D46CD">
      <w:pPr>
        <w:spacing w:before="0" w:line="240" w:lineRule="auto"/>
        <w:rPr>
          <w:lang w:val="en"/>
        </w:rPr>
      </w:pPr>
      <w:r w:rsidRPr="00975517">
        <w:rPr>
          <w:szCs w:val="19"/>
          <w:shd w:val="clear" w:color="auto" w:fill="FFFFFF"/>
          <w:lang w:val="en-US"/>
        </w:rPr>
        <w:t>As far as individual voivodships are concerned,</w:t>
      </w:r>
      <w:r w:rsidR="00310683" w:rsidRPr="00310683">
        <w:rPr>
          <w:lang w:val="en"/>
        </w:rPr>
        <w:t xml:space="preserve"> the largest increase in the </w:t>
      </w:r>
      <w:r w:rsidR="00184EA6">
        <w:rPr>
          <w:lang w:val="en"/>
        </w:rPr>
        <w:t xml:space="preserve">length of </w:t>
      </w:r>
      <w:r w:rsidR="00310683" w:rsidRPr="00310683">
        <w:rPr>
          <w:lang w:val="en"/>
        </w:rPr>
        <w:t>water supply network was observed</w:t>
      </w:r>
      <w:r>
        <w:rPr>
          <w:lang w:val="en"/>
        </w:rPr>
        <w:t xml:space="preserve"> i</w:t>
      </w:r>
      <w:r w:rsidR="00310683" w:rsidRPr="00310683">
        <w:rPr>
          <w:lang w:val="en"/>
        </w:rPr>
        <w:t xml:space="preserve">n </w:t>
      </w:r>
      <w:r>
        <w:rPr>
          <w:lang w:val="en"/>
        </w:rPr>
        <w:t>v</w:t>
      </w:r>
      <w:r w:rsidRPr="00310683">
        <w:rPr>
          <w:lang w:val="en"/>
        </w:rPr>
        <w:t>oivodships</w:t>
      </w:r>
      <w:r>
        <w:rPr>
          <w:lang w:val="en"/>
        </w:rPr>
        <w:t>:</w:t>
      </w:r>
      <w:r w:rsidRPr="00310683">
        <w:rPr>
          <w:lang w:val="en"/>
        </w:rPr>
        <w:t xml:space="preserve"> </w:t>
      </w:r>
      <w:proofErr w:type="spellStart"/>
      <w:r>
        <w:rPr>
          <w:lang w:val="en"/>
        </w:rPr>
        <w:t>m</w:t>
      </w:r>
      <w:r w:rsidR="00310683" w:rsidRPr="00310683">
        <w:rPr>
          <w:lang w:val="en"/>
        </w:rPr>
        <w:t>azowieckie</w:t>
      </w:r>
      <w:proofErr w:type="spellEnd"/>
      <w:r w:rsidR="00310683" w:rsidRPr="00310683">
        <w:rPr>
          <w:lang w:val="en"/>
        </w:rPr>
        <w:t xml:space="preserve"> </w:t>
      </w:r>
      <w:r w:rsidR="004D245F" w:rsidRPr="004D245F">
        <w:rPr>
          <w:spacing w:val="-2"/>
          <w:szCs w:val="19"/>
          <w:lang w:val="en-GB"/>
        </w:rPr>
        <w:t>–</w:t>
      </w:r>
      <w:r w:rsidR="00310683" w:rsidRPr="00310683">
        <w:rPr>
          <w:lang w:val="en"/>
        </w:rPr>
        <w:t xml:space="preserve"> increase </w:t>
      </w:r>
      <w:r>
        <w:rPr>
          <w:lang w:val="en"/>
        </w:rPr>
        <w:t>of</w:t>
      </w:r>
      <w:r w:rsidR="00310683" w:rsidRPr="00310683">
        <w:rPr>
          <w:lang w:val="en"/>
        </w:rPr>
        <w:t xml:space="preserve"> 559.0 km, </w:t>
      </w:r>
      <w:proofErr w:type="spellStart"/>
      <w:r>
        <w:rPr>
          <w:lang w:val="en"/>
        </w:rPr>
        <w:t>kujawsko</w:t>
      </w:r>
      <w:proofErr w:type="spellEnd"/>
      <w:r>
        <w:rPr>
          <w:lang w:val="en"/>
        </w:rPr>
        <w:t>-</w:t>
      </w:r>
      <w:r w:rsidR="001B7F97">
        <w:rPr>
          <w:lang w:val="en"/>
        </w:rPr>
        <w:br/>
        <w:t>-</w:t>
      </w:r>
      <w:proofErr w:type="spellStart"/>
      <w:r>
        <w:rPr>
          <w:lang w:val="en"/>
        </w:rPr>
        <w:t>pomorskie</w:t>
      </w:r>
      <w:proofErr w:type="spellEnd"/>
      <w:r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310683" w:rsidRPr="00310683">
        <w:rPr>
          <w:lang w:val="en"/>
        </w:rPr>
        <w:t xml:space="preserve"> </w:t>
      </w:r>
      <w:r>
        <w:rPr>
          <w:lang w:val="en"/>
        </w:rPr>
        <w:t>of</w:t>
      </w:r>
      <w:r w:rsidR="00310683" w:rsidRPr="00310683">
        <w:rPr>
          <w:lang w:val="en"/>
        </w:rPr>
        <w:t xml:space="preserve"> 236.8 km, </w:t>
      </w:r>
      <w:proofErr w:type="spellStart"/>
      <w:r>
        <w:rPr>
          <w:lang w:val="en"/>
        </w:rPr>
        <w:t>pomorskie</w:t>
      </w:r>
      <w:proofErr w:type="spellEnd"/>
      <w:r w:rsidR="00184EA6"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>
        <w:rPr>
          <w:lang w:val="en"/>
        </w:rPr>
        <w:t xml:space="preserve"> of</w:t>
      </w:r>
      <w:r w:rsidR="00310683" w:rsidRPr="00310683">
        <w:rPr>
          <w:lang w:val="en"/>
        </w:rPr>
        <w:t xml:space="preserve"> 218.6 km, </w:t>
      </w:r>
      <w:proofErr w:type="spellStart"/>
      <w:r>
        <w:rPr>
          <w:lang w:val="en"/>
        </w:rPr>
        <w:t>świętokrzyskie</w:t>
      </w:r>
      <w:proofErr w:type="spellEnd"/>
      <w:r>
        <w:rPr>
          <w:lang w:val="en"/>
        </w:rPr>
        <w:t xml:space="preserve"> </w:t>
      </w:r>
      <w:r w:rsidR="004D245F" w:rsidRPr="004D245F">
        <w:rPr>
          <w:spacing w:val="-2"/>
          <w:szCs w:val="19"/>
          <w:lang w:val="en-GB"/>
        </w:rPr>
        <w:t>–</w:t>
      </w:r>
      <w:r w:rsidR="004D245F">
        <w:rPr>
          <w:spacing w:val="-2"/>
          <w:szCs w:val="19"/>
          <w:lang w:val="en-GB"/>
        </w:rPr>
        <w:t xml:space="preserve"> </w:t>
      </w:r>
      <w:r>
        <w:rPr>
          <w:lang w:val="en"/>
        </w:rPr>
        <w:t>of</w:t>
      </w:r>
      <w:r w:rsidR="00310683" w:rsidRPr="00310683">
        <w:rPr>
          <w:lang w:val="en"/>
        </w:rPr>
        <w:t xml:space="preserve"> 204.3 km and </w:t>
      </w:r>
      <w:proofErr w:type="spellStart"/>
      <w:r>
        <w:rPr>
          <w:lang w:val="en"/>
        </w:rPr>
        <w:t>w</w:t>
      </w:r>
      <w:r w:rsidR="00310683" w:rsidRPr="00310683">
        <w:rPr>
          <w:lang w:val="en"/>
        </w:rPr>
        <w:t>ielkopolsk</w:t>
      </w:r>
      <w:r>
        <w:rPr>
          <w:lang w:val="en"/>
        </w:rPr>
        <w:t>ie</w:t>
      </w:r>
      <w:proofErr w:type="spellEnd"/>
      <w:r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184EA6">
        <w:rPr>
          <w:lang w:val="en"/>
        </w:rPr>
        <w:t xml:space="preserve"> </w:t>
      </w:r>
      <w:r>
        <w:rPr>
          <w:lang w:val="en"/>
        </w:rPr>
        <w:t>of</w:t>
      </w:r>
      <w:r w:rsidR="00310683" w:rsidRPr="00310683">
        <w:rPr>
          <w:lang w:val="en"/>
        </w:rPr>
        <w:t xml:space="preserve"> 202.8 km, while the </w:t>
      </w:r>
      <w:r>
        <w:rPr>
          <w:lang w:val="en"/>
        </w:rPr>
        <w:t>lowest</w:t>
      </w:r>
      <w:r w:rsidR="00310683" w:rsidRPr="00310683">
        <w:rPr>
          <w:lang w:val="en"/>
        </w:rPr>
        <w:t xml:space="preserve"> increase in the </w:t>
      </w:r>
      <w:r w:rsidR="00C5796B">
        <w:rPr>
          <w:lang w:val="en"/>
        </w:rPr>
        <w:t xml:space="preserve">water supply </w:t>
      </w:r>
      <w:r w:rsidR="00310683" w:rsidRPr="00310683">
        <w:rPr>
          <w:lang w:val="en"/>
        </w:rPr>
        <w:t xml:space="preserve">network </w:t>
      </w:r>
      <w:r>
        <w:rPr>
          <w:lang w:val="en"/>
        </w:rPr>
        <w:t>was observed</w:t>
      </w:r>
      <w:r w:rsidR="00310683" w:rsidRPr="00310683">
        <w:rPr>
          <w:lang w:val="en"/>
        </w:rPr>
        <w:t xml:space="preserve"> in </w:t>
      </w:r>
      <w:proofErr w:type="spellStart"/>
      <w:r>
        <w:rPr>
          <w:lang w:val="en"/>
        </w:rPr>
        <w:t>podlaskie</w:t>
      </w:r>
      <w:proofErr w:type="spellEnd"/>
      <w:r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>
        <w:rPr>
          <w:lang w:val="en"/>
        </w:rPr>
        <w:t xml:space="preserve"> 26.7 km and </w:t>
      </w:r>
      <w:proofErr w:type="spellStart"/>
      <w:r>
        <w:rPr>
          <w:lang w:val="en"/>
        </w:rPr>
        <w:t>l</w:t>
      </w:r>
      <w:r w:rsidR="00310683" w:rsidRPr="00310683">
        <w:rPr>
          <w:lang w:val="en"/>
        </w:rPr>
        <w:t>ubuskie</w:t>
      </w:r>
      <w:proofErr w:type="spellEnd"/>
      <w:r w:rsidR="00310683" w:rsidRPr="00310683">
        <w:rPr>
          <w:lang w:val="en"/>
        </w:rPr>
        <w:t xml:space="preserve"> </w:t>
      </w:r>
      <w:r w:rsidR="004D245F">
        <w:rPr>
          <w:lang w:val="en"/>
        </w:rPr>
        <w:t xml:space="preserve">voivodship </w:t>
      </w:r>
      <w:r w:rsidR="00305491" w:rsidRPr="004D245F">
        <w:rPr>
          <w:spacing w:val="-2"/>
          <w:szCs w:val="19"/>
          <w:lang w:val="en-GB"/>
        </w:rPr>
        <w:t>–</w:t>
      </w:r>
      <w:r w:rsidR="00310683" w:rsidRPr="00310683">
        <w:rPr>
          <w:lang w:val="en"/>
        </w:rPr>
        <w:t xml:space="preserve"> 71.2 km.</w:t>
      </w:r>
    </w:p>
    <w:p w:rsidR="006D46CD" w:rsidRDefault="00B74914" w:rsidP="006D46CD">
      <w:pPr>
        <w:spacing w:before="0"/>
        <w:rPr>
          <w:lang w:val="e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1022350</wp:posOffset>
                </wp:positionV>
                <wp:extent cx="1623949" cy="833933"/>
                <wp:effectExtent l="0" t="0" r="0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49" cy="83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14" w:rsidRPr="00B74914" w:rsidRDefault="00B74914" w:rsidP="00B74914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</w:pP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In Poland,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a </w:t>
                            </w: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there has been a decline in the amount of water consumption per capita</w:t>
                            </w:r>
                            <w:r w:rsidR="006D46C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.</w:t>
                            </w:r>
                          </w:p>
                          <w:p w:rsidR="00B74914" w:rsidRPr="00B74914" w:rsidRDefault="00B7491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13" o:spid="_x0000_s1033" type="#_x0000_t202" style="position:absolute;margin-left:413.25pt;margin-top:80.5pt;width:127.85pt;height:65.6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" filled="f" stroked="f" strokeweight=".5pt">
                <v:textbox>
                  <w:txbxContent>
                    <w:p w:rsidR="00B74914" w:rsidRPr="00B74914" w:rsidRDefault="00B74914" w:rsidP="00B74914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</w:pP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In Poland,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a </w:t>
                      </w: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there has been a decline in the amount of water consumption per capita</w:t>
                      </w:r>
                      <w:r w:rsidR="006D46C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.</w:t>
                      </w:r>
                    </w:p>
                    <w:p w:rsidR="00B74914" w:rsidRPr="00B74914" w:rsidRDefault="00B7491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E33">
        <w:rPr>
          <w:lang w:val="en"/>
        </w:rPr>
        <w:t xml:space="preserve">Along with the development of water supply infrastructure, the network is </w:t>
      </w:r>
      <w:r w:rsidR="00196599">
        <w:rPr>
          <w:lang w:val="en"/>
        </w:rPr>
        <w:t xml:space="preserve">being </w:t>
      </w:r>
      <w:r w:rsidR="00E33E33">
        <w:rPr>
          <w:lang w:val="en"/>
        </w:rPr>
        <w:t xml:space="preserve">systematically </w:t>
      </w:r>
      <w:r w:rsidR="00196599">
        <w:rPr>
          <w:lang w:val="en"/>
        </w:rPr>
        <w:t>concentrated in the country. In 2017</w:t>
      </w:r>
      <w:r w:rsidR="00E33E33">
        <w:rPr>
          <w:lang w:val="en"/>
        </w:rPr>
        <w:t xml:space="preserve"> it </w:t>
      </w:r>
      <w:r w:rsidR="00196599">
        <w:rPr>
          <w:lang w:val="en"/>
        </w:rPr>
        <w:t>was</w:t>
      </w:r>
      <w:r w:rsidR="00E33E33">
        <w:rPr>
          <w:lang w:val="en"/>
        </w:rPr>
        <w:t xml:space="preserve"> 97.2 km per 100 km</w:t>
      </w:r>
      <w:r w:rsidR="00E33E33" w:rsidRPr="00196599">
        <w:rPr>
          <w:vertAlign w:val="superscript"/>
          <w:lang w:val="en"/>
        </w:rPr>
        <w:t>2</w:t>
      </w:r>
      <w:r w:rsidR="00184EA6">
        <w:rPr>
          <w:lang w:val="en"/>
        </w:rPr>
        <w:t xml:space="preserve">, </w:t>
      </w:r>
      <w:r w:rsidR="00E33E33">
        <w:rPr>
          <w:lang w:val="en"/>
        </w:rPr>
        <w:t>and</w:t>
      </w:r>
      <w:r w:rsidR="00196599">
        <w:rPr>
          <w:lang w:val="en"/>
        </w:rPr>
        <w:t xml:space="preserve"> compared to the previous year</w:t>
      </w:r>
      <w:r w:rsidR="00E33E33">
        <w:rPr>
          <w:lang w:val="en"/>
        </w:rPr>
        <w:t xml:space="preserve"> </w:t>
      </w:r>
      <w:r w:rsidR="00184EA6">
        <w:rPr>
          <w:lang w:val="en"/>
        </w:rPr>
        <w:t xml:space="preserve">it </w:t>
      </w:r>
      <w:r w:rsidR="00E33E33">
        <w:rPr>
          <w:lang w:val="en"/>
        </w:rPr>
        <w:t>increased by 0.9 km per 100 km</w:t>
      </w:r>
      <w:r w:rsidR="00E33E33" w:rsidRPr="00196599">
        <w:rPr>
          <w:vertAlign w:val="superscript"/>
          <w:lang w:val="en"/>
        </w:rPr>
        <w:t>2</w:t>
      </w:r>
      <w:r w:rsidR="00E33E33">
        <w:rPr>
          <w:lang w:val="en"/>
        </w:rPr>
        <w:t xml:space="preserve">. The highest density of the water supply network </w:t>
      </w:r>
      <w:r w:rsidR="00196599">
        <w:rPr>
          <w:lang w:val="en"/>
        </w:rPr>
        <w:t>has been</w:t>
      </w:r>
      <w:r w:rsidR="00E33E33">
        <w:rPr>
          <w:lang w:val="en"/>
        </w:rPr>
        <w:t xml:space="preserve"> </w:t>
      </w:r>
      <w:r w:rsidR="00184EA6">
        <w:rPr>
          <w:lang w:val="en"/>
        </w:rPr>
        <w:t xml:space="preserve">observed </w:t>
      </w:r>
      <w:r w:rsidR="00E33E33">
        <w:rPr>
          <w:lang w:val="en"/>
        </w:rPr>
        <w:t xml:space="preserve">in </w:t>
      </w:r>
      <w:proofErr w:type="spellStart"/>
      <w:r w:rsidR="00196599">
        <w:rPr>
          <w:lang w:val="en"/>
        </w:rPr>
        <w:t>ś</w:t>
      </w:r>
      <w:r w:rsidR="00E33E33">
        <w:rPr>
          <w:lang w:val="en"/>
        </w:rPr>
        <w:t>ląskie</w:t>
      </w:r>
      <w:proofErr w:type="spellEnd"/>
      <w:r w:rsidR="00E33E33"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E33E33">
        <w:rPr>
          <w:lang w:val="en"/>
        </w:rPr>
        <w:t xml:space="preserve"> 174.7 km per 100 km</w:t>
      </w:r>
      <w:r w:rsidR="00E33E33" w:rsidRPr="00196599">
        <w:rPr>
          <w:vertAlign w:val="superscript"/>
          <w:lang w:val="en"/>
        </w:rPr>
        <w:t>2</w:t>
      </w:r>
      <w:r w:rsidR="00E33E33">
        <w:rPr>
          <w:lang w:val="en"/>
        </w:rPr>
        <w:t xml:space="preserve"> (increase compared to the previous year by 1.4</w:t>
      </w:r>
      <w:r w:rsidR="001B7F97">
        <w:rPr>
          <w:lang w:val="en"/>
        </w:rPr>
        <w:t> </w:t>
      </w:r>
      <w:r w:rsidR="00E33E33">
        <w:rPr>
          <w:lang w:val="en"/>
        </w:rPr>
        <w:t>km per 100 km</w:t>
      </w:r>
      <w:r w:rsidR="00E33E33" w:rsidRPr="00196599">
        <w:rPr>
          <w:vertAlign w:val="superscript"/>
          <w:lang w:val="en"/>
        </w:rPr>
        <w:t>2</w:t>
      </w:r>
      <w:r w:rsidR="00196599">
        <w:rPr>
          <w:lang w:val="en"/>
        </w:rPr>
        <w:t>)</w:t>
      </w:r>
      <w:r w:rsidR="00184EA6">
        <w:rPr>
          <w:lang w:val="en"/>
        </w:rPr>
        <w:t>,</w:t>
      </w:r>
      <w:r w:rsidR="00196599">
        <w:rPr>
          <w:lang w:val="en"/>
        </w:rPr>
        <w:t xml:space="preserve"> and </w:t>
      </w:r>
      <w:proofErr w:type="spellStart"/>
      <w:r w:rsidR="00196599">
        <w:rPr>
          <w:lang w:val="en"/>
        </w:rPr>
        <w:t>m</w:t>
      </w:r>
      <w:r w:rsidR="00E33E33">
        <w:rPr>
          <w:lang w:val="en"/>
        </w:rPr>
        <w:t>ałopolskie</w:t>
      </w:r>
      <w:proofErr w:type="spellEnd"/>
      <w:r w:rsidR="00C8609F">
        <w:rPr>
          <w:lang w:val="en"/>
        </w:rPr>
        <w:t xml:space="preserve"> voivodship</w:t>
      </w:r>
      <w:r w:rsidR="00E33E33"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C8609F">
        <w:rPr>
          <w:lang w:val="en"/>
        </w:rPr>
        <w:t xml:space="preserve"> </w:t>
      </w:r>
      <w:r w:rsidR="00E33E33">
        <w:rPr>
          <w:lang w:val="en"/>
        </w:rPr>
        <w:t>134.6 km per 100 km</w:t>
      </w:r>
      <w:r w:rsidR="00E33E33" w:rsidRPr="00196599">
        <w:rPr>
          <w:vertAlign w:val="superscript"/>
          <w:lang w:val="en"/>
        </w:rPr>
        <w:t>2</w:t>
      </w:r>
      <w:r w:rsidR="00E33E33">
        <w:rPr>
          <w:lang w:val="en"/>
        </w:rPr>
        <w:t xml:space="preserve"> (by 1.3 km per 100 km</w:t>
      </w:r>
      <w:r w:rsidR="00E33E33" w:rsidRPr="00196599">
        <w:rPr>
          <w:vertAlign w:val="superscript"/>
          <w:lang w:val="en"/>
        </w:rPr>
        <w:t>2</w:t>
      </w:r>
      <w:r w:rsidR="00E33E33">
        <w:rPr>
          <w:lang w:val="en"/>
        </w:rPr>
        <w:t xml:space="preserve">), the </w:t>
      </w:r>
      <w:r w:rsidR="00196599">
        <w:rPr>
          <w:lang w:val="en"/>
        </w:rPr>
        <w:t>lowest</w:t>
      </w:r>
      <w:r w:rsidR="00E33E33"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E33E33">
        <w:rPr>
          <w:lang w:val="en"/>
        </w:rPr>
        <w:t xml:space="preserve"> in </w:t>
      </w:r>
      <w:proofErr w:type="spellStart"/>
      <w:r w:rsidR="00196599">
        <w:rPr>
          <w:lang w:val="en"/>
        </w:rPr>
        <w:t>z</w:t>
      </w:r>
      <w:r w:rsidR="00E33E33">
        <w:rPr>
          <w:lang w:val="en"/>
        </w:rPr>
        <w:t>achodniopomorskie</w:t>
      </w:r>
      <w:proofErr w:type="spellEnd"/>
      <w:r w:rsidR="00E33E33">
        <w:rPr>
          <w:lang w:val="en"/>
        </w:rPr>
        <w:t xml:space="preserve"> </w:t>
      </w:r>
      <w:r w:rsidR="006D46CD" w:rsidRPr="004D245F">
        <w:rPr>
          <w:spacing w:val="-2"/>
          <w:szCs w:val="19"/>
          <w:lang w:val="en-GB"/>
        </w:rPr>
        <w:t>–</w:t>
      </w:r>
      <w:r w:rsidR="00C8609F">
        <w:rPr>
          <w:lang w:val="en"/>
        </w:rPr>
        <w:t xml:space="preserve"> </w:t>
      </w:r>
      <w:r w:rsidR="00E33E33">
        <w:rPr>
          <w:lang w:val="en"/>
        </w:rPr>
        <w:t>49.6 km per 100 km</w:t>
      </w:r>
      <w:r w:rsidR="00E33E33" w:rsidRPr="00196599">
        <w:rPr>
          <w:vertAlign w:val="superscript"/>
          <w:lang w:val="en"/>
        </w:rPr>
        <w:t>2</w:t>
      </w:r>
      <w:r w:rsidR="001B7F97" w:rsidRPr="001B7F97">
        <w:rPr>
          <w:lang w:val="en"/>
        </w:rPr>
        <w:t>,</w:t>
      </w:r>
      <w:r w:rsidR="00196599">
        <w:rPr>
          <w:lang w:val="en"/>
        </w:rPr>
        <w:t xml:space="preserve"> and </w:t>
      </w:r>
      <w:proofErr w:type="spellStart"/>
      <w:r w:rsidR="00196599">
        <w:rPr>
          <w:lang w:val="en"/>
        </w:rPr>
        <w:t>l</w:t>
      </w:r>
      <w:r w:rsidR="00E33E33">
        <w:rPr>
          <w:lang w:val="en"/>
        </w:rPr>
        <w:t>ubuskie</w:t>
      </w:r>
      <w:proofErr w:type="spellEnd"/>
      <w:r w:rsidR="00C8609F">
        <w:rPr>
          <w:lang w:val="en"/>
        </w:rPr>
        <w:t xml:space="preserve"> voivodship</w:t>
      </w:r>
      <w:r w:rsidR="00E33E33"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 w:rsidR="00184EA6">
        <w:rPr>
          <w:lang w:val="en"/>
        </w:rPr>
        <w:t xml:space="preserve"> </w:t>
      </w:r>
      <w:r w:rsidR="00E33E33">
        <w:rPr>
          <w:lang w:val="en"/>
        </w:rPr>
        <w:t>50 km</w:t>
      </w:r>
      <w:r w:rsidR="0017685D">
        <w:rPr>
          <w:lang w:val="en"/>
        </w:rPr>
        <w:t xml:space="preserve"> </w:t>
      </w:r>
      <w:r w:rsidR="00E33E33">
        <w:rPr>
          <w:lang w:val="en"/>
        </w:rPr>
        <w:t>per 100 km</w:t>
      </w:r>
      <w:r w:rsidR="00E33E33" w:rsidRPr="00196599">
        <w:rPr>
          <w:vertAlign w:val="superscript"/>
          <w:lang w:val="en"/>
        </w:rPr>
        <w:t>2</w:t>
      </w:r>
      <w:r w:rsidR="00E33E33">
        <w:rPr>
          <w:lang w:val="en"/>
        </w:rPr>
        <w:t xml:space="preserve"> (in both voivodships </w:t>
      </w:r>
      <w:r w:rsidR="004D245F">
        <w:rPr>
          <w:lang w:val="en"/>
        </w:rPr>
        <w:t xml:space="preserve">there was </w:t>
      </w:r>
      <w:r w:rsidR="00E33E33">
        <w:rPr>
          <w:lang w:val="en"/>
        </w:rPr>
        <w:t>an increase of 0.6 km per 100 km</w:t>
      </w:r>
      <w:r w:rsidR="00E33E33" w:rsidRPr="004A7486">
        <w:rPr>
          <w:vertAlign w:val="superscript"/>
          <w:lang w:val="en"/>
        </w:rPr>
        <w:t>2</w:t>
      </w:r>
      <w:r w:rsidR="00E33E33">
        <w:rPr>
          <w:lang w:val="en"/>
        </w:rPr>
        <w:t>).</w:t>
      </w:r>
    </w:p>
    <w:p w:rsidR="00265626" w:rsidRPr="00975517" w:rsidRDefault="00E33E33" w:rsidP="006D46CD">
      <w:pPr>
        <w:spacing w:before="0"/>
        <w:rPr>
          <w:spacing w:val="-2"/>
          <w:sz w:val="12"/>
          <w:szCs w:val="12"/>
          <w:lang w:val="en-US"/>
        </w:rPr>
      </w:pPr>
      <w:r>
        <w:rPr>
          <w:lang w:val="en"/>
        </w:rPr>
        <w:t xml:space="preserve">In Poland, there </w:t>
      </w:r>
      <w:r w:rsidR="004A7486">
        <w:rPr>
          <w:lang w:val="en"/>
        </w:rPr>
        <w:t>has been</w:t>
      </w:r>
      <w:r>
        <w:rPr>
          <w:lang w:val="en"/>
        </w:rPr>
        <w:t xml:space="preserve"> </w:t>
      </w:r>
      <w:r w:rsidR="00184EA6">
        <w:rPr>
          <w:lang w:val="en"/>
        </w:rPr>
        <w:t xml:space="preserve">a </w:t>
      </w:r>
      <w:r>
        <w:rPr>
          <w:lang w:val="en"/>
        </w:rPr>
        <w:t>de</w:t>
      </w:r>
      <w:r w:rsidR="004A7486">
        <w:rPr>
          <w:lang w:val="en"/>
        </w:rPr>
        <w:t>cline</w:t>
      </w:r>
      <w:r>
        <w:rPr>
          <w:lang w:val="en"/>
        </w:rPr>
        <w:t xml:space="preserve"> in the amount of water consumption by households. In 2017, it </w:t>
      </w:r>
      <w:r w:rsidR="004A7486">
        <w:rPr>
          <w:lang w:val="en"/>
        </w:rPr>
        <w:t>amounted to</w:t>
      </w:r>
      <w:r>
        <w:rPr>
          <w:lang w:val="en"/>
        </w:rPr>
        <w:t xml:space="preserve"> 1223.6 hm</w:t>
      </w:r>
      <w:r w:rsidRPr="004A7486">
        <w:rPr>
          <w:vertAlign w:val="superscript"/>
          <w:lang w:val="en"/>
        </w:rPr>
        <w:t>3</w:t>
      </w:r>
      <w:r>
        <w:rPr>
          <w:lang w:val="en"/>
        </w:rPr>
        <w:t xml:space="preserve"> and in comparison to the previous year it decreased</w:t>
      </w:r>
      <w:r w:rsidR="004A7486">
        <w:rPr>
          <w:lang w:val="en"/>
        </w:rPr>
        <w:t xml:space="preserve"> </w:t>
      </w:r>
      <w:r>
        <w:rPr>
          <w:lang w:val="en"/>
        </w:rPr>
        <w:t>by 14.6</w:t>
      </w:r>
      <w:r w:rsidR="00850F1D">
        <w:rPr>
          <w:lang w:val="en"/>
        </w:rPr>
        <w:t> </w:t>
      </w:r>
      <w:r>
        <w:rPr>
          <w:lang w:val="en"/>
        </w:rPr>
        <w:t>hm</w:t>
      </w:r>
      <w:r w:rsidRPr="004A7486">
        <w:rPr>
          <w:vertAlign w:val="superscript"/>
          <w:lang w:val="en"/>
        </w:rPr>
        <w:t>3</w:t>
      </w:r>
      <w:r>
        <w:rPr>
          <w:lang w:val="en"/>
        </w:rPr>
        <w:t xml:space="preserve"> (decrease by 1.2%), while the average water consumption by households per </w:t>
      </w:r>
      <w:r w:rsidR="004A7486">
        <w:rPr>
          <w:lang w:val="en"/>
        </w:rPr>
        <w:t>capita</w:t>
      </w:r>
      <w:r>
        <w:rPr>
          <w:lang w:val="en"/>
        </w:rPr>
        <w:t xml:space="preserve"> was 31.8</w:t>
      </w:r>
      <w:r w:rsidR="00CB7B09">
        <w:rPr>
          <w:lang w:val="en"/>
        </w:rPr>
        <w:t> </w:t>
      </w:r>
      <w:r>
        <w:rPr>
          <w:lang w:val="en"/>
        </w:rPr>
        <w:t>m</w:t>
      </w:r>
      <w:r w:rsidRPr="004A7486">
        <w:rPr>
          <w:vertAlign w:val="superscript"/>
          <w:lang w:val="en"/>
        </w:rPr>
        <w:t>3</w:t>
      </w:r>
      <w:r>
        <w:rPr>
          <w:lang w:val="en"/>
        </w:rPr>
        <w:t xml:space="preserve"> and in comparison </w:t>
      </w:r>
      <w:r w:rsidR="004A7486">
        <w:rPr>
          <w:lang w:val="en"/>
        </w:rPr>
        <w:t>to</w:t>
      </w:r>
      <w:r w:rsidR="00CB7B09">
        <w:rPr>
          <w:lang w:val="en"/>
        </w:rPr>
        <w:t xml:space="preserve"> 2016</w:t>
      </w:r>
      <w:r>
        <w:rPr>
          <w:lang w:val="en"/>
        </w:rPr>
        <w:t xml:space="preserve"> </w:t>
      </w:r>
      <w:r w:rsidR="004A7486">
        <w:rPr>
          <w:lang w:val="en"/>
        </w:rPr>
        <w:t xml:space="preserve">it decreased </w:t>
      </w:r>
      <w:r>
        <w:rPr>
          <w:lang w:val="en"/>
        </w:rPr>
        <w:t>by 0.4 m</w:t>
      </w:r>
      <w:r w:rsidRPr="004A7486">
        <w:rPr>
          <w:vertAlign w:val="superscript"/>
          <w:lang w:val="en"/>
        </w:rPr>
        <w:t>3</w:t>
      </w:r>
      <w:r w:rsidR="004A7486">
        <w:rPr>
          <w:lang w:val="en"/>
        </w:rPr>
        <w:t>. In rural areas</w:t>
      </w:r>
      <w:r>
        <w:rPr>
          <w:lang w:val="en"/>
        </w:rPr>
        <w:t xml:space="preserve"> water consumption per capita decreased by 0.7 m</w:t>
      </w:r>
      <w:r w:rsidRPr="004A7486">
        <w:rPr>
          <w:vertAlign w:val="superscript"/>
          <w:lang w:val="en"/>
        </w:rPr>
        <w:t>3</w:t>
      </w:r>
      <w:r>
        <w:rPr>
          <w:lang w:val="en"/>
        </w:rPr>
        <w:t>, a</w:t>
      </w:r>
      <w:r w:rsidR="00850F1D">
        <w:rPr>
          <w:lang w:val="en"/>
        </w:rPr>
        <w:t>nd a</w:t>
      </w:r>
      <w:r>
        <w:rPr>
          <w:lang w:val="en"/>
        </w:rPr>
        <w:t xml:space="preserve"> slight decrease in water consumption was </w:t>
      </w:r>
      <w:r w:rsidR="00C8609F">
        <w:rPr>
          <w:lang w:val="en"/>
        </w:rPr>
        <w:t xml:space="preserve">also </w:t>
      </w:r>
      <w:r>
        <w:rPr>
          <w:lang w:val="en"/>
        </w:rPr>
        <w:t xml:space="preserve">recorded in </w:t>
      </w:r>
      <w:r w:rsidR="004A7486">
        <w:rPr>
          <w:lang w:val="en"/>
        </w:rPr>
        <w:t>urban areas</w:t>
      </w:r>
      <w:r>
        <w:rPr>
          <w:lang w:val="en"/>
        </w:rPr>
        <w:t xml:space="preserve"> </w:t>
      </w:r>
      <w:r w:rsidR="00305491" w:rsidRPr="004D245F">
        <w:rPr>
          <w:spacing w:val="-2"/>
          <w:szCs w:val="19"/>
          <w:lang w:val="en-GB"/>
        </w:rPr>
        <w:t>–</w:t>
      </w:r>
      <w:r>
        <w:rPr>
          <w:lang w:val="en"/>
        </w:rPr>
        <w:t xml:space="preserve"> 0.1 m</w:t>
      </w:r>
      <w:r w:rsidRPr="004A7486">
        <w:rPr>
          <w:vertAlign w:val="superscript"/>
          <w:lang w:val="en"/>
        </w:rPr>
        <w:t>3</w:t>
      </w:r>
      <w:r>
        <w:rPr>
          <w:lang w:val="en"/>
        </w:rPr>
        <w:t>.</w:t>
      </w:r>
    </w:p>
    <w:p w:rsidR="002A1D83" w:rsidRPr="00975517" w:rsidRDefault="002A1D83" w:rsidP="00265626">
      <w:pPr>
        <w:spacing w:before="0" w:after="0"/>
        <w:rPr>
          <w:b/>
          <w:spacing w:val="-2"/>
          <w:sz w:val="18"/>
          <w:lang w:val="en-US"/>
        </w:rPr>
      </w:pPr>
    </w:p>
    <w:p w:rsidR="00265626" w:rsidRPr="00975517" w:rsidRDefault="004E1826" w:rsidP="00265626">
      <w:pPr>
        <w:spacing w:before="0" w:after="0"/>
        <w:rPr>
          <w:b/>
          <w:spacing w:val="-2"/>
          <w:sz w:val="18"/>
          <w:lang w:val="en-US"/>
        </w:rPr>
      </w:pPr>
      <w:r w:rsidRPr="00975517">
        <w:rPr>
          <w:b/>
          <w:spacing w:val="-2"/>
          <w:sz w:val="18"/>
          <w:lang w:val="en-US"/>
        </w:rPr>
        <w:t>Chart</w:t>
      </w:r>
      <w:r w:rsidR="00BF3836" w:rsidRPr="00975517">
        <w:rPr>
          <w:b/>
          <w:spacing w:val="-2"/>
          <w:sz w:val="18"/>
          <w:lang w:val="en-US"/>
        </w:rPr>
        <w:t xml:space="preserve"> 2</w:t>
      </w:r>
      <w:r w:rsidR="00265626" w:rsidRPr="00975517">
        <w:rPr>
          <w:b/>
          <w:spacing w:val="-2"/>
          <w:sz w:val="18"/>
          <w:lang w:val="en-US"/>
        </w:rPr>
        <w:t xml:space="preserve">. </w:t>
      </w:r>
      <w:r w:rsidR="00184EA6">
        <w:rPr>
          <w:b/>
          <w:spacing w:val="-2"/>
          <w:sz w:val="18"/>
          <w:lang w:val="en-US"/>
        </w:rPr>
        <w:t>The length</w:t>
      </w:r>
      <w:r w:rsidR="002A1D83" w:rsidRPr="00975517">
        <w:rPr>
          <w:b/>
          <w:spacing w:val="-2"/>
          <w:sz w:val="18"/>
          <w:lang w:val="en-US"/>
        </w:rPr>
        <w:t xml:space="preserve"> </w:t>
      </w:r>
      <w:r w:rsidR="00222E38" w:rsidRPr="00975517">
        <w:rPr>
          <w:b/>
          <w:spacing w:val="-2"/>
          <w:sz w:val="18"/>
          <w:lang w:val="en-US"/>
        </w:rPr>
        <w:t>of water supply network in urban and rural areas in</w:t>
      </w:r>
      <w:r w:rsidR="00265626" w:rsidRPr="00975517">
        <w:rPr>
          <w:b/>
          <w:spacing w:val="-2"/>
          <w:sz w:val="18"/>
          <w:lang w:val="en-US"/>
        </w:rPr>
        <w:t xml:space="preserve"> 2017 </w:t>
      </w:r>
      <w:r w:rsidR="00222E38" w:rsidRPr="00975517">
        <w:rPr>
          <w:b/>
          <w:spacing w:val="-2"/>
          <w:sz w:val="18"/>
          <w:lang w:val="en-US"/>
        </w:rPr>
        <w:t>by v</w:t>
      </w:r>
      <w:r w:rsidR="00265626" w:rsidRPr="00975517">
        <w:rPr>
          <w:b/>
          <w:spacing w:val="-2"/>
          <w:sz w:val="18"/>
          <w:lang w:val="en-US"/>
        </w:rPr>
        <w:t>o</w:t>
      </w:r>
      <w:r w:rsidR="00222E38" w:rsidRPr="00975517">
        <w:rPr>
          <w:b/>
          <w:spacing w:val="-2"/>
          <w:sz w:val="18"/>
          <w:lang w:val="en-US"/>
        </w:rPr>
        <w:t xml:space="preserve">ivodships </w:t>
      </w:r>
    </w:p>
    <w:p w:rsidR="00265626" w:rsidRPr="00975517" w:rsidRDefault="00265626" w:rsidP="00265626">
      <w:pPr>
        <w:rPr>
          <w:color w:val="FF0000"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83072</wp:posOffset>
            </wp:positionV>
            <wp:extent cx="5124450" cy="5040000"/>
            <wp:effectExtent l="0" t="0" r="0" b="0"/>
            <wp:wrapNone/>
            <wp:docPr id="1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Cs w:val="19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Cs w:val="19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265626" w:rsidRPr="00975517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p w:rsidR="00694AF0" w:rsidRPr="00975517" w:rsidRDefault="00694AF0" w:rsidP="00E76D26">
      <w:pPr>
        <w:rPr>
          <w:sz w:val="18"/>
          <w:lang w:val="en-US"/>
        </w:rPr>
      </w:pPr>
    </w:p>
    <w:p w:rsidR="00694AF0" w:rsidRPr="00975517" w:rsidRDefault="00694AF0" w:rsidP="00E76D26">
      <w:pPr>
        <w:rPr>
          <w:sz w:val="18"/>
          <w:lang w:val="en-US"/>
        </w:rPr>
        <w:sectPr w:rsidR="00694AF0" w:rsidRPr="00975517" w:rsidSect="00D02CCD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2975" w:bottom="720" w:left="720" w:header="284" w:footer="284" w:gutter="0"/>
          <w:cols w:space="708"/>
          <w:titlePg/>
          <w:docGrid w:linePitch="360"/>
        </w:sectPr>
      </w:pPr>
    </w:p>
    <w:p w:rsidR="000470AA" w:rsidRPr="00975517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222E38" w:rsidRPr="008F5CD7" w:rsidTr="00B5158A">
        <w:trPr>
          <w:trHeight w:val="1506"/>
        </w:trPr>
        <w:tc>
          <w:tcPr>
            <w:tcW w:w="4165" w:type="dxa"/>
          </w:tcPr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222E38" w:rsidRPr="00975517" w:rsidRDefault="00222E38" w:rsidP="00222E38">
            <w:pPr>
              <w:pStyle w:val="Nagwek3"/>
              <w:spacing w:before="0" w:line="240" w:lineRule="auto"/>
              <w:rPr>
                <w:rFonts w:ascii="Fira Sans" w:eastAsiaTheme="minorHAnsi" w:hAnsi="Fira Sans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975517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  <w:lang w:val="en-US"/>
              </w:rPr>
              <w:br/>
            </w:r>
            <w:r w:rsidRPr="00975517">
              <w:rPr>
                <w:rFonts w:ascii="Fira Sans" w:eastAsiaTheme="minorHAnsi" w:hAnsi="Fira Sans" w:cs="Arial"/>
                <w:b/>
                <w:bCs/>
                <w:color w:val="000000" w:themeColor="text1"/>
                <w:sz w:val="20"/>
                <w:szCs w:val="22"/>
                <w:lang w:val="en-US"/>
              </w:rPr>
              <w:t>Trade and Services Department</w:t>
            </w:r>
          </w:p>
          <w:p w:rsidR="00222E38" w:rsidRPr="006345A9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6345A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Izabella </w:t>
            </w:r>
            <w:proofErr w:type="spellStart"/>
            <w:r w:rsidRPr="006345A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Adamczyk</w:t>
            </w:r>
            <w:proofErr w:type="spellEnd"/>
          </w:p>
          <w:p w:rsidR="00222E38" w:rsidRPr="008F3638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+48 22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608 34 73</w:t>
            </w:r>
          </w:p>
          <w:p w:rsidR="00222E38" w:rsidRPr="008F3638" w:rsidRDefault="00222E38" w:rsidP="006345A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="00D6369F" w:rsidRPr="00EF487C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i.adamczyk@stat.gov.pl</w:t>
              </w:r>
            </w:hyperlink>
          </w:p>
        </w:tc>
        <w:tc>
          <w:tcPr>
            <w:tcW w:w="3728" w:type="dxa"/>
          </w:tcPr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for the President </w:t>
            </w:r>
          </w:p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</w:t>
            </w:r>
            <w:r w:rsidR="00AD5110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:rsidR="00222E38" w:rsidRPr="00975517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975517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proofErr w:type="spellStart"/>
            <w:r w:rsidRPr="00975517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Dawidziuk</w:t>
            </w:r>
            <w:proofErr w:type="spellEnd"/>
          </w:p>
          <w:p w:rsidR="00222E38" w:rsidRPr="008F3638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22 608 3475,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22 608 3009</w:t>
            </w:r>
          </w:p>
          <w:p w:rsidR="00222E38" w:rsidRPr="008F3638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222E38" w:rsidRPr="00975517" w:rsidRDefault="00222E38" w:rsidP="00222E38">
      <w:pPr>
        <w:rPr>
          <w:sz w:val="20"/>
          <w:lang w:val="en-US"/>
        </w:rPr>
      </w:pPr>
    </w:p>
    <w:p w:rsidR="00222E38" w:rsidRPr="00975517" w:rsidRDefault="00222E38" w:rsidP="00222E38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222E38" w:rsidRPr="008F5CD7" w:rsidTr="00B5158A">
        <w:trPr>
          <w:trHeight w:val="610"/>
        </w:trPr>
        <w:tc>
          <w:tcPr>
            <w:tcW w:w="2721" w:type="pct"/>
            <w:vMerge w:val="restart"/>
            <w:vAlign w:val="center"/>
          </w:tcPr>
          <w:p w:rsidR="00222E38" w:rsidRPr="00975517" w:rsidRDefault="00222E38" w:rsidP="00222E38">
            <w:pPr>
              <w:rPr>
                <w:b/>
                <w:sz w:val="20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Press Office</w:t>
            </w:r>
          </w:p>
          <w:p w:rsidR="00222E38" w:rsidRPr="00975517" w:rsidRDefault="00222E38" w:rsidP="00222E38">
            <w:pPr>
              <w:rPr>
                <w:sz w:val="20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 xml:space="preserve">tel.: </w:t>
            </w:r>
            <w:r w:rsidRPr="00975517">
              <w:rPr>
                <w:sz w:val="20"/>
                <w:lang w:val="en-US"/>
              </w:rPr>
              <w:t xml:space="preserve">+48 22 608 34 91, +48 22 608 38 04 </w:t>
            </w:r>
          </w:p>
          <w:p w:rsidR="00222E38" w:rsidRPr="00975517" w:rsidRDefault="00222E38" w:rsidP="00222E38">
            <w:pPr>
              <w:rPr>
                <w:sz w:val="20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fax:</w:t>
            </w:r>
            <w:r w:rsidRPr="00975517">
              <w:rPr>
                <w:sz w:val="20"/>
                <w:lang w:val="en-US"/>
              </w:rPr>
              <w:t xml:space="preserve"> +48 22 608 38 86 </w:t>
            </w:r>
          </w:p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e-mail:</w:t>
            </w:r>
            <w:r w:rsidRPr="00975517">
              <w:rPr>
                <w:sz w:val="20"/>
                <w:lang w:val="en-US"/>
              </w:rPr>
              <w:t xml:space="preserve"> </w:t>
            </w:r>
            <w:hyperlink r:id="rId22" w:history="1">
              <w:r w:rsidRPr="00975517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1503B56A" wp14:editId="4A5366A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 w:rsidRPr="00975517">
              <w:rPr>
                <w:sz w:val="20"/>
                <w:lang w:val="en-US"/>
              </w:rPr>
              <w:t>www.stat.gov.pl/en/</w:t>
            </w:r>
          </w:p>
        </w:tc>
      </w:tr>
      <w:tr w:rsidR="00222E38" w:rsidTr="00B5158A">
        <w:trPr>
          <w:trHeight w:val="436"/>
        </w:trPr>
        <w:tc>
          <w:tcPr>
            <w:tcW w:w="2721" w:type="pct"/>
            <w:vMerge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7C959830" wp14:editId="11FC57E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222E38" w:rsidRDefault="00222E38" w:rsidP="00222E38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222E38" w:rsidTr="00B5158A">
        <w:trPr>
          <w:trHeight w:val="436"/>
        </w:trPr>
        <w:tc>
          <w:tcPr>
            <w:tcW w:w="2721" w:type="pct"/>
            <w:vMerge/>
            <w:vAlign w:val="center"/>
          </w:tcPr>
          <w:p w:rsidR="00222E38" w:rsidRDefault="00222E38" w:rsidP="00222E38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22E38" w:rsidRDefault="00222E38" w:rsidP="00222E38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18C4490E" wp14:editId="3D334A4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222E38" w:rsidRDefault="00222E38" w:rsidP="00222E38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222E38" w:rsidRPr="00001C5B" w:rsidRDefault="00184EA6" w:rsidP="00222E38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38" w:rsidRDefault="00222E38" w:rsidP="00222E38">
                            <w:pPr>
                              <w:rPr>
                                <w:b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222E38" w:rsidRPr="00975517" w:rsidRDefault="000C0B20" w:rsidP="00222E38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6" w:tooltip="Municipal infrastructure in 2016" w:history="1">
                              <w:r w:rsidR="00222E38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Municipal infrastructure in 201</w:t>
                              </w:r>
                              <w:r w:rsidR="005F5F10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6</w:t>
                              </w:r>
                            </w:hyperlink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CB6C00" w:rsidRPr="00975517" w:rsidRDefault="000C0B20" w:rsidP="00CB6C00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CB6C00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Local Data Base</w:t>
                              </w:r>
                            </w:hyperlink>
                          </w:p>
                          <w:p w:rsidR="00222E38" w:rsidRPr="00975517" w:rsidRDefault="000C0B20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hyperlink r:id="rId28" w:history="1">
                              <w:proofErr w:type="spellStart"/>
                              <w:r w:rsidR="00CB6C00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Knownledge</w:t>
                              </w:r>
                              <w:proofErr w:type="spellEnd"/>
                              <w:r w:rsidR="00CB6C00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 xml:space="preserve"> Databases</w:t>
                              </w:r>
                            </w:hyperlink>
                            <w:r w:rsidR="00AD5110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(DBW) </w:t>
                            </w:r>
                            <w:r w:rsidR="00FE5015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Municipal and Dwelling Infrastructure</w:t>
                            </w: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:rsidR="00222E38" w:rsidRPr="00975517" w:rsidRDefault="000C0B20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CB6C00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Sewage system</w:t>
                              </w:r>
                            </w:hyperlink>
                          </w:p>
                          <w:p w:rsidR="00222E38" w:rsidRPr="00975517" w:rsidRDefault="000C0B20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0E2F7E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Active sewage network</w:t>
                              </w:r>
                            </w:hyperlink>
                          </w:p>
                          <w:p w:rsidR="000E2F7E" w:rsidRPr="00975517" w:rsidRDefault="000C0B20" w:rsidP="00222E38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tooltip="Water supply distribution network" w:history="1">
                              <w:r w:rsidR="000E2F7E" w:rsidRPr="009755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Water supply distribution network</w:t>
                              </w:r>
                            </w:hyperlink>
                          </w:p>
                          <w:p w:rsidR="000E2F7E" w:rsidRPr="000E2F7E" w:rsidRDefault="000C0B20" w:rsidP="00222E38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tooltip="Water supply system" w:history="1">
                              <w:proofErr w:type="spellStart"/>
                              <w:r w:rsidR="000E2F7E" w:rsidRPr="000E2F7E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Water</w:t>
                              </w:r>
                              <w:proofErr w:type="spellEnd"/>
                              <w:r w:rsidR="000E2F7E" w:rsidRPr="000E2F7E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</w:t>
                              </w:r>
                              <w:proofErr w:type="spellStart"/>
                              <w:r w:rsidR="000E2F7E" w:rsidRPr="000E2F7E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supply</w:t>
                              </w:r>
                              <w:proofErr w:type="spellEnd"/>
                              <w:r w:rsidR="000E2F7E" w:rsidRPr="000E2F7E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system</w:t>
                              </w:r>
                            </w:hyperlink>
                          </w:p>
                          <w:p w:rsidR="00222E38" w:rsidRPr="00505A92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1.5pt;margin-top:33.5pt;width:516.5pt;height:349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DNzAyn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222E38" w:rsidRDefault="00222E38" w:rsidP="00222E38">
                      <w:pPr>
                        <w:rPr>
                          <w:b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lang w:val="en-US"/>
                        </w:rPr>
                      </w:pPr>
                      <w:r w:rsidRPr="00975517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222E38" w:rsidRPr="00975517" w:rsidRDefault="00D6642C" w:rsidP="00222E38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3" w:tooltip="Municipal infrastructure in 2016" w:history="1">
                        <w:r w:rsidR="00222E38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Municipal infrastructure in 201</w:t>
                        </w:r>
                        <w:r w:rsidR="005F5F10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6</w:t>
                        </w:r>
                      </w:hyperlink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5517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CB6C00" w:rsidRPr="00975517" w:rsidRDefault="00D6642C" w:rsidP="00CB6C00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CB6C00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Local Data Base</w:t>
                        </w:r>
                      </w:hyperlink>
                    </w:p>
                    <w:p w:rsidR="00222E38" w:rsidRPr="00975517" w:rsidRDefault="00D6642C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hyperlink r:id="rId35" w:history="1">
                        <w:proofErr w:type="spellStart"/>
                        <w:r w:rsidR="00CB6C00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Knownledge</w:t>
                        </w:r>
                        <w:proofErr w:type="spellEnd"/>
                        <w:r w:rsidR="00CB6C00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 xml:space="preserve"> Databases</w:t>
                        </w:r>
                      </w:hyperlink>
                      <w:r w:rsidR="00AD5110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(DBW) </w:t>
                      </w:r>
                      <w:r w:rsidR="00FE5015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Municipal and Dwelling Infrastructure</w:t>
                      </w:r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5517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:rsidR="00222E38" w:rsidRPr="00975517" w:rsidRDefault="00D6642C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CB6C00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Sewage system</w:t>
                        </w:r>
                      </w:hyperlink>
                    </w:p>
                    <w:p w:rsidR="00222E38" w:rsidRPr="00975517" w:rsidRDefault="00D6642C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0E2F7E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Active sewage network</w:t>
                        </w:r>
                      </w:hyperlink>
                    </w:p>
                    <w:p w:rsidR="000E2F7E" w:rsidRPr="00975517" w:rsidRDefault="00D6642C" w:rsidP="00222E38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tooltip="Water supply distribution network" w:history="1">
                        <w:r w:rsidR="000E2F7E" w:rsidRPr="009755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Water supply distribution network</w:t>
                        </w:r>
                      </w:hyperlink>
                    </w:p>
                    <w:p w:rsidR="000E2F7E" w:rsidRPr="000E2F7E" w:rsidRDefault="00D6642C" w:rsidP="00222E38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tooltip="Water supply system" w:history="1">
                        <w:proofErr w:type="spellStart"/>
                        <w:r w:rsidR="000E2F7E" w:rsidRPr="000E2F7E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Water</w:t>
                        </w:r>
                        <w:proofErr w:type="spellEnd"/>
                        <w:r w:rsidR="000E2F7E" w:rsidRPr="000E2F7E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proofErr w:type="spellStart"/>
                        <w:r w:rsidR="000E2F7E" w:rsidRPr="000E2F7E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supply</w:t>
                        </w:r>
                        <w:proofErr w:type="spellEnd"/>
                        <w:r w:rsidR="000E2F7E" w:rsidRPr="000E2F7E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 system</w:t>
                        </w:r>
                      </w:hyperlink>
                    </w:p>
                    <w:p w:rsidR="00222E38" w:rsidRPr="00505A92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001C5B" w:rsidRDefault="00D261A2" w:rsidP="00E76D26">
      <w:pPr>
        <w:rPr>
          <w:sz w:val="18"/>
        </w:rPr>
      </w:pPr>
    </w:p>
    <w:sectPr w:rsidR="00D261A2" w:rsidRPr="00001C5B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20" w:rsidRDefault="000C0B20" w:rsidP="000662E2">
      <w:pPr>
        <w:spacing w:after="0" w:line="240" w:lineRule="auto"/>
      </w:pPr>
      <w:r>
        <w:separator/>
      </w:r>
    </w:p>
  </w:endnote>
  <w:endnote w:type="continuationSeparator" w:id="0">
    <w:p w:rsidR="000C0B20" w:rsidRDefault="000C0B2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Fira Sans SemiBold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3C7BCB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8F5CD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3C7BCB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8F5CD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6" w:rsidRDefault="003C7BCB" w:rsidP="003B18B6">
    <w:pPr>
      <w:pStyle w:val="Stopka"/>
      <w:jc w:val="center"/>
    </w:pPr>
    <w:r>
      <w:fldChar w:fldCharType="begin"/>
    </w:r>
    <w:r w:rsidR="003B18B6">
      <w:instrText>PAGE   \* MERGEFORMAT</w:instrText>
    </w:r>
    <w:r>
      <w:fldChar w:fldCharType="separate"/>
    </w:r>
    <w:r w:rsidR="008F5CD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20" w:rsidRDefault="000C0B20" w:rsidP="000662E2">
      <w:pPr>
        <w:spacing w:after="0" w:line="240" w:lineRule="auto"/>
      </w:pPr>
      <w:r>
        <w:separator/>
      </w:r>
    </w:p>
  </w:footnote>
  <w:footnote w:type="continuationSeparator" w:id="0">
    <w:p w:rsidR="000C0B20" w:rsidRDefault="000C0B2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E2" w:rsidRDefault="00184E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B98A3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37" w:rsidRDefault="00184EA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483235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4A4030" id="Prostokąt 10" o:spid="_x0000_s1026" style="position:absolute;margin-left:96.2pt;margin-top:38.05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NAQIMzcAAAACAEAAA8AAABk&#10;cnMvZG93bnJldi54bWxMj0FPg0AQhe8m/ofNmHizS6nFQhkaY2J6lqpJb1uYApGdJezS4r93POlx&#10;8ibvfV++m22vLjT6zjHCchGBIq5c3XGD8H54fdiA8sFwbXrHhPBNHnbF7U1ustpd+Y0uZWiUlLDP&#10;DEIbwpBp7auWrPELNxBLdnajNUHOsdH1aK5SbnsdR1GirelYFloz0EtL1Vc5WYRjE9jFdp/6fTm4&#10;j2m9TufPI+L93fy8BRVoDn/P8Isv6FAI08lNXHvVI4hIQHhKlqAkjdNHETkhrJLNKgZd5Pq/QPED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0BAgzN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2670FC" w:rsidP="002670FC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2670FC" w:rsidP="002670FC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DE58BF">
      <w:rPr>
        <w:noProof/>
        <w:lang w:eastAsia="pl-PL"/>
      </w:rPr>
      <w:drawing>
        <wp:inline distT="0" distB="0" distL="0" distR="0" wp14:anchorId="4C607098" wp14:editId="2ACC49DE">
          <wp:extent cx="2512060" cy="430306"/>
          <wp:effectExtent l="0" t="0" r="2540" b="8255"/>
          <wp:docPr id="1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6" cy="44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749" w:rsidRDefault="00184EA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69257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69257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3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41C"/>
    <w:rsid w:val="000108B8"/>
    <w:rsid w:val="00012758"/>
    <w:rsid w:val="00012F89"/>
    <w:rsid w:val="00013DC3"/>
    <w:rsid w:val="000152F5"/>
    <w:rsid w:val="0004582E"/>
    <w:rsid w:val="000470AA"/>
    <w:rsid w:val="00051E39"/>
    <w:rsid w:val="00052330"/>
    <w:rsid w:val="00057CA1"/>
    <w:rsid w:val="000662E2"/>
    <w:rsid w:val="00066883"/>
    <w:rsid w:val="00070963"/>
    <w:rsid w:val="00074DD8"/>
    <w:rsid w:val="000806F7"/>
    <w:rsid w:val="0008281C"/>
    <w:rsid w:val="00097840"/>
    <w:rsid w:val="000A3422"/>
    <w:rsid w:val="000B0727"/>
    <w:rsid w:val="000C072D"/>
    <w:rsid w:val="000C0B20"/>
    <w:rsid w:val="000C135D"/>
    <w:rsid w:val="000D1D43"/>
    <w:rsid w:val="000D225C"/>
    <w:rsid w:val="000D2A5C"/>
    <w:rsid w:val="000D578D"/>
    <w:rsid w:val="000E0918"/>
    <w:rsid w:val="000E218E"/>
    <w:rsid w:val="000E2F7E"/>
    <w:rsid w:val="001011C3"/>
    <w:rsid w:val="001022EA"/>
    <w:rsid w:val="00110D87"/>
    <w:rsid w:val="00113606"/>
    <w:rsid w:val="00114DB9"/>
    <w:rsid w:val="00116087"/>
    <w:rsid w:val="00130296"/>
    <w:rsid w:val="00137E3D"/>
    <w:rsid w:val="00141F9D"/>
    <w:rsid w:val="001423B6"/>
    <w:rsid w:val="001448A7"/>
    <w:rsid w:val="00146621"/>
    <w:rsid w:val="00161B7B"/>
    <w:rsid w:val="00162325"/>
    <w:rsid w:val="001651D7"/>
    <w:rsid w:val="0017685D"/>
    <w:rsid w:val="00184EA6"/>
    <w:rsid w:val="00187BD0"/>
    <w:rsid w:val="001951DA"/>
    <w:rsid w:val="00196599"/>
    <w:rsid w:val="001A6B1E"/>
    <w:rsid w:val="001B7F97"/>
    <w:rsid w:val="001C3269"/>
    <w:rsid w:val="001C3DB8"/>
    <w:rsid w:val="001D1214"/>
    <w:rsid w:val="001D1DB4"/>
    <w:rsid w:val="001E159D"/>
    <w:rsid w:val="00202C00"/>
    <w:rsid w:val="002072FC"/>
    <w:rsid w:val="00207D57"/>
    <w:rsid w:val="002205AF"/>
    <w:rsid w:val="00222E38"/>
    <w:rsid w:val="0022731A"/>
    <w:rsid w:val="002311DA"/>
    <w:rsid w:val="00231F5E"/>
    <w:rsid w:val="00235562"/>
    <w:rsid w:val="00240ABF"/>
    <w:rsid w:val="002574F9"/>
    <w:rsid w:val="00261383"/>
    <w:rsid w:val="00262B61"/>
    <w:rsid w:val="00264DBF"/>
    <w:rsid w:val="00265051"/>
    <w:rsid w:val="00265626"/>
    <w:rsid w:val="002670FC"/>
    <w:rsid w:val="00276811"/>
    <w:rsid w:val="00282699"/>
    <w:rsid w:val="002847F1"/>
    <w:rsid w:val="00286F19"/>
    <w:rsid w:val="002915BA"/>
    <w:rsid w:val="002926DF"/>
    <w:rsid w:val="00296697"/>
    <w:rsid w:val="002A1D83"/>
    <w:rsid w:val="002B0472"/>
    <w:rsid w:val="002B5932"/>
    <w:rsid w:val="002B6B12"/>
    <w:rsid w:val="002C6197"/>
    <w:rsid w:val="002D63C1"/>
    <w:rsid w:val="002E3864"/>
    <w:rsid w:val="002E5444"/>
    <w:rsid w:val="002E6140"/>
    <w:rsid w:val="002E6985"/>
    <w:rsid w:val="002E71B6"/>
    <w:rsid w:val="002F113C"/>
    <w:rsid w:val="002F2493"/>
    <w:rsid w:val="002F5CB4"/>
    <w:rsid w:val="002F77C8"/>
    <w:rsid w:val="002F7B63"/>
    <w:rsid w:val="00300931"/>
    <w:rsid w:val="0030130D"/>
    <w:rsid w:val="00304F22"/>
    <w:rsid w:val="00305491"/>
    <w:rsid w:val="00306C7C"/>
    <w:rsid w:val="00310683"/>
    <w:rsid w:val="00322EDD"/>
    <w:rsid w:val="00325B5B"/>
    <w:rsid w:val="00332320"/>
    <w:rsid w:val="00334BC6"/>
    <w:rsid w:val="0033646D"/>
    <w:rsid w:val="00347D72"/>
    <w:rsid w:val="003509C1"/>
    <w:rsid w:val="00353D75"/>
    <w:rsid w:val="003571C0"/>
    <w:rsid w:val="00357611"/>
    <w:rsid w:val="00363878"/>
    <w:rsid w:val="00365427"/>
    <w:rsid w:val="00367237"/>
    <w:rsid w:val="0037077F"/>
    <w:rsid w:val="00372411"/>
    <w:rsid w:val="00373882"/>
    <w:rsid w:val="003843DB"/>
    <w:rsid w:val="0038440D"/>
    <w:rsid w:val="0038453C"/>
    <w:rsid w:val="00393761"/>
    <w:rsid w:val="00397D18"/>
    <w:rsid w:val="003A1B36"/>
    <w:rsid w:val="003B1454"/>
    <w:rsid w:val="003B18B6"/>
    <w:rsid w:val="003C59E0"/>
    <w:rsid w:val="003C65B9"/>
    <w:rsid w:val="003C6C8D"/>
    <w:rsid w:val="003C7BCB"/>
    <w:rsid w:val="003D4F95"/>
    <w:rsid w:val="003D5F42"/>
    <w:rsid w:val="003D60A9"/>
    <w:rsid w:val="003E5D54"/>
    <w:rsid w:val="003F4C97"/>
    <w:rsid w:val="003F7FE6"/>
    <w:rsid w:val="00400193"/>
    <w:rsid w:val="00416C79"/>
    <w:rsid w:val="004212E7"/>
    <w:rsid w:val="00422082"/>
    <w:rsid w:val="0042446D"/>
    <w:rsid w:val="00427BF8"/>
    <w:rsid w:val="00431C02"/>
    <w:rsid w:val="00437395"/>
    <w:rsid w:val="00442767"/>
    <w:rsid w:val="00445047"/>
    <w:rsid w:val="00463E39"/>
    <w:rsid w:val="004657FC"/>
    <w:rsid w:val="004733F6"/>
    <w:rsid w:val="00474E69"/>
    <w:rsid w:val="00482BF3"/>
    <w:rsid w:val="0049138C"/>
    <w:rsid w:val="0049621B"/>
    <w:rsid w:val="004A7486"/>
    <w:rsid w:val="004C1895"/>
    <w:rsid w:val="004C6D40"/>
    <w:rsid w:val="004D245F"/>
    <w:rsid w:val="004D51E6"/>
    <w:rsid w:val="004E1826"/>
    <w:rsid w:val="004E1FDB"/>
    <w:rsid w:val="004F0C3C"/>
    <w:rsid w:val="004F63FC"/>
    <w:rsid w:val="00505A92"/>
    <w:rsid w:val="0051586F"/>
    <w:rsid w:val="005203F1"/>
    <w:rsid w:val="00521BC3"/>
    <w:rsid w:val="00531348"/>
    <w:rsid w:val="00533632"/>
    <w:rsid w:val="00541E6E"/>
    <w:rsid w:val="0054251F"/>
    <w:rsid w:val="00542998"/>
    <w:rsid w:val="005520D8"/>
    <w:rsid w:val="00556CF1"/>
    <w:rsid w:val="0057102B"/>
    <w:rsid w:val="005762A7"/>
    <w:rsid w:val="005851E8"/>
    <w:rsid w:val="005916D7"/>
    <w:rsid w:val="005A698C"/>
    <w:rsid w:val="005B438D"/>
    <w:rsid w:val="005B655D"/>
    <w:rsid w:val="005C4B2A"/>
    <w:rsid w:val="005C5A96"/>
    <w:rsid w:val="005D59A8"/>
    <w:rsid w:val="005E0799"/>
    <w:rsid w:val="005E5CA7"/>
    <w:rsid w:val="005E6CAA"/>
    <w:rsid w:val="005F37BA"/>
    <w:rsid w:val="005F5A80"/>
    <w:rsid w:val="005F5F10"/>
    <w:rsid w:val="006044FF"/>
    <w:rsid w:val="006064EC"/>
    <w:rsid w:val="0060749B"/>
    <w:rsid w:val="00607796"/>
    <w:rsid w:val="00607CC5"/>
    <w:rsid w:val="0062763C"/>
    <w:rsid w:val="006317C7"/>
    <w:rsid w:val="00633014"/>
    <w:rsid w:val="0063437B"/>
    <w:rsid w:val="006345A9"/>
    <w:rsid w:val="00652655"/>
    <w:rsid w:val="0065395C"/>
    <w:rsid w:val="006573ED"/>
    <w:rsid w:val="00660001"/>
    <w:rsid w:val="006673CA"/>
    <w:rsid w:val="00667D50"/>
    <w:rsid w:val="00671847"/>
    <w:rsid w:val="006735CC"/>
    <w:rsid w:val="00673C26"/>
    <w:rsid w:val="006812AF"/>
    <w:rsid w:val="006829C1"/>
    <w:rsid w:val="0068327D"/>
    <w:rsid w:val="00692576"/>
    <w:rsid w:val="00694AF0"/>
    <w:rsid w:val="006955E8"/>
    <w:rsid w:val="00695E71"/>
    <w:rsid w:val="006A4686"/>
    <w:rsid w:val="006B0E9E"/>
    <w:rsid w:val="006B5AE4"/>
    <w:rsid w:val="006C61DC"/>
    <w:rsid w:val="006D0F90"/>
    <w:rsid w:val="006D1507"/>
    <w:rsid w:val="006D4054"/>
    <w:rsid w:val="006D46CD"/>
    <w:rsid w:val="006E02EC"/>
    <w:rsid w:val="006E0786"/>
    <w:rsid w:val="006F5DCB"/>
    <w:rsid w:val="007029A1"/>
    <w:rsid w:val="007112C2"/>
    <w:rsid w:val="007211B1"/>
    <w:rsid w:val="00741D4F"/>
    <w:rsid w:val="007448F7"/>
    <w:rsid w:val="00746187"/>
    <w:rsid w:val="00746BBA"/>
    <w:rsid w:val="00747E59"/>
    <w:rsid w:val="007573F9"/>
    <w:rsid w:val="0076254F"/>
    <w:rsid w:val="007801F5"/>
    <w:rsid w:val="00783CA4"/>
    <w:rsid w:val="007842FB"/>
    <w:rsid w:val="00786124"/>
    <w:rsid w:val="0079514B"/>
    <w:rsid w:val="007A2DC1"/>
    <w:rsid w:val="007A38B8"/>
    <w:rsid w:val="007C049E"/>
    <w:rsid w:val="007D3319"/>
    <w:rsid w:val="007D335D"/>
    <w:rsid w:val="007E3314"/>
    <w:rsid w:val="007E4B03"/>
    <w:rsid w:val="007F324B"/>
    <w:rsid w:val="0080553C"/>
    <w:rsid w:val="00805B46"/>
    <w:rsid w:val="0080613E"/>
    <w:rsid w:val="00806878"/>
    <w:rsid w:val="008079F8"/>
    <w:rsid w:val="00820C18"/>
    <w:rsid w:val="00821E51"/>
    <w:rsid w:val="00824A20"/>
    <w:rsid w:val="00825DC2"/>
    <w:rsid w:val="00834A43"/>
    <w:rsid w:val="00834AD3"/>
    <w:rsid w:val="0083727A"/>
    <w:rsid w:val="00837EFE"/>
    <w:rsid w:val="00840C7C"/>
    <w:rsid w:val="00843795"/>
    <w:rsid w:val="00847F0F"/>
    <w:rsid w:val="00850F1D"/>
    <w:rsid w:val="008514C5"/>
    <w:rsid w:val="00852448"/>
    <w:rsid w:val="008531B0"/>
    <w:rsid w:val="008620CE"/>
    <w:rsid w:val="00876F94"/>
    <w:rsid w:val="0088258A"/>
    <w:rsid w:val="00885AD2"/>
    <w:rsid w:val="00886332"/>
    <w:rsid w:val="00896A0B"/>
    <w:rsid w:val="008A26D9"/>
    <w:rsid w:val="008B3161"/>
    <w:rsid w:val="008C0C29"/>
    <w:rsid w:val="008D3C14"/>
    <w:rsid w:val="008F3638"/>
    <w:rsid w:val="008F4441"/>
    <w:rsid w:val="008F54D4"/>
    <w:rsid w:val="008F5CD7"/>
    <w:rsid w:val="008F6F31"/>
    <w:rsid w:val="008F74DF"/>
    <w:rsid w:val="00901121"/>
    <w:rsid w:val="00905965"/>
    <w:rsid w:val="00906EE7"/>
    <w:rsid w:val="00911C62"/>
    <w:rsid w:val="009127BA"/>
    <w:rsid w:val="00917388"/>
    <w:rsid w:val="00920A55"/>
    <w:rsid w:val="009227A6"/>
    <w:rsid w:val="009302EF"/>
    <w:rsid w:val="00933EC1"/>
    <w:rsid w:val="0093623A"/>
    <w:rsid w:val="009417C0"/>
    <w:rsid w:val="009530DB"/>
    <w:rsid w:val="00953676"/>
    <w:rsid w:val="009705EE"/>
    <w:rsid w:val="00975484"/>
    <w:rsid w:val="00975517"/>
    <w:rsid w:val="00976067"/>
    <w:rsid w:val="00977927"/>
    <w:rsid w:val="0098135C"/>
    <w:rsid w:val="0098156A"/>
    <w:rsid w:val="009817A4"/>
    <w:rsid w:val="00991BAC"/>
    <w:rsid w:val="00997A7D"/>
    <w:rsid w:val="009A3802"/>
    <w:rsid w:val="009A6EA0"/>
    <w:rsid w:val="009B03C5"/>
    <w:rsid w:val="009B3644"/>
    <w:rsid w:val="009B44F1"/>
    <w:rsid w:val="009C1335"/>
    <w:rsid w:val="009C1AB2"/>
    <w:rsid w:val="009C312A"/>
    <w:rsid w:val="009C7251"/>
    <w:rsid w:val="009E2E91"/>
    <w:rsid w:val="009F1320"/>
    <w:rsid w:val="009F270F"/>
    <w:rsid w:val="00A12C70"/>
    <w:rsid w:val="00A139F5"/>
    <w:rsid w:val="00A365F4"/>
    <w:rsid w:val="00A47D80"/>
    <w:rsid w:val="00A53132"/>
    <w:rsid w:val="00A55947"/>
    <w:rsid w:val="00A563F2"/>
    <w:rsid w:val="00A566E8"/>
    <w:rsid w:val="00A57CA1"/>
    <w:rsid w:val="00A72918"/>
    <w:rsid w:val="00A77702"/>
    <w:rsid w:val="00A810F9"/>
    <w:rsid w:val="00A84ADE"/>
    <w:rsid w:val="00A86ECC"/>
    <w:rsid w:val="00A86FCC"/>
    <w:rsid w:val="00A911C5"/>
    <w:rsid w:val="00AA4FDB"/>
    <w:rsid w:val="00AA710D"/>
    <w:rsid w:val="00AB6D25"/>
    <w:rsid w:val="00AD4A02"/>
    <w:rsid w:val="00AD5110"/>
    <w:rsid w:val="00AE2D4B"/>
    <w:rsid w:val="00AE4F99"/>
    <w:rsid w:val="00AE5B74"/>
    <w:rsid w:val="00AE686E"/>
    <w:rsid w:val="00AF2DF1"/>
    <w:rsid w:val="00AF323E"/>
    <w:rsid w:val="00B04EE6"/>
    <w:rsid w:val="00B11B69"/>
    <w:rsid w:val="00B13BC3"/>
    <w:rsid w:val="00B14789"/>
    <w:rsid w:val="00B14952"/>
    <w:rsid w:val="00B1729F"/>
    <w:rsid w:val="00B174F0"/>
    <w:rsid w:val="00B20162"/>
    <w:rsid w:val="00B222E9"/>
    <w:rsid w:val="00B24FAF"/>
    <w:rsid w:val="00B251F9"/>
    <w:rsid w:val="00B30E95"/>
    <w:rsid w:val="00B31E5A"/>
    <w:rsid w:val="00B46DE6"/>
    <w:rsid w:val="00B54313"/>
    <w:rsid w:val="00B653AB"/>
    <w:rsid w:val="00B65F9E"/>
    <w:rsid w:val="00B66B19"/>
    <w:rsid w:val="00B74914"/>
    <w:rsid w:val="00B754AD"/>
    <w:rsid w:val="00B77C4E"/>
    <w:rsid w:val="00B914E9"/>
    <w:rsid w:val="00B956EE"/>
    <w:rsid w:val="00BA1994"/>
    <w:rsid w:val="00BA2BA1"/>
    <w:rsid w:val="00BA3562"/>
    <w:rsid w:val="00BB4F09"/>
    <w:rsid w:val="00BC2A97"/>
    <w:rsid w:val="00BC7172"/>
    <w:rsid w:val="00BD31CC"/>
    <w:rsid w:val="00BD3467"/>
    <w:rsid w:val="00BD4E33"/>
    <w:rsid w:val="00BE3E23"/>
    <w:rsid w:val="00BF3836"/>
    <w:rsid w:val="00BF578A"/>
    <w:rsid w:val="00C030DE"/>
    <w:rsid w:val="00C03B6D"/>
    <w:rsid w:val="00C114AB"/>
    <w:rsid w:val="00C211C3"/>
    <w:rsid w:val="00C22105"/>
    <w:rsid w:val="00C244B6"/>
    <w:rsid w:val="00C31CA6"/>
    <w:rsid w:val="00C36A86"/>
    <w:rsid w:val="00C3702F"/>
    <w:rsid w:val="00C41FDA"/>
    <w:rsid w:val="00C4500A"/>
    <w:rsid w:val="00C52918"/>
    <w:rsid w:val="00C5796B"/>
    <w:rsid w:val="00C64A37"/>
    <w:rsid w:val="00C7158E"/>
    <w:rsid w:val="00C7250B"/>
    <w:rsid w:val="00C7346B"/>
    <w:rsid w:val="00C765EC"/>
    <w:rsid w:val="00C77C0E"/>
    <w:rsid w:val="00C8609F"/>
    <w:rsid w:val="00C87891"/>
    <w:rsid w:val="00C91687"/>
    <w:rsid w:val="00C924A8"/>
    <w:rsid w:val="00C945FE"/>
    <w:rsid w:val="00C96FAA"/>
    <w:rsid w:val="00C97A04"/>
    <w:rsid w:val="00CA0CAA"/>
    <w:rsid w:val="00CA107B"/>
    <w:rsid w:val="00CA484D"/>
    <w:rsid w:val="00CA4FB6"/>
    <w:rsid w:val="00CB695D"/>
    <w:rsid w:val="00CB6C00"/>
    <w:rsid w:val="00CB72A1"/>
    <w:rsid w:val="00CB7B09"/>
    <w:rsid w:val="00CC739E"/>
    <w:rsid w:val="00CD2891"/>
    <w:rsid w:val="00CD58B7"/>
    <w:rsid w:val="00CD790B"/>
    <w:rsid w:val="00CF141E"/>
    <w:rsid w:val="00CF19C9"/>
    <w:rsid w:val="00CF4099"/>
    <w:rsid w:val="00D00796"/>
    <w:rsid w:val="00D02B9F"/>
    <w:rsid w:val="00D02CCD"/>
    <w:rsid w:val="00D0664B"/>
    <w:rsid w:val="00D144E5"/>
    <w:rsid w:val="00D261A2"/>
    <w:rsid w:val="00D4181C"/>
    <w:rsid w:val="00D46ECB"/>
    <w:rsid w:val="00D5596B"/>
    <w:rsid w:val="00D56D33"/>
    <w:rsid w:val="00D616D2"/>
    <w:rsid w:val="00D6369F"/>
    <w:rsid w:val="00D63B5F"/>
    <w:rsid w:val="00D64AAD"/>
    <w:rsid w:val="00D65847"/>
    <w:rsid w:val="00D6642C"/>
    <w:rsid w:val="00D70EF7"/>
    <w:rsid w:val="00D7413A"/>
    <w:rsid w:val="00D77510"/>
    <w:rsid w:val="00D8397C"/>
    <w:rsid w:val="00D91092"/>
    <w:rsid w:val="00D94786"/>
    <w:rsid w:val="00D94EED"/>
    <w:rsid w:val="00D96026"/>
    <w:rsid w:val="00DA5462"/>
    <w:rsid w:val="00DA632D"/>
    <w:rsid w:val="00DA7C1C"/>
    <w:rsid w:val="00DB147A"/>
    <w:rsid w:val="00DB1B7A"/>
    <w:rsid w:val="00DB31A0"/>
    <w:rsid w:val="00DB6942"/>
    <w:rsid w:val="00DC17C5"/>
    <w:rsid w:val="00DC6708"/>
    <w:rsid w:val="00DD5E37"/>
    <w:rsid w:val="00DE58BF"/>
    <w:rsid w:val="00DF2A73"/>
    <w:rsid w:val="00DF5866"/>
    <w:rsid w:val="00E01436"/>
    <w:rsid w:val="00E045BD"/>
    <w:rsid w:val="00E127B0"/>
    <w:rsid w:val="00E17B77"/>
    <w:rsid w:val="00E23337"/>
    <w:rsid w:val="00E259EA"/>
    <w:rsid w:val="00E2731E"/>
    <w:rsid w:val="00E32061"/>
    <w:rsid w:val="00E33E33"/>
    <w:rsid w:val="00E42FF9"/>
    <w:rsid w:val="00E4714C"/>
    <w:rsid w:val="00E51AEB"/>
    <w:rsid w:val="00E522A7"/>
    <w:rsid w:val="00E5255B"/>
    <w:rsid w:val="00E54452"/>
    <w:rsid w:val="00E55805"/>
    <w:rsid w:val="00E664C5"/>
    <w:rsid w:val="00E671A2"/>
    <w:rsid w:val="00E72A65"/>
    <w:rsid w:val="00E72B3E"/>
    <w:rsid w:val="00E76D26"/>
    <w:rsid w:val="00E82163"/>
    <w:rsid w:val="00E87A1F"/>
    <w:rsid w:val="00EA742A"/>
    <w:rsid w:val="00EB1390"/>
    <w:rsid w:val="00EB2C71"/>
    <w:rsid w:val="00EB4340"/>
    <w:rsid w:val="00EB556D"/>
    <w:rsid w:val="00EB5A7D"/>
    <w:rsid w:val="00EC1A34"/>
    <w:rsid w:val="00ED55C0"/>
    <w:rsid w:val="00ED682B"/>
    <w:rsid w:val="00EE41D5"/>
    <w:rsid w:val="00EF1AAF"/>
    <w:rsid w:val="00F037A4"/>
    <w:rsid w:val="00F121E5"/>
    <w:rsid w:val="00F26489"/>
    <w:rsid w:val="00F27A45"/>
    <w:rsid w:val="00F27C8F"/>
    <w:rsid w:val="00F32590"/>
    <w:rsid w:val="00F32749"/>
    <w:rsid w:val="00F37172"/>
    <w:rsid w:val="00F4477E"/>
    <w:rsid w:val="00F458CE"/>
    <w:rsid w:val="00F6727E"/>
    <w:rsid w:val="00F67D8F"/>
    <w:rsid w:val="00F769CE"/>
    <w:rsid w:val="00F802BE"/>
    <w:rsid w:val="00F80E93"/>
    <w:rsid w:val="00F81CDC"/>
    <w:rsid w:val="00F86024"/>
    <w:rsid w:val="00F8611A"/>
    <w:rsid w:val="00F87C30"/>
    <w:rsid w:val="00FA1A2B"/>
    <w:rsid w:val="00FA32C0"/>
    <w:rsid w:val="00FA5128"/>
    <w:rsid w:val="00FB42D4"/>
    <w:rsid w:val="00FB5906"/>
    <w:rsid w:val="00FB762F"/>
    <w:rsid w:val="00FC2AED"/>
    <w:rsid w:val="00FC5D93"/>
    <w:rsid w:val="00FD428E"/>
    <w:rsid w:val="00FD5EA7"/>
    <w:rsid w:val="00FE5015"/>
    <w:rsid w:val="00FE6B60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C03B6D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B6D"/>
    <w:rPr>
      <w:rFonts w:ascii="Fira Sans" w:eastAsia="Times New Roman" w:hAnsi="Fira Sans" w:cs="Fira Sans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9C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9C1"/>
    <w:rPr>
      <w:rFonts w:ascii="Fira Sans" w:hAnsi="Fira Sans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64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4AA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E218E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2847F1"/>
  </w:style>
  <w:style w:type="character" w:customStyle="1" w:styleId="gt-card-ttl-txt">
    <w:name w:val="gt-card-ttl-txt"/>
    <w:basedOn w:val="Domylnaczcionkaakapitu"/>
    <w:rsid w:val="00E5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C03B6D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B6D"/>
    <w:rPr>
      <w:rFonts w:ascii="Fira Sans" w:eastAsia="Times New Roman" w:hAnsi="Fira Sans" w:cs="Fira Sans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9C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9C1"/>
    <w:rPr>
      <w:rFonts w:ascii="Fira Sans" w:hAnsi="Fira Sans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64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4AA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E218E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2847F1"/>
  </w:style>
  <w:style w:type="character" w:customStyle="1" w:styleId="gt-card-ttl-txt">
    <w:name w:val="gt-card-ttl-txt"/>
    <w:basedOn w:val="Domylnaczcionkaakapitu"/>
    <w:rsid w:val="00E5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header" Target="header2.xml"/><Relationship Id="rId26" Type="http://schemas.openxmlformats.org/officeDocument/2006/relationships/hyperlink" Target="http://stat.gov.pl/en/topics/municipal-infrastructure/municipal-infrastructure/municipal-infrastructure-in-2016,1,14.html" TargetMode="External"/><Relationship Id="rId39" Type="http://schemas.openxmlformats.org/officeDocument/2006/relationships/hyperlink" Target="https://stat.gov.pl/en/metainformations/glossary/terms-used-in-official-statistics/574,term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s://bdl.stat.gov.pl/BDL/start" TargetMode="Externa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33" Type="http://schemas.openxmlformats.org/officeDocument/2006/relationships/hyperlink" Target="http://stat.gov.pl/en/topics/municipal-infrastructure/municipal-infrastructure/municipal-infrastructure-in-2016,1,14.html" TargetMode="External"/><Relationship Id="rId38" Type="http://schemas.openxmlformats.org/officeDocument/2006/relationships/hyperlink" Target="https://stat.gov.pl/en/metainformations/glossary/terms-used-in-official-statistics/460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i.adamczyk@stat.gov.pl" TargetMode="External"/><Relationship Id="rId29" Type="http://schemas.openxmlformats.org/officeDocument/2006/relationships/hyperlink" Target="https://stat.gov.pl/en/metainformations/glossary/terms-used-in-official-statistics/139,term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yperlink" Target="https://stat.gov.pl/en/metainformations/glossary/terms-used-in-official-statistics/574,term.html" TargetMode="External"/><Relationship Id="rId37" Type="http://schemas.openxmlformats.org/officeDocument/2006/relationships/hyperlink" Target="https://stat.gov.pl/en/metainformations/glossary/terms-used-in-official-statistics/776,term.html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image" Target="media/image5.png"/><Relationship Id="rId28" Type="http://schemas.openxmlformats.org/officeDocument/2006/relationships/hyperlink" Target="http://swaid.stat.gov.pl/en/SitePages/StronaGlownaDBW.aspx" TargetMode="External"/><Relationship Id="rId36" Type="http://schemas.openxmlformats.org/officeDocument/2006/relationships/hyperlink" Target="https://stat.gov.pl/en/metainformations/glossary/terms-used-in-official-statistics/139,term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hyperlink" Target="https://stat.gov.pl/en/metainformations/glossary/terms-used-in-official-statistics/460,term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s://stat.gov.pl/en/metainformations/glossary/terms-used-in-official-statistics/776,term.html" TargetMode="External"/><Relationship Id="rId35" Type="http://schemas.openxmlformats.org/officeDocument/2006/relationships/hyperlink" Target="http://swaid.stat.gov.pl/en/SitePages/StronaGlownaDBW.aspx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15426416768329"/>
          <c:y val="3.3116830746361382E-2"/>
          <c:w val="0.71961095708106915"/>
          <c:h val="0.725848720315043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Arkusz2!$C$29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001D77">
                <a:alpha val="3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Arkusz2!$B$30:$B$45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Arkusz2!$C$30:$C$45</c:f>
              <c:numCache>
                <c:formatCode>0.0</c:formatCode>
                <c:ptCount val="16"/>
                <c:pt idx="0">
                  <c:v>4925.3</c:v>
                </c:pt>
                <c:pt idx="1">
                  <c:v>8517.4</c:v>
                </c:pt>
                <c:pt idx="2">
                  <c:v>4829.6000000000004</c:v>
                </c:pt>
                <c:pt idx="3">
                  <c:v>4396.8</c:v>
                </c:pt>
                <c:pt idx="4">
                  <c:v>5780.2</c:v>
                </c:pt>
                <c:pt idx="5">
                  <c:v>7090.6</c:v>
                </c:pt>
                <c:pt idx="6">
                  <c:v>1734.7</c:v>
                </c:pt>
                <c:pt idx="7">
                  <c:v>12806</c:v>
                </c:pt>
                <c:pt idx="8">
                  <c:v>3382.3</c:v>
                </c:pt>
                <c:pt idx="9">
                  <c:v>7804.5</c:v>
                </c:pt>
                <c:pt idx="10">
                  <c:v>10573.8</c:v>
                </c:pt>
                <c:pt idx="11">
                  <c:v>3135.4</c:v>
                </c:pt>
                <c:pt idx="12">
                  <c:v>2210.8000000000002</c:v>
                </c:pt>
                <c:pt idx="13">
                  <c:v>3701.1</c:v>
                </c:pt>
                <c:pt idx="14">
                  <c:v>4734.8999999999996</c:v>
                </c:pt>
                <c:pt idx="15">
                  <c:v>6394.7</c:v>
                </c:pt>
              </c:numCache>
            </c:numRef>
          </c:val>
        </c:ser>
        <c:ser>
          <c:idx val="1"/>
          <c:order val="1"/>
          <c:tx>
            <c:strRef>
              <c:f>Arkusz2!$D$29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001D77">
                <a:alpha val="7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Arkusz2!$B$30:$B$45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Arkusz2!$D$30:$D$45</c:f>
              <c:numCache>
                <c:formatCode>0.0</c:formatCode>
                <c:ptCount val="16"/>
                <c:pt idx="0">
                  <c:v>3042.1</c:v>
                </c:pt>
                <c:pt idx="1">
                  <c:v>5747.4</c:v>
                </c:pt>
                <c:pt idx="2">
                  <c:v>2347.6</c:v>
                </c:pt>
                <c:pt idx="3">
                  <c:v>1725.4</c:v>
                </c:pt>
                <c:pt idx="4">
                  <c:v>10483.9</c:v>
                </c:pt>
                <c:pt idx="5">
                  <c:v>3609.3</c:v>
                </c:pt>
                <c:pt idx="6">
                  <c:v>1818.6</c:v>
                </c:pt>
                <c:pt idx="7">
                  <c:v>3866</c:v>
                </c:pt>
                <c:pt idx="8">
                  <c:v>1613.3</c:v>
                </c:pt>
                <c:pt idx="9">
                  <c:v>8065.8</c:v>
                </c:pt>
                <c:pt idx="10">
                  <c:v>5296.5</c:v>
                </c:pt>
                <c:pt idx="11">
                  <c:v>3724</c:v>
                </c:pt>
                <c:pt idx="12">
                  <c:v>2201.5</c:v>
                </c:pt>
                <c:pt idx="13">
                  <c:v>2741.8</c:v>
                </c:pt>
                <c:pt idx="14">
                  <c:v>3350.9</c:v>
                </c:pt>
                <c:pt idx="15">
                  <c:v>5128.3</c:v>
                </c:pt>
              </c:numCache>
            </c:numRef>
          </c:val>
        </c:ser>
        <c:ser>
          <c:idx val="2"/>
          <c:order val="2"/>
          <c:tx>
            <c:strRef>
              <c:f>Arkusz2!$E$29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Arkusz2!$B$30:$B$45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Arkusz2!$E$30:$E$45</c:f>
              <c:numCache>
                <c:formatCode>0.0</c:formatCode>
                <c:ptCount val="16"/>
                <c:pt idx="0">
                  <c:v>7967.4</c:v>
                </c:pt>
                <c:pt idx="1">
                  <c:v>14264.8</c:v>
                </c:pt>
                <c:pt idx="2">
                  <c:v>7177.2</c:v>
                </c:pt>
                <c:pt idx="3">
                  <c:v>6122.2</c:v>
                </c:pt>
                <c:pt idx="4">
                  <c:v>16264.1</c:v>
                </c:pt>
                <c:pt idx="5">
                  <c:v>10699.9</c:v>
                </c:pt>
                <c:pt idx="6">
                  <c:v>3553.3</c:v>
                </c:pt>
                <c:pt idx="7">
                  <c:v>16672</c:v>
                </c:pt>
                <c:pt idx="8">
                  <c:v>4995.6000000000004</c:v>
                </c:pt>
                <c:pt idx="9">
                  <c:v>15870.3</c:v>
                </c:pt>
                <c:pt idx="10">
                  <c:v>15870.3</c:v>
                </c:pt>
                <c:pt idx="11">
                  <c:v>6859.4</c:v>
                </c:pt>
                <c:pt idx="12">
                  <c:v>4412.3</c:v>
                </c:pt>
                <c:pt idx="13">
                  <c:v>6442.9</c:v>
                </c:pt>
                <c:pt idx="14">
                  <c:v>8085.8</c:v>
                </c:pt>
                <c:pt idx="15">
                  <c:v>11523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497088"/>
        <c:axId val="313498624"/>
      </c:barChart>
      <c:catAx>
        <c:axId val="313497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13498624"/>
        <c:crosses val="autoZero"/>
        <c:auto val="1"/>
        <c:lblAlgn val="ctr"/>
        <c:lblOffset val="100"/>
        <c:noMultiLvlLbl val="0"/>
      </c:catAx>
      <c:valAx>
        <c:axId val="31349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3497088"/>
        <c:crosses val="autoZero"/>
        <c:crossBetween val="between"/>
        <c:dispUnits>
          <c:builtInUnit val="thousands"/>
          <c:dispUnitsLbl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r>
                    <a:rPr lang="pl-PL" sz="800">
                      <a:latin typeface="Fira Sans" panose="020B0503050000020004" pitchFamily="34" charset="0"/>
                      <a:ea typeface="Fira Sans" panose="020B0503050000020004" pitchFamily="34" charset="0"/>
                    </a:rPr>
                    <a:t>in thous. km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55069111154733"/>
          <c:y val="0.84676620106804379"/>
          <c:w val="0.38226718010613625"/>
          <c:h val="6.82857477868323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001D77">
                <a:alpha val="3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Arkusz2!$E$3:$E$18</c:f>
              <c:numCache>
                <c:formatCode>0.0</c:formatCode>
                <c:ptCount val="16"/>
                <c:pt idx="0">
                  <c:v>8045</c:v>
                </c:pt>
                <c:pt idx="1">
                  <c:v>25808.7</c:v>
                </c:pt>
                <c:pt idx="2">
                  <c:v>13877.8</c:v>
                </c:pt>
                <c:pt idx="3">
                  <c:v>11770.5</c:v>
                </c:pt>
                <c:pt idx="4">
                  <c:v>10201.5</c:v>
                </c:pt>
                <c:pt idx="5">
                  <c:v>12024</c:v>
                </c:pt>
                <c:pt idx="6">
                  <c:v>11525.6</c:v>
                </c:pt>
                <c:pt idx="7">
                  <c:v>11795.1</c:v>
                </c:pt>
                <c:pt idx="8">
                  <c:v>5701.4</c:v>
                </c:pt>
                <c:pt idx="9">
                  <c:v>36309.599999999999</c:v>
                </c:pt>
                <c:pt idx="10">
                  <c:v>15583.2</c:v>
                </c:pt>
                <c:pt idx="11">
                  <c:v>18748.2</c:v>
                </c:pt>
                <c:pt idx="12">
                  <c:v>4696.6000000000004</c:v>
                </c:pt>
                <c:pt idx="13">
                  <c:v>18298.400000000001</c:v>
                </c:pt>
                <c:pt idx="14">
                  <c:v>20251.7</c:v>
                </c:pt>
                <c:pt idx="15">
                  <c:v>10381.5</c:v>
                </c:pt>
              </c:numCache>
            </c:numRef>
          </c:val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001D77">
                <a:alpha val="7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Arkusz2!$F$3:$F$18</c:f>
              <c:numCache>
                <c:formatCode>General</c:formatCode>
                <c:ptCount val="16"/>
                <c:pt idx="0">
                  <c:v>3318.5</c:v>
                </c:pt>
                <c:pt idx="1">
                  <c:v>6523.3</c:v>
                </c:pt>
                <c:pt idx="2">
                  <c:v>2352.9</c:v>
                </c:pt>
                <c:pt idx="3">
                  <c:v>1944.7</c:v>
                </c:pt>
                <c:pt idx="4">
                  <c:v>11348.5</c:v>
                </c:pt>
                <c:pt idx="5">
                  <c:v>4099.6000000000004</c:v>
                </c:pt>
                <c:pt idx="6">
                  <c:v>2018.4</c:v>
                </c:pt>
                <c:pt idx="7">
                  <c:v>3293.1</c:v>
                </c:pt>
                <c:pt idx="8">
                  <c:v>1768.6</c:v>
                </c:pt>
                <c:pt idx="9">
                  <c:v>8845</c:v>
                </c:pt>
                <c:pt idx="10">
                  <c:v>4845.8999999999996</c:v>
                </c:pt>
                <c:pt idx="11">
                  <c:v>4316.6000000000004</c:v>
                </c:pt>
                <c:pt idx="12">
                  <c:v>2291</c:v>
                </c:pt>
                <c:pt idx="13">
                  <c:v>2934.6</c:v>
                </c:pt>
                <c:pt idx="14">
                  <c:v>3345.2</c:v>
                </c:pt>
                <c:pt idx="15">
                  <c:v>5638.4</c:v>
                </c:pt>
              </c:numCache>
            </c:numRef>
          </c:val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Arkusz2!$G$3:$G$18</c:f>
              <c:numCache>
                <c:formatCode>0.0</c:formatCode>
                <c:ptCount val="16"/>
                <c:pt idx="0">
                  <c:v>11363.5</c:v>
                </c:pt>
                <c:pt idx="1">
                  <c:v>32332</c:v>
                </c:pt>
                <c:pt idx="2">
                  <c:v>16230.7</c:v>
                </c:pt>
                <c:pt idx="3">
                  <c:v>13715.2</c:v>
                </c:pt>
                <c:pt idx="4">
                  <c:v>21550</c:v>
                </c:pt>
                <c:pt idx="5">
                  <c:v>16123.6</c:v>
                </c:pt>
                <c:pt idx="6">
                  <c:v>13544</c:v>
                </c:pt>
                <c:pt idx="7">
                  <c:v>15088.2</c:v>
                </c:pt>
                <c:pt idx="8">
                  <c:v>7470</c:v>
                </c:pt>
                <c:pt idx="9">
                  <c:v>45154.6</c:v>
                </c:pt>
                <c:pt idx="10">
                  <c:v>20429.099999999999</c:v>
                </c:pt>
                <c:pt idx="11">
                  <c:v>23064.799999999999</c:v>
                </c:pt>
                <c:pt idx="12">
                  <c:v>6987.6</c:v>
                </c:pt>
                <c:pt idx="13">
                  <c:v>21233</c:v>
                </c:pt>
                <c:pt idx="14">
                  <c:v>23596.9</c:v>
                </c:pt>
                <c:pt idx="15">
                  <c:v>16019.9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1730944"/>
        <c:axId val="271736832"/>
      </c:barChart>
      <c:catAx>
        <c:axId val="27173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1736832"/>
        <c:crosses val="autoZero"/>
        <c:auto val="1"/>
        <c:lblAlgn val="ctr"/>
        <c:lblOffset val="100"/>
        <c:noMultiLvlLbl val="0"/>
      </c:catAx>
      <c:valAx>
        <c:axId val="271736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1730944"/>
        <c:crosses val="autoZero"/>
        <c:crossBetween val="between"/>
        <c:dispUnits>
          <c:builtInUnit val="thousands"/>
          <c:dispUnitsLbl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pl-PL" sz="700"/>
                    <a:t>in thous. km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CD794-AFD8-4E73-A1FD-C4930999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supply system and sewage management in Poland in 2017</dc:title>
  <dc:subject>Water supply system and sewage management in Poland in 2017</dc:subject>
  <dc:creator>Statistics Poland</dc:creator>
  <cp:keywords>Water supply system</cp:keywords>
  <dc:description>Water supply system and sewage management in Poland in 2017</dc:description>
  <cp:lastModifiedBy>Dariusz Mazurek</cp:lastModifiedBy>
  <cp:revision>3</cp:revision>
  <cp:lastPrinted>2018-06-28T08:10:00Z</cp:lastPrinted>
  <dcterms:created xsi:type="dcterms:W3CDTF">2018-06-28T11:15:00Z</dcterms:created>
  <dcterms:modified xsi:type="dcterms:W3CDTF">2018-06-29T07:40:00Z</dcterms:modified>
  <cp:category>Water supply system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