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0A05" w14:textId="7EF6CF59" w:rsidR="0098135C" w:rsidRPr="00B87042" w:rsidRDefault="006D200A" w:rsidP="00074DD8">
      <w:pPr>
        <w:pStyle w:val="tytuinformacji"/>
        <w:rPr>
          <w:shd w:val="clear" w:color="auto" w:fill="FFFFFF"/>
          <w:lang w:val="en-US"/>
        </w:rPr>
      </w:pPr>
      <w:bookmarkStart w:id="0" w:name="_GoBack"/>
      <w:bookmarkEnd w:id="0"/>
      <w:r w:rsidRPr="00B87042">
        <w:rPr>
          <w:shd w:val="clear" w:color="auto" w:fill="FFFFFF"/>
          <w:lang w:val="en-US"/>
        </w:rPr>
        <w:t>Energy management and gas supply system in Poland in 2017</w:t>
      </w:r>
    </w:p>
    <w:p w14:paraId="08F30A06" w14:textId="77777777" w:rsidR="00393761" w:rsidRPr="00B87042" w:rsidRDefault="00393761" w:rsidP="00074DD8">
      <w:pPr>
        <w:pStyle w:val="tytuinformacji"/>
        <w:rPr>
          <w:sz w:val="32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F30AA7" wp14:editId="41855C0B">
                <wp:simplePos x="0" y="0"/>
                <wp:positionH relativeFrom="column">
                  <wp:posOffset>5231130</wp:posOffset>
                </wp:positionH>
                <wp:positionV relativeFrom="paragraph">
                  <wp:posOffset>251460</wp:posOffset>
                </wp:positionV>
                <wp:extent cx="1725295" cy="1125220"/>
                <wp:effectExtent l="0" t="0" r="0" b="0"/>
                <wp:wrapTight wrapText="bothSides">
                  <wp:wrapPolygon edited="0">
                    <wp:start x="715" y="0"/>
                    <wp:lineTo x="715" y="21210"/>
                    <wp:lineTo x="20749" y="21210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0ACF" w14:textId="3632A42E" w:rsidR="007A2DC1" w:rsidRPr="00B87042" w:rsidRDefault="006D200A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B87042">
                              <w:rPr>
                                <w:lang w:val="en-US"/>
                              </w:rPr>
                              <w:t>In Poland, over the last decade, there has been observed a rise in investment in the area of  infrastructure of natural gas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0A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9pt;margin-top:19.8pt;width:135.85pt;height:88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" filled="f" stroked="f">
                <v:textbox>
                  <w:txbxContent>
                    <w:p w14:paraId="08F30ACF" w14:textId="3632A42E" w:rsidR="007A2DC1" w:rsidRPr="00B87042" w:rsidRDefault="006D200A" w:rsidP="00074DD8">
                      <w:pPr>
                        <w:pStyle w:val="tekstzboku"/>
                        <w:rPr>
                          <w:lang w:val="en-US"/>
                        </w:rPr>
                      </w:pPr>
                      <w:r w:rsidRPr="00B87042">
                        <w:rPr>
                          <w:lang w:val="en-US"/>
                        </w:rPr>
                        <w:t>In Poland, over the last decade, there has been observed a rise in investment in the area of  infrastructure of natural gas 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F30A07" w14:textId="59A1DF0F" w:rsidR="005916D7" w:rsidRPr="00B87042" w:rsidRDefault="00003437" w:rsidP="0063301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F30AA9" wp14:editId="3993ABF3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1828800" cy="12020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205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0AD0" w14:textId="3A14D00F" w:rsidR="00933EC1" w:rsidRPr="00B66B19" w:rsidRDefault="00FF7EB9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08F30AE5">
                                <v:shape id="Obraz 33" o:spid="_x0000_i1025" type="#_x0000_t75" style="width:25.95pt;height:25.9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1D273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6D200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F173E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.</w:t>
                            </w:r>
                            <w:r w:rsidR="006D200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</w:p>
                          <w:p w14:paraId="08F30AD1" w14:textId="52185638" w:rsidR="00933EC1" w:rsidRPr="00B87042" w:rsidRDefault="006D200A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87042">
                              <w:rPr>
                                <w:lang w:val="en-US"/>
                              </w:rPr>
                              <w:t>An increase in consumption o</w:t>
                            </w:r>
                            <w:r w:rsidR="001B5C6A" w:rsidRPr="00B87042">
                              <w:rPr>
                                <w:lang w:val="en-US"/>
                              </w:rPr>
                              <w:t>f gas per capita in urban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0AA9" id="_x0000_s1027" type="#_x0000_t202" style="position:absolute;margin-left:0;margin-top:6.65pt;width:2in;height:94.6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Hv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" fillcolor="#001d77" stroked="f">
                <v:textbox>
                  <w:txbxContent>
                    <w:p w14:paraId="08F30AD0" w14:textId="3A14D00F" w:rsidR="00933EC1" w:rsidRPr="00B66B19" w:rsidRDefault="00B87042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08F30AE5">
                          <v:shape id="Obraz 33" o:spid="_x0000_i1028" type="#_x0000_t75" style="width:25.9pt;height:26.65pt;visibility:visible;mso-wrap-style:squar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1D273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6D200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F173E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.</w:t>
                      </w:r>
                      <w:r w:rsidR="006D200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</w:p>
                    <w:p w14:paraId="08F30AD1" w14:textId="52185638" w:rsidR="00933EC1" w:rsidRPr="00B87042" w:rsidRDefault="006D200A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B87042">
                        <w:rPr>
                          <w:lang w:val="en-US"/>
                        </w:rPr>
                        <w:t>An increase in consumption o</w:t>
                      </w:r>
                      <w:r w:rsidR="001B5C6A" w:rsidRPr="00B87042">
                        <w:rPr>
                          <w:lang w:val="en-US"/>
                        </w:rPr>
                        <w:t>f gas per capita in urban areas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200A" w:rsidRPr="00B87042">
        <w:rPr>
          <w:lang w:val="en-US"/>
        </w:rPr>
        <w:t>In Poland, in 2017, consumption of gas per capita in  urban areas increased by 50.6 kWh (by 3.3%) and amounted to 1 564.5 kWh.</w:t>
      </w:r>
    </w:p>
    <w:p w14:paraId="4C974ECF" w14:textId="77777777" w:rsidR="006D200A" w:rsidRPr="00B87042" w:rsidRDefault="006D200A" w:rsidP="00633014">
      <w:pPr>
        <w:pStyle w:val="LID"/>
        <w:rPr>
          <w:lang w:val="en-US"/>
        </w:rPr>
      </w:pPr>
    </w:p>
    <w:p w14:paraId="63B73722" w14:textId="77777777" w:rsidR="006D200A" w:rsidRPr="00B87042" w:rsidRDefault="006D200A" w:rsidP="00633014">
      <w:pPr>
        <w:pStyle w:val="LID"/>
        <w:rPr>
          <w:lang w:val="en-US"/>
        </w:rPr>
      </w:pPr>
    </w:p>
    <w:p w14:paraId="06CB0EB0" w14:textId="77777777" w:rsidR="006D200A" w:rsidRPr="00B87042" w:rsidRDefault="006D200A" w:rsidP="00633014">
      <w:pPr>
        <w:pStyle w:val="LID"/>
        <w:rPr>
          <w:lang w:val="en-US"/>
        </w:rPr>
      </w:pPr>
    </w:p>
    <w:p w14:paraId="08F30A08" w14:textId="77777777" w:rsidR="00003437" w:rsidRPr="00B87042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74B8E516" w14:textId="77777777" w:rsidR="006D200A" w:rsidRPr="00B87042" w:rsidRDefault="006D200A" w:rsidP="006D200A">
      <w:pPr>
        <w:rPr>
          <w:lang w:val="en-US" w:eastAsia="pl-PL"/>
        </w:rPr>
      </w:pPr>
    </w:p>
    <w:p w14:paraId="14861026" w14:textId="77777777" w:rsidR="006D200A" w:rsidRPr="00B87042" w:rsidRDefault="006D200A" w:rsidP="006D200A">
      <w:pPr>
        <w:pStyle w:val="Nagwek1"/>
        <w:spacing w:before="0" w:after="0"/>
        <w:rPr>
          <w:rFonts w:ascii="Fira Sans" w:hAnsi="Fira Sans"/>
          <w:b/>
          <w:lang w:val="en-US"/>
        </w:rPr>
      </w:pPr>
      <w:r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31B4284" wp14:editId="47D3616C">
                <wp:simplePos x="0" y="0"/>
                <wp:positionH relativeFrom="column">
                  <wp:posOffset>5212080</wp:posOffset>
                </wp:positionH>
                <wp:positionV relativeFrom="paragraph">
                  <wp:posOffset>97155</wp:posOffset>
                </wp:positionV>
                <wp:extent cx="1667510" cy="857250"/>
                <wp:effectExtent l="0" t="0" r="0" b="0"/>
                <wp:wrapTight wrapText="bothSides">
                  <wp:wrapPolygon edited="0">
                    <wp:start x="740" y="0"/>
                    <wp:lineTo x="740" y="21120"/>
                    <wp:lineTo x="20728" y="21120"/>
                    <wp:lineTo x="20728" y="0"/>
                    <wp:lineTo x="74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713CB" w14:textId="71698484" w:rsidR="006D200A" w:rsidRPr="00B87042" w:rsidRDefault="006D200A" w:rsidP="006D200A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 w:rsidRPr="00B87042">
                              <w:rPr>
                                <w:lang w:val="en-US"/>
                              </w:rPr>
                              <w:t xml:space="preserve">As compared to 2016, the length of gas </w:t>
                            </w:r>
                            <w:r w:rsidR="00DC217E" w:rsidRPr="00B87042">
                              <w:rPr>
                                <w:lang w:val="en-US"/>
                              </w:rPr>
                              <w:t>supply system increased by 2.1%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4284" id="Pole tekstowe 16" o:spid="_x0000_s1028" type="#_x0000_t202" style="position:absolute;margin-left:410.4pt;margin-top:7.65pt;width:131.3pt;height:67.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" filled="f" stroked="f">
                <v:textbox>
                  <w:txbxContent>
                    <w:p w14:paraId="3E4713CB" w14:textId="71698484" w:rsidR="006D200A" w:rsidRPr="00B87042" w:rsidRDefault="006D200A" w:rsidP="006D200A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 w:rsidRPr="00B87042">
                        <w:rPr>
                          <w:lang w:val="en-US"/>
                        </w:rPr>
                        <w:t xml:space="preserve">As compared to 2016, the length of gas </w:t>
                      </w:r>
                      <w:r w:rsidR="00DC217E" w:rsidRPr="00B87042">
                        <w:rPr>
                          <w:lang w:val="en-US"/>
                        </w:rPr>
                        <w:t>supply system increased by 2.1%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87042">
        <w:rPr>
          <w:rFonts w:ascii="Fira Sans" w:hAnsi="Fira Sans"/>
          <w:b/>
          <w:lang w:val="en-US"/>
        </w:rPr>
        <w:t>Gas supply system</w:t>
      </w:r>
    </w:p>
    <w:p w14:paraId="7626441D" w14:textId="77777777" w:rsidR="006D200A" w:rsidRPr="00B87042" w:rsidRDefault="006D200A" w:rsidP="006D200A">
      <w:pPr>
        <w:spacing w:before="0" w:after="0" w:line="240" w:lineRule="auto"/>
        <w:rPr>
          <w:sz w:val="12"/>
          <w:szCs w:val="12"/>
          <w:lang w:val="en-US" w:eastAsia="pl-PL"/>
        </w:rPr>
      </w:pPr>
    </w:p>
    <w:p w14:paraId="35100339" w14:textId="2416818F" w:rsidR="006D200A" w:rsidRPr="00B87042" w:rsidRDefault="006D200A" w:rsidP="006D200A">
      <w:pPr>
        <w:spacing w:before="0" w:after="0"/>
        <w:rPr>
          <w:shd w:val="clear" w:color="auto" w:fill="FFFFFF"/>
          <w:lang w:val="en-US"/>
        </w:rPr>
      </w:pPr>
      <w:r w:rsidRPr="00B87042">
        <w:rPr>
          <w:shd w:val="clear" w:color="auto" w:fill="FFFFFF"/>
          <w:lang w:val="en-US"/>
        </w:rPr>
        <w:t xml:space="preserve">In 2017, gas supply system in Poland reached the length of 152.2 thous. km (of which 131.0 thous. km was distribution network). As compared to the previous </w:t>
      </w:r>
      <w:r w:rsidR="00F977ED" w:rsidRPr="00B87042">
        <w:rPr>
          <w:shd w:val="clear" w:color="auto" w:fill="FFFFFF"/>
          <w:lang w:val="en-US"/>
        </w:rPr>
        <w:t>year, the length of gas supply network</w:t>
      </w:r>
      <w:r w:rsidRPr="00B87042">
        <w:rPr>
          <w:shd w:val="clear" w:color="auto" w:fill="FFFFFF"/>
          <w:lang w:val="en-US"/>
        </w:rPr>
        <w:t xml:space="preserve"> in total increased by 3.2 thous. km (by 2.1%), while the number of</w:t>
      </w:r>
      <w:r w:rsidR="00F977ED" w:rsidRPr="00B87042">
        <w:rPr>
          <w:shd w:val="clear" w:color="auto" w:fill="FFFFFF"/>
          <w:lang w:val="en-US"/>
        </w:rPr>
        <w:t> </w:t>
      </w:r>
      <w:r w:rsidRPr="00B87042">
        <w:rPr>
          <w:shd w:val="clear" w:color="auto" w:fill="FFFFFF"/>
          <w:lang w:val="en-US"/>
        </w:rPr>
        <w:t>connections in this period increased by 98 thous. pcs. (by 3.5%)</w:t>
      </w:r>
    </w:p>
    <w:p w14:paraId="425870C2" w14:textId="77777777" w:rsidR="006D200A" w:rsidRPr="00B87042" w:rsidRDefault="006D200A" w:rsidP="006D200A">
      <w:pPr>
        <w:spacing w:before="0" w:after="0"/>
        <w:rPr>
          <w:shd w:val="clear" w:color="auto" w:fill="FFFFFF"/>
          <w:lang w:val="en-US"/>
        </w:rPr>
      </w:pPr>
    </w:p>
    <w:p w14:paraId="55EA8E27" w14:textId="1C88DC43" w:rsidR="006D200A" w:rsidRPr="00302A5F" w:rsidRDefault="006D200A" w:rsidP="00F977ED">
      <w:pPr>
        <w:tabs>
          <w:tab w:val="left" w:pos="709"/>
        </w:tabs>
        <w:spacing w:before="0" w:after="0"/>
        <w:ind w:left="709" w:hanging="709"/>
        <w:rPr>
          <w:spacing w:val="-2"/>
          <w:sz w:val="18"/>
          <w:lang w:val="en-US"/>
        </w:rPr>
      </w:pPr>
      <w:r w:rsidRPr="00124D6A">
        <w:rPr>
          <w:b/>
          <w:spacing w:val="-2"/>
          <w:sz w:val="18"/>
          <w:lang w:val="en-US"/>
        </w:rPr>
        <w:t>Tab</w:t>
      </w:r>
      <w:r>
        <w:rPr>
          <w:b/>
          <w:spacing w:val="-2"/>
          <w:sz w:val="18"/>
          <w:lang w:val="en-US"/>
        </w:rPr>
        <w:t>le</w:t>
      </w:r>
      <w:r w:rsidRPr="00124D6A">
        <w:rPr>
          <w:b/>
          <w:spacing w:val="-2"/>
          <w:sz w:val="18"/>
          <w:lang w:val="en-US"/>
        </w:rPr>
        <w:t xml:space="preserve"> 1. </w:t>
      </w:r>
      <w:r w:rsidR="00F977ED">
        <w:rPr>
          <w:b/>
          <w:spacing w:val="-2"/>
          <w:sz w:val="18"/>
          <w:lang w:val="en-US"/>
        </w:rPr>
        <w:t xml:space="preserve"> </w:t>
      </w:r>
      <w:r w:rsidRPr="00302A5F">
        <w:rPr>
          <w:b/>
          <w:spacing w:val="-2"/>
          <w:sz w:val="18"/>
          <w:lang w:val="en-US"/>
        </w:rPr>
        <w:t xml:space="preserve">Gas supply </w:t>
      </w:r>
      <w:r w:rsidRPr="00544472">
        <w:rPr>
          <w:b/>
          <w:spacing w:val="-2"/>
          <w:sz w:val="18"/>
          <w:lang w:val="en-US"/>
        </w:rPr>
        <w:t>network</w:t>
      </w:r>
      <w:r>
        <w:rPr>
          <w:b/>
          <w:spacing w:val="-2"/>
          <w:sz w:val="18"/>
          <w:lang w:val="en-US"/>
        </w:rPr>
        <w:t>,</w:t>
      </w:r>
      <w:r w:rsidRPr="00302A5F">
        <w:rPr>
          <w:b/>
          <w:spacing w:val="-2"/>
          <w:sz w:val="18"/>
          <w:lang w:val="en-US"/>
        </w:rPr>
        <w:t xml:space="preserve"> consumers</w:t>
      </w:r>
      <w:r>
        <w:rPr>
          <w:b/>
          <w:spacing w:val="-2"/>
          <w:sz w:val="18"/>
          <w:lang w:val="en-US"/>
        </w:rPr>
        <w:t>,</w:t>
      </w:r>
      <w:r w:rsidRPr="00302A5F">
        <w:rPr>
          <w:b/>
          <w:spacing w:val="-2"/>
          <w:sz w:val="18"/>
          <w:lang w:val="en-US"/>
        </w:rPr>
        <w:t xml:space="preserve"> and consumption of gas fr</w:t>
      </w:r>
      <w:r>
        <w:rPr>
          <w:b/>
          <w:spacing w:val="-2"/>
          <w:sz w:val="18"/>
          <w:lang w:val="en-US"/>
        </w:rPr>
        <w:t>o</w:t>
      </w:r>
      <w:r w:rsidRPr="00302A5F">
        <w:rPr>
          <w:b/>
          <w:spacing w:val="-2"/>
          <w:sz w:val="18"/>
          <w:lang w:val="en-US"/>
        </w:rPr>
        <w:t>m gas supply system in</w:t>
      </w:r>
      <w:r w:rsidR="00F977ED">
        <w:rPr>
          <w:b/>
          <w:spacing w:val="-2"/>
          <w:sz w:val="18"/>
          <w:lang w:val="en-US"/>
        </w:rPr>
        <w:t> </w:t>
      </w:r>
      <w:r w:rsidRPr="00302A5F">
        <w:rPr>
          <w:b/>
          <w:spacing w:val="-2"/>
          <w:sz w:val="18"/>
          <w:lang w:val="en-US"/>
        </w:rPr>
        <w:t>households</w:t>
      </w:r>
    </w:p>
    <w:p w14:paraId="225C598B" w14:textId="55363F0D" w:rsidR="006D200A" w:rsidRPr="00302A5F" w:rsidRDefault="006D200A" w:rsidP="006D200A">
      <w:pPr>
        <w:spacing w:before="0" w:after="0"/>
        <w:rPr>
          <w:sz w:val="12"/>
          <w:szCs w:val="12"/>
          <w:shd w:val="clear" w:color="auto" w:fill="FFFFFF"/>
          <w:lang w:val="en-US"/>
        </w:rPr>
      </w:pPr>
    </w:p>
    <w:tbl>
      <w:tblPr>
        <w:tblW w:w="787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1020"/>
        <w:gridCol w:w="1020"/>
        <w:gridCol w:w="1020"/>
        <w:gridCol w:w="1020"/>
      </w:tblGrid>
      <w:tr w:rsidR="006D200A" w:rsidRPr="0038453C" w14:paraId="051290BC" w14:textId="77777777" w:rsidTr="008259AF">
        <w:trPr>
          <w:trHeight w:val="315"/>
        </w:trPr>
        <w:tc>
          <w:tcPr>
            <w:tcW w:w="3798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14:paraId="4BE3E823" w14:textId="77777777" w:rsidR="006D200A" w:rsidRPr="0038453C" w:rsidRDefault="006D200A" w:rsidP="008259A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14:paraId="014D5ADD" w14:textId="77777777" w:rsidR="006D200A" w:rsidRPr="0038453C" w:rsidRDefault="006D200A" w:rsidP="008259A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14:paraId="0FA38317" w14:textId="77777777" w:rsidR="006D200A" w:rsidRPr="0038453C" w:rsidRDefault="006D200A" w:rsidP="008259A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= 100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14:paraId="0EE8C2AE" w14:textId="77777777" w:rsidR="006D200A" w:rsidRPr="0038453C" w:rsidRDefault="006D200A" w:rsidP="008259A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02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14:paraId="12814A78" w14:textId="77777777" w:rsidR="006D200A" w:rsidRPr="0038453C" w:rsidRDefault="006D200A" w:rsidP="008259A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2016 = 100</w:t>
            </w:r>
          </w:p>
        </w:tc>
      </w:tr>
      <w:tr w:rsidR="006D200A" w:rsidRPr="0038453C" w14:paraId="4CFE7258" w14:textId="77777777" w:rsidTr="008259AF">
        <w:trPr>
          <w:trHeight w:val="330"/>
        </w:trPr>
        <w:tc>
          <w:tcPr>
            <w:tcW w:w="379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14:paraId="344741CB" w14:textId="77777777" w:rsidR="006D200A" w:rsidRPr="00B87042" w:rsidRDefault="006D200A" w:rsidP="008259A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B8704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Gas supply network in km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14:paraId="2CB3E180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149 037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14:paraId="0BDEB80B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102.1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14:paraId="7A47333B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152 217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14:paraId="18854D98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102.1</w:t>
            </w:r>
          </w:p>
        </w:tc>
      </w:tr>
      <w:tr w:rsidR="006D200A" w:rsidRPr="0038453C" w14:paraId="3AB171D9" w14:textId="77777777" w:rsidTr="008259AF">
        <w:trPr>
          <w:trHeight w:val="315"/>
        </w:trPr>
        <w:tc>
          <w:tcPr>
            <w:tcW w:w="3798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587587AA" w14:textId="77777777" w:rsidR="006D200A" w:rsidRPr="00302A5F" w:rsidRDefault="006D200A" w:rsidP="008259A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02A5F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Connections leading to residential and non-residential buildings in thous.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pcs</w:t>
            </w:r>
            <w:r w:rsidRPr="00302A5F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001D77"/>
            </w:tcBorders>
            <w:shd w:val="clear" w:color="auto" w:fill="auto"/>
            <w:vAlign w:val="center"/>
          </w:tcPr>
          <w:p w14:paraId="2FE25B9A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2 772.4</w:t>
            </w:r>
          </w:p>
        </w:tc>
        <w:tc>
          <w:tcPr>
            <w:tcW w:w="1020" w:type="dxa"/>
            <w:tcBorders>
              <w:bottom w:val="single" w:sz="4" w:space="0" w:color="001D77"/>
            </w:tcBorders>
            <w:shd w:val="clear" w:color="auto" w:fill="auto"/>
            <w:vAlign w:val="center"/>
          </w:tcPr>
          <w:p w14:paraId="19E0EA6E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102.9</w:t>
            </w:r>
          </w:p>
        </w:tc>
        <w:tc>
          <w:tcPr>
            <w:tcW w:w="1020" w:type="dxa"/>
            <w:tcBorders>
              <w:bottom w:val="single" w:sz="4" w:space="0" w:color="001D77"/>
            </w:tcBorders>
            <w:shd w:val="clear" w:color="auto" w:fill="auto"/>
            <w:vAlign w:val="center"/>
          </w:tcPr>
          <w:p w14:paraId="648E3C60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2 870.3</w:t>
            </w:r>
          </w:p>
        </w:tc>
        <w:tc>
          <w:tcPr>
            <w:tcW w:w="1020" w:type="dxa"/>
            <w:tcBorders>
              <w:bottom w:val="single" w:sz="4" w:space="0" w:color="001D77"/>
            </w:tcBorders>
            <w:shd w:val="clear" w:color="auto" w:fill="auto"/>
            <w:vAlign w:val="center"/>
          </w:tcPr>
          <w:p w14:paraId="3FAF147A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103.5</w:t>
            </w:r>
          </w:p>
        </w:tc>
      </w:tr>
      <w:tr w:rsidR="006D200A" w:rsidRPr="0038453C" w14:paraId="4A196A58" w14:textId="77777777" w:rsidTr="008259AF">
        <w:trPr>
          <w:trHeight w:val="478"/>
        </w:trPr>
        <w:tc>
          <w:tcPr>
            <w:tcW w:w="3798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44697064" w14:textId="77777777" w:rsidR="006D200A" w:rsidRPr="00302A5F" w:rsidRDefault="006D200A" w:rsidP="008259A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Consumers of gas from gas supply system in thous.</w:t>
            </w:r>
          </w:p>
        </w:tc>
        <w:tc>
          <w:tcPr>
            <w:tcW w:w="102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1C098F03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7 458</w:t>
            </w:r>
          </w:p>
        </w:tc>
        <w:tc>
          <w:tcPr>
            <w:tcW w:w="102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35C02209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101.1</w:t>
            </w:r>
          </w:p>
        </w:tc>
        <w:tc>
          <w:tcPr>
            <w:tcW w:w="102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26E672BC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7 503</w:t>
            </w:r>
          </w:p>
        </w:tc>
        <w:tc>
          <w:tcPr>
            <w:tcW w:w="102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71CC6A5D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100.6</w:t>
            </w:r>
          </w:p>
        </w:tc>
      </w:tr>
      <w:tr w:rsidR="006D200A" w:rsidRPr="0038453C" w14:paraId="277F6D1B" w14:textId="77777777" w:rsidTr="008259AF">
        <w:trPr>
          <w:trHeight w:val="227"/>
        </w:trPr>
        <w:tc>
          <w:tcPr>
            <w:tcW w:w="3798" w:type="dxa"/>
            <w:tcBorders>
              <w:top w:val="nil"/>
              <w:bottom w:val="single" w:sz="4" w:space="0" w:color="001D77"/>
            </w:tcBorders>
            <w:shd w:val="clear" w:color="auto" w:fill="auto"/>
            <w:vAlign w:val="center"/>
          </w:tcPr>
          <w:p w14:paraId="4C1195D9" w14:textId="77777777" w:rsidR="006D200A" w:rsidRPr="00B87042" w:rsidRDefault="006D200A" w:rsidP="008259A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B8704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   of which in urban areas</w:t>
            </w:r>
          </w:p>
        </w:tc>
        <w:tc>
          <w:tcPr>
            <w:tcW w:w="1020" w:type="dxa"/>
            <w:tcBorders>
              <w:top w:val="nil"/>
              <w:bottom w:val="single" w:sz="4" w:space="0" w:color="001D77"/>
            </w:tcBorders>
            <w:shd w:val="clear" w:color="auto" w:fill="auto"/>
            <w:vAlign w:val="center"/>
          </w:tcPr>
          <w:p w14:paraId="59AE848A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6 433</w:t>
            </w:r>
          </w:p>
        </w:tc>
        <w:tc>
          <w:tcPr>
            <w:tcW w:w="1020" w:type="dxa"/>
            <w:tcBorders>
              <w:top w:val="nil"/>
              <w:bottom w:val="single" w:sz="4" w:space="0" w:color="001D77"/>
            </w:tcBorders>
            <w:shd w:val="clear" w:color="auto" w:fill="auto"/>
            <w:vAlign w:val="center"/>
          </w:tcPr>
          <w:p w14:paraId="171F92C1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100.9</w:t>
            </w:r>
          </w:p>
        </w:tc>
        <w:tc>
          <w:tcPr>
            <w:tcW w:w="1020" w:type="dxa"/>
            <w:tcBorders>
              <w:top w:val="nil"/>
              <w:bottom w:val="single" w:sz="4" w:space="0" w:color="001D77"/>
            </w:tcBorders>
            <w:shd w:val="clear" w:color="auto" w:fill="auto"/>
            <w:vAlign w:val="center"/>
          </w:tcPr>
          <w:p w14:paraId="314DA9D1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6 454</w:t>
            </w:r>
          </w:p>
        </w:tc>
        <w:tc>
          <w:tcPr>
            <w:tcW w:w="1020" w:type="dxa"/>
            <w:tcBorders>
              <w:top w:val="nil"/>
              <w:bottom w:val="single" w:sz="4" w:space="0" w:color="001D77"/>
            </w:tcBorders>
            <w:shd w:val="clear" w:color="auto" w:fill="auto"/>
            <w:vAlign w:val="center"/>
          </w:tcPr>
          <w:p w14:paraId="0B787725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100.3</w:t>
            </w:r>
          </w:p>
        </w:tc>
      </w:tr>
      <w:tr w:rsidR="006D200A" w:rsidRPr="0038453C" w14:paraId="7E8F85DB" w14:textId="77777777" w:rsidTr="008259AF">
        <w:trPr>
          <w:trHeight w:val="478"/>
        </w:trPr>
        <w:tc>
          <w:tcPr>
            <w:tcW w:w="3798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5E897428" w14:textId="77777777" w:rsidR="006D200A" w:rsidRPr="00302A5F" w:rsidRDefault="006D200A" w:rsidP="008259A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02A5F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Consumption of gas from gas supply system (during the year) in w GWh</w:t>
            </w:r>
          </w:p>
        </w:tc>
        <w:tc>
          <w:tcPr>
            <w:tcW w:w="102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5A3A0A15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45 035.8</w:t>
            </w:r>
          </w:p>
        </w:tc>
        <w:tc>
          <w:tcPr>
            <w:tcW w:w="102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7FA1A283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110.5</w:t>
            </w:r>
          </w:p>
        </w:tc>
        <w:tc>
          <w:tcPr>
            <w:tcW w:w="102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76E48874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47 029.4</w:t>
            </w:r>
          </w:p>
        </w:tc>
        <w:tc>
          <w:tcPr>
            <w:tcW w:w="102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3853B690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104.4</w:t>
            </w:r>
          </w:p>
        </w:tc>
      </w:tr>
      <w:tr w:rsidR="006D200A" w:rsidRPr="0038453C" w14:paraId="386D09D2" w14:textId="77777777" w:rsidTr="008259AF">
        <w:trPr>
          <w:trHeight w:val="227"/>
        </w:trPr>
        <w:tc>
          <w:tcPr>
            <w:tcW w:w="37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F10B4" w14:textId="77777777" w:rsidR="006D200A" w:rsidRPr="00302A5F" w:rsidRDefault="006D200A" w:rsidP="008259A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02A5F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</w:t>
            </w:r>
            <w:r w:rsidRPr="00302A5F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f which in urban areas in GWh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0A3D4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35 045.4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9DF12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110.3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F9453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36 179.6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A055F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103.2</w:t>
            </w:r>
          </w:p>
        </w:tc>
      </w:tr>
      <w:tr w:rsidR="006D200A" w:rsidRPr="0038453C" w14:paraId="3D7A073C" w14:textId="77777777" w:rsidTr="008259AF">
        <w:trPr>
          <w:trHeight w:val="227"/>
        </w:trPr>
        <w:tc>
          <w:tcPr>
            <w:tcW w:w="37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E7DE1" w14:textId="77777777" w:rsidR="006D200A" w:rsidRDefault="006D200A" w:rsidP="008259A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  per capita in kWh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FEA3F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1 513.9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A2DA1" w14:textId="77777777" w:rsidR="006D200A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110.5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562E9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1 564.5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0744A" w14:textId="77777777" w:rsidR="006D200A" w:rsidRPr="0038453C" w:rsidRDefault="006D200A" w:rsidP="008259A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103.3</w:t>
            </w:r>
          </w:p>
        </w:tc>
      </w:tr>
    </w:tbl>
    <w:p w14:paraId="0D746629" w14:textId="3E307AF8" w:rsidR="006D200A" w:rsidRDefault="006D200A" w:rsidP="006D200A">
      <w:pPr>
        <w:spacing w:before="0" w:after="0"/>
        <w:rPr>
          <w:shd w:val="clear" w:color="auto" w:fill="FFFFFF"/>
        </w:rPr>
      </w:pPr>
    </w:p>
    <w:p w14:paraId="457FF2CF" w14:textId="64EA56FB" w:rsidR="006D200A" w:rsidRPr="00EC1A34" w:rsidRDefault="00B453FA" w:rsidP="006D200A">
      <w:pPr>
        <w:spacing w:before="0" w:after="0"/>
        <w:rPr>
          <w:sz w:val="12"/>
          <w:szCs w:val="12"/>
          <w:shd w:val="clear" w:color="auto" w:fill="FFFFFF"/>
        </w:rPr>
      </w:pPr>
      <w:r w:rsidRPr="00AB4891">
        <w:rPr>
          <w:noProof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59148E7" wp14:editId="636E42FE">
                <wp:simplePos x="0" y="0"/>
                <wp:positionH relativeFrom="column">
                  <wp:posOffset>5226685</wp:posOffset>
                </wp:positionH>
                <wp:positionV relativeFrom="paragraph">
                  <wp:posOffset>45720</wp:posOffset>
                </wp:positionV>
                <wp:extent cx="1550670" cy="1021080"/>
                <wp:effectExtent l="0" t="0" r="0" b="0"/>
                <wp:wrapTight wrapText="bothSides">
                  <wp:wrapPolygon edited="0">
                    <wp:start x="796" y="0"/>
                    <wp:lineTo x="796" y="20955"/>
                    <wp:lineTo x="20698" y="20955"/>
                    <wp:lineTo x="20698" y="0"/>
                    <wp:lineTo x="796" y="0"/>
                  </wp:wrapPolygon>
                </wp:wrapTight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1021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5932C" w14:textId="0B33855D" w:rsidR="00B453FA" w:rsidRPr="00B87042" w:rsidRDefault="00B453FA" w:rsidP="00B453FA">
                            <w:pPr>
                              <w:rPr>
                                <w:lang w:val="en-US"/>
                              </w:rPr>
                            </w:pPr>
                            <w:r w:rsidRPr="00B8704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As compared to 2016, consumption of gas from gas supply system in households</w:t>
                            </w:r>
                            <w:r w:rsidRPr="00B8704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8704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increased by 4.4%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48E7" id="Prostokąt 18" o:spid="_x0000_s1029" style="position:absolute;margin-left:411.55pt;margin-top:3.6pt;width:122.1pt;height:80.4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" filled="f" stroked="f" strokeweight="1pt">
                <v:textbox>
                  <w:txbxContent>
                    <w:p w14:paraId="7355932C" w14:textId="0B33855D" w:rsidR="00B453FA" w:rsidRPr="00B87042" w:rsidRDefault="00B453FA" w:rsidP="00B453FA">
                      <w:pPr>
                        <w:rPr>
                          <w:lang w:val="en-US"/>
                        </w:rPr>
                      </w:pPr>
                      <w:r w:rsidRPr="00B8704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As compared to 2016, consumption of gas from gas supply system in households</w:t>
                      </w:r>
                      <w:r w:rsidRPr="00B87042">
                        <w:rPr>
                          <w:lang w:val="en-US"/>
                        </w:rPr>
                        <w:t xml:space="preserve"> </w:t>
                      </w:r>
                      <w:r w:rsidRPr="00B8704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increased by 4.4%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892C6B7" w14:textId="5872F759" w:rsidR="006D200A" w:rsidRPr="00B87042" w:rsidRDefault="006D200A" w:rsidP="006D200A">
      <w:pPr>
        <w:spacing w:before="0"/>
        <w:rPr>
          <w:strike/>
          <w:szCs w:val="19"/>
          <w:shd w:val="clear" w:color="auto" w:fill="FFFFFF"/>
          <w:lang w:val="en-US"/>
        </w:rPr>
      </w:pPr>
      <w:r w:rsidRPr="00B87042">
        <w:rPr>
          <w:szCs w:val="19"/>
          <w:shd w:val="clear" w:color="auto" w:fill="FFFFFF"/>
          <w:lang w:val="en-US"/>
        </w:rPr>
        <w:t xml:space="preserve">The length of gas distribution network in rural areas in 2017 increased by 1.3 thous. km (by 1.9%) and amounted to 71.1 thous. km, while in urban areas – by 2.0 thous. km (by 3.4%) and reached 59.9 thous. km. </w:t>
      </w:r>
    </w:p>
    <w:p w14:paraId="11DE3A51" w14:textId="0489FC39" w:rsidR="006D200A" w:rsidRPr="00B87042" w:rsidRDefault="006D200A" w:rsidP="006D200A">
      <w:pPr>
        <w:spacing w:before="0"/>
        <w:rPr>
          <w:szCs w:val="19"/>
          <w:shd w:val="clear" w:color="auto" w:fill="FFFFFF"/>
          <w:lang w:val="en-US"/>
        </w:rPr>
      </w:pPr>
      <w:r w:rsidRPr="00B87042">
        <w:rPr>
          <w:szCs w:val="19"/>
          <w:shd w:val="clear" w:color="auto" w:fill="FFFFFF"/>
          <w:lang w:val="en-US"/>
        </w:rPr>
        <w:t>The consumption of gas from gas supply system by households in Poland in 2017 increased by 4.4% as compared to 2016, with an increase in the number of consumers – by 0.6%. In urban areas there was an increase of 3.2% in consumption of gas while the rise in</w:t>
      </w:r>
      <w:r w:rsidR="00F977ED" w:rsidRPr="00B87042">
        <w:rPr>
          <w:szCs w:val="19"/>
          <w:shd w:val="clear" w:color="auto" w:fill="FFFFFF"/>
          <w:lang w:val="en-US"/>
        </w:rPr>
        <w:t> </w:t>
      </w:r>
      <w:r w:rsidRPr="00B87042">
        <w:rPr>
          <w:szCs w:val="19"/>
          <w:shd w:val="clear" w:color="auto" w:fill="FFFFFF"/>
          <w:lang w:val="en-US"/>
        </w:rPr>
        <w:t>the</w:t>
      </w:r>
      <w:r w:rsidR="00F977ED" w:rsidRPr="00B87042">
        <w:rPr>
          <w:szCs w:val="19"/>
          <w:shd w:val="clear" w:color="auto" w:fill="FFFFFF"/>
          <w:lang w:val="en-US"/>
        </w:rPr>
        <w:t> </w:t>
      </w:r>
      <w:r w:rsidRPr="00B87042">
        <w:rPr>
          <w:szCs w:val="19"/>
          <w:shd w:val="clear" w:color="auto" w:fill="FFFFFF"/>
          <w:lang w:val="en-US"/>
        </w:rPr>
        <w:t xml:space="preserve">number of consumers was by 0.3%. In rural areas there was noted an increase in gas consumption – by 8.6%, and the number of consumers rose by 2.3%. </w:t>
      </w:r>
    </w:p>
    <w:p w14:paraId="156FF51E" w14:textId="64E54E60" w:rsidR="006D200A" w:rsidRPr="00B87042" w:rsidRDefault="006D200A" w:rsidP="006D200A">
      <w:pPr>
        <w:spacing w:before="0"/>
        <w:rPr>
          <w:szCs w:val="19"/>
          <w:shd w:val="clear" w:color="auto" w:fill="FFFFFF"/>
          <w:lang w:val="en-US"/>
        </w:rPr>
      </w:pPr>
      <w:r w:rsidRPr="00B87042">
        <w:rPr>
          <w:szCs w:val="19"/>
          <w:shd w:val="clear" w:color="auto" w:fill="FFFFFF"/>
          <w:lang w:val="en-US"/>
        </w:rPr>
        <w:t xml:space="preserve">As compared to 2016, consumption of gas from gas supply system increased by </w:t>
      </w:r>
      <w:r w:rsidR="00072D9C" w:rsidRPr="00B87042">
        <w:rPr>
          <w:szCs w:val="19"/>
          <w:shd w:val="clear" w:color="auto" w:fill="FFFFFF"/>
          <w:lang w:val="en-US"/>
        </w:rPr>
        <w:t>1 993</w:t>
      </w:r>
      <w:r w:rsidRPr="00B87042">
        <w:rPr>
          <w:szCs w:val="19"/>
          <w:shd w:val="clear" w:color="auto" w:fill="FFFFFF"/>
          <w:lang w:val="en-US"/>
        </w:rPr>
        <w:t>.</w:t>
      </w:r>
      <w:r w:rsidR="00072D9C" w:rsidRPr="00B87042">
        <w:rPr>
          <w:szCs w:val="19"/>
          <w:shd w:val="clear" w:color="auto" w:fill="FFFFFF"/>
          <w:lang w:val="en-US"/>
        </w:rPr>
        <w:t>6</w:t>
      </w:r>
      <w:r w:rsidRPr="00B87042">
        <w:rPr>
          <w:szCs w:val="19"/>
          <w:shd w:val="clear" w:color="auto" w:fill="FFFFFF"/>
          <w:lang w:val="en-US"/>
        </w:rPr>
        <w:t xml:space="preserve"> GWh and amounted to 6 268 KWh per consumer, while in urban areas it came to 5 606 kWh, and in</w:t>
      </w:r>
      <w:r w:rsidR="00F977ED" w:rsidRPr="00B87042">
        <w:rPr>
          <w:szCs w:val="19"/>
          <w:shd w:val="clear" w:color="auto" w:fill="FFFFFF"/>
          <w:lang w:val="en-US"/>
        </w:rPr>
        <w:t> </w:t>
      </w:r>
      <w:r w:rsidRPr="00B87042">
        <w:rPr>
          <w:szCs w:val="19"/>
          <w:shd w:val="clear" w:color="auto" w:fill="FFFFFF"/>
          <w:lang w:val="en-US"/>
        </w:rPr>
        <w:t xml:space="preserve">rural areas – to 10 344 kWh. </w:t>
      </w:r>
    </w:p>
    <w:p w14:paraId="0F3A1484" w14:textId="77777777" w:rsidR="006D200A" w:rsidRPr="00B87042" w:rsidRDefault="006D200A">
      <w:pPr>
        <w:spacing w:before="0" w:after="160" w:line="259" w:lineRule="auto"/>
        <w:rPr>
          <w:szCs w:val="19"/>
          <w:shd w:val="clear" w:color="auto" w:fill="FFFFFF"/>
          <w:lang w:val="en-US"/>
        </w:rPr>
      </w:pPr>
      <w:r w:rsidRPr="00B87042">
        <w:rPr>
          <w:szCs w:val="19"/>
          <w:shd w:val="clear" w:color="auto" w:fill="FFFFFF"/>
          <w:lang w:val="en-US"/>
        </w:rPr>
        <w:br w:type="page"/>
      </w:r>
    </w:p>
    <w:p w14:paraId="7BDD4B25" w14:textId="77777777" w:rsidR="006D200A" w:rsidRPr="00B87042" w:rsidRDefault="006D200A" w:rsidP="006D200A">
      <w:pPr>
        <w:rPr>
          <w:b/>
          <w:sz w:val="18"/>
          <w:szCs w:val="18"/>
          <w:shd w:val="clear" w:color="auto" w:fill="FFFFFF"/>
          <w:lang w:val="en-US"/>
        </w:rPr>
      </w:pPr>
      <w:r w:rsidRPr="00B87042">
        <w:rPr>
          <w:b/>
          <w:sz w:val="18"/>
          <w:szCs w:val="18"/>
          <w:shd w:val="clear" w:color="auto" w:fill="FFFFFF"/>
          <w:lang w:val="en-US"/>
        </w:rPr>
        <w:lastRenderedPageBreak/>
        <w:t xml:space="preserve">Chart 1. Consumption of gas from gas supply system per capita in households in 2017 </w:t>
      </w:r>
    </w:p>
    <w:p w14:paraId="47948E69" w14:textId="77777777" w:rsidR="006D200A" w:rsidRPr="00B87042" w:rsidRDefault="006D200A" w:rsidP="006D200A">
      <w:pPr>
        <w:spacing w:before="0" w:after="160" w:line="259" w:lineRule="auto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43232" behindDoc="0" locked="0" layoutInCell="1" allowOverlap="1" wp14:anchorId="4E66CFAD" wp14:editId="214710A2">
            <wp:simplePos x="0" y="0"/>
            <wp:positionH relativeFrom="margin">
              <wp:align>right</wp:align>
            </wp:positionH>
            <wp:positionV relativeFrom="paragraph">
              <wp:posOffset>8637</wp:posOffset>
            </wp:positionV>
            <wp:extent cx="5124450" cy="3602736"/>
            <wp:effectExtent l="0" t="0" r="0" b="0"/>
            <wp:wrapNone/>
            <wp:docPr id="250" name="Wykres 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827CA" w14:textId="77777777" w:rsidR="006D200A" w:rsidRPr="00B87042" w:rsidRDefault="006D200A" w:rsidP="006D200A">
      <w:pPr>
        <w:rPr>
          <w:lang w:val="en-US"/>
        </w:rPr>
      </w:pPr>
    </w:p>
    <w:p w14:paraId="048B3B77" w14:textId="77777777" w:rsidR="006D200A" w:rsidRPr="00B87042" w:rsidRDefault="006D200A" w:rsidP="006D200A">
      <w:pPr>
        <w:rPr>
          <w:lang w:val="en-US"/>
        </w:rPr>
      </w:pPr>
    </w:p>
    <w:p w14:paraId="6C74F7DB" w14:textId="77777777" w:rsidR="006D200A" w:rsidRPr="00B87042" w:rsidRDefault="006D200A" w:rsidP="006D200A">
      <w:pPr>
        <w:rPr>
          <w:lang w:val="en-US"/>
        </w:rPr>
      </w:pPr>
    </w:p>
    <w:p w14:paraId="5E556C2A" w14:textId="77777777" w:rsidR="006D200A" w:rsidRPr="00B87042" w:rsidRDefault="006D200A" w:rsidP="006D200A">
      <w:pPr>
        <w:rPr>
          <w:lang w:val="en-US"/>
        </w:rPr>
      </w:pPr>
    </w:p>
    <w:p w14:paraId="0E237EC6" w14:textId="77777777" w:rsidR="006D200A" w:rsidRPr="00B87042" w:rsidRDefault="006D200A" w:rsidP="006D200A">
      <w:pPr>
        <w:rPr>
          <w:lang w:val="en-US"/>
        </w:rPr>
      </w:pPr>
    </w:p>
    <w:p w14:paraId="02C31A8B" w14:textId="77777777" w:rsidR="006D200A" w:rsidRPr="00B87042" w:rsidRDefault="006D200A" w:rsidP="006D200A">
      <w:pPr>
        <w:rPr>
          <w:lang w:val="en-US"/>
        </w:rPr>
      </w:pPr>
    </w:p>
    <w:p w14:paraId="11DE0B35" w14:textId="77777777" w:rsidR="006D200A" w:rsidRPr="00B87042" w:rsidRDefault="006D200A" w:rsidP="006D200A">
      <w:pPr>
        <w:rPr>
          <w:lang w:val="en-US"/>
        </w:rPr>
      </w:pPr>
    </w:p>
    <w:p w14:paraId="0E60B964" w14:textId="77777777" w:rsidR="006D200A" w:rsidRPr="00B87042" w:rsidRDefault="006D200A" w:rsidP="006D200A">
      <w:pPr>
        <w:rPr>
          <w:lang w:val="en-US"/>
        </w:rPr>
      </w:pPr>
    </w:p>
    <w:p w14:paraId="2FB4E03C" w14:textId="77777777" w:rsidR="006D200A" w:rsidRPr="00B87042" w:rsidRDefault="006D200A" w:rsidP="006D200A">
      <w:pPr>
        <w:rPr>
          <w:lang w:val="en-US"/>
        </w:rPr>
      </w:pPr>
    </w:p>
    <w:p w14:paraId="490B2C65" w14:textId="77777777" w:rsidR="006D200A" w:rsidRPr="00B87042" w:rsidRDefault="006D200A" w:rsidP="006D200A">
      <w:pPr>
        <w:rPr>
          <w:lang w:val="en-US"/>
        </w:rPr>
      </w:pPr>
    </w:p>
    <w:p w14:paraId="4CB30D49" w14:textId="77777777" w:rsidR="006D200A" w:rsidRPr="00B87042" w:rsidRDefault="006D200A" w:rsidP="006D200A">
      <w:pPr>
        <w:rPr>
          <w:lang w:val="en-US"/>
        </w:rPr>
      </w:pPr>
    </w:p>
    <w:p w14:paraId="0C118742" w14:textId="77777777" w:rsidR="006D200A" w:rsidRPr="00B87042" w:rsidRDefault="006D200A" w:rsidP="006D200A">
      <w:pPr>
        <w:rPr>
          <w:lang w:val="en-US"/>
        </w:rPr>
      </w:pPr>
    </w:p>
    <w:p w14:paraId="177EAB5F" w14:textId="77777777" w:rsidR="006D200A" w:rsidRPr="00B87042" w:rsidRDefault="006D200A" w:rsidP="006D200A">
      <w:pPr>
        <w:rPr>
          <w:lang w:val="en-US"/>
        </w:rPr>
      </w:pPr>
    </w:p>
    <w:p w14:paraId="71811E6C" w14:textId="77777777" w:rsidR="006D200A" w:rsidRPr="00B87042" w:rsidRDefault="006D200A" w:rsidP="006D200A">
      <w:pPr>
        <w:rPr>
          <w:lang w:val="en-US"/>
        </w:rPr>
      </w:pPr>
    </w:p>
    <w:p w14:paraId="0178F6F2" w14:textId="77777777" w:rsidR="006D200A" w:rsidRPr="00B87042" w:rsidRDefault="006D200A" w:rsidP="006D200A">
      <w:pPr>
        <w:rPr>
          <w:lang w:val="en-US"/>
        </w:rPr>
      </w:pPr>
    </w:p>
    <w:p w14:paraId="18A64FFF" w14:textId="5838A57C" w:rsidR="006D200A" w:rsidRPr="00B87042" w:rsidRDefault="00B87042" w:rsidP="00B87042">
      <w:pPr>
        <w:pStyle w:val="Nagwek1"/>
        <w:spacing w:before="0" w:after="0"/>
        <w:rPr>
          <w:lang w:val="en-US"/>
        </w:rPr>
      </w:pPr>
      <w:r w:rsidRPr="00B87042">
        <w:rPr>
          <w:rFonts w:ascii="Fira Sans" w:hAnsi="Fira Sans"/>
          <w:b/>
          <w:lang w:val="en-US"/>
        </w:rPr>
        <w:t>Consumption of electricity in households</w:t>
      </w:r>
      <w:r w:rsidR="006D200A">
        <w:rPr>
          <w:b/>
          <w:noProof/>
          <w:color w:val="212492"/>
          <w:szCs w:val="19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223AAEF2" wp14:editId="40563A0E">
                <wp:simplePos x="0" y="0"/>
                <wp:positionH relativeFrom="rightMargin">
                  <wp:posOffset>29569</wp:posOffset>
                </wp:positionH>
                <wp:positionV relativeFrom="paragraph">
                  <wp:posOffset>147790</wp:posOffset>
                </wp:positionV>
                <wp:extent cx="1847850" cy="897890"/>
                <wp:effectExtent l="0" t="0" r="0" b="0"/>
                <wp:wrapTight wrapText="bothSides">
                  <wp:wrapPolygon edited="0">
                    <wp:start x="668" y="0"/>
                    <wp:lineTo x="668" y="21081"/>
                    <wp:lineTo x="20709" y="21081"/>
                    <wp:lineTo x="20709" y="0"/>
                    <wp:lineTo x="668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D68F" w14:textId="2D296726" w:rsidR="006D200A" w:rsidRPr="00B87042" w:rsidRDefault="006D200A" w:rsidP="006D200A">
                            <w:pPr>
                              <w:pStyle w:val="tekstzboku"/>
                              <w:spacing w:before="0"/>
                              <w:rPr>
                                <w:lang w:val="en-US"/>
                              </w:rPr>
                            </w:pPr>
                            <w:r w:rsidRPr="00B87042">
                              <w:rPr>
                                <w:lang w:val="en-US"/>
                              </w:rPr>
                              <w:t>In 2017 the consumption of electricity per consumer decreased by 0.2% as c</w:t>
                            </w:r>
                            <w:r w:rsidR="00DC217E" w:rsidRPr="00B87042">
                              <w:rPr>
                                <w:lang w:val="en-US"/>
                              </w:rPr>
                              <w:t>ompared to 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AEF2" id="_x0000_s1030" type="#_x0000_t202" style="position:absolute;margin-left:2.35pt;margin-top:11.65pt;width:145.5pt;height:70.7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" filled="f" stroked="f">
                <v:textbox>
                  <w:txbxContent>
                    <w:p w14:paraId="50B8D68F" w14:textId="2D296726" w:rsidR="006D200A" w:rsidRPr="00B87042" w:rsidRDefault="006D200A" w:rsidP="006D200A">
                      <w:pPr>
                        <w:pStyle w:val="tekstzboku"/>
                        <w:spacing w:before="0"/>
                        <w:rPr>
                          <w:lang w:val="en-US"/>
                        </w:rPr>
                      </w:pPr>
                      <w:r w:rsidRPr="00B87042">
                        <w:rPr>
                          <w:lang w:val="en-US"/>
                        </w:rPr>
                        <w:t>In 2017 the consumption of electricity per consumer decreased by 0.2% as c</w:t>
                      </w:r>
                      <w:r w:rsidR="00DC217E" w:rsidRPr="00B87042">
                        <w:rPr>
                          <w:lang w:val="en-US"/>
                        </w:rPr>
                        <w:t>ompared to the previous year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57B850" w14:textId="77777777" w:rsidR="006D200A" w:rsidRPr="00B87042" w:rsidRDefault="006D200A" w:rsidP="006D200A">
      <w:pPr>
        <w:rPr>
          <w:lang w:val="en-US"/>
        </w:rPr>
      </w:pPr>
      <w:r w:rsidRPr="00B87042">
        <w:rPr>
          <w:lang w:val="en-US"/>
        </w:rPr>
        <w:t>In 2017 as compared to the previous year consumption of electricity per consumer in Poland decreased by 0.2% and amounted to 1 962.6 kWh. In urban areas the consumption decreased by 1.0% (1 736.8 kWh per consumer), while in rural areas there was an increase of 0.9% (2 407.3 kWh per consumer).</w:t>
      </w:r>
    </w:p>
    <w:p w14:paraId="2346AFC4" w14:textId="73E05A6C" w:rsidR="006D200A" w:rsidRPr="00B87042" w:rsidRDefault="006D200A" w:rsidP="006D200A">
      <w:pPr>
        <w:rPr>
          <w:lang w:val="en-US"/>
        </w:rPr>
      </w:pPr>
      <w:r w:rsidRPr="00B87042">
        <w:rPr>
          <w:lang w:val="en-US"/>
        </w:rPr>
        <w:t>Over the last years, lower electricity consumption in households has been observed. This phenomenon is the result of changes in behaviour of population, i.a. through upgrading of</w:t>
      </w:r>
      <w:r w:rsidR="00F977ED" w:rsidRPr="00B87042">
        <w:rPr>
          <w:lang w:val="en-US"/>
        </w:rPr>
        <w:t> </w:t>
      </w:r>
      <w:r w:rsidRPr="00B87042">
        <w:rPr>
          <w:lang w:val="en-US"/>
        </w:rPr>
        <w:t>household appliances and lighting to those of higher energy efficiency class.</w:t>
      </w:r>
    </w:p>
    <w:p w14:paraId="5142BC67" w14:textId="77777777" w:rsidR="00DC217E" w:rsidRPr="00B87042" w:rsidRDefault="00DC217E" w:rsidP="006D200A">
      <w:pPr>
        <w:rPr>
          <w:lang w:val="en-US"/>
        </w:rPr>
      </w:pPr>
    </w:p>
    <w:p w14:paraId="69D1B423" w14:textId="77777777" w:rsidR="006D200A" w:rsidRDefault="006D200A" w:rsidP="006D200A">
      <w:pPr>
        <w:rPr>
          <w:b/>
          <w:sz w:val="18"/>
          <w:szCs w:val="18"/>
          <w:shd w:val="clear" w:color="auto" w:fill="FFFFFF"/>
          <w:lang w:val="en-US"/>
        </w:rPr>
      </w:pPr>
      <w:r w:rsidRPr="00410625">
        <w:rPr>
          <w:b/>
          <w:sz w:val="18"/>
          <w:szCs w:val="18"/>
          <w:shd w:val="clear" w:color="auto" w:fill="FFFFFF"/>
          <w:lang w:val="en-US"/>
        </w:rPr>
        <w:t>Chart 2</w:t>
      </w:r>
      <w:r>
        <w:rPr>
          <w:b/>
          <w:sz w:val="18"/>
          <w:szCs w:val="18"/>
          <w:shd w:val="clear" w:color="auto" w:fill="FFFFFF"/>
          <w:lang w:val="en-US"/>
        </w:rPr>
        <w:t>.</w:t>
      </w:r>
      <w:r w:rsidRPr="00410625">
        <w:rPr>
          <w:b/>
          <w:sz w:val="18"/>
          <w:szCs w:val="18"/>
          <w:shd w:val="clear" w:color="auto" w:fill="FFFFFF"/>
          <w:lang w:val="en-US"/>
        </w:rPr>
        <w:t xml:space="preserve"> Consumption of electricity per capita</w:t>
      </w:r>
      <w:r>
        <w:rPr>
          <w:b/>
          <w:sz w:val="18"/>
          <w:szCs w:val="18"/>
          <w:shd w:val="clear" w:color="auto" w:fill="FFFFFF"/>
          <w:lang w:val="en-US"/>
        </w:rPr>
        <w:t xml:space="preserve"> in households</w:t>
      </w:r>
      <w:r w:rsidRPr="00410625">
        <w:rPr>
          <w:b/>
          <w:sz w:val="18"/>
          <w:szCs w:val="18"/>
          <w:shd w:val="clear" w:color="auto" w:fill="FFFFFF"/>
          <w:lang w:val="en-US"/>
        </w:rPr>
        <w:t xml:space="preserve"> in urban areas </w:t>
      </w:r>
      <w:r>
        <w:rPr>
          <w:b/>
          <w:sz w:val="18"/>
          <w:szCs w:val="18"/>
          <w:shd w:val="clear" w:color="auto" w:fill="FFFFFF"/>
          <w:lang w:val="en-US"/>
        </w:rPr>
        <w:t>in 2017</w:t>
      </w:r>
    </w:p>
    <w:p w14:paraId="58A8ED63" w14:textId="77777777" w:rsidR="006D200A" w:rsidRPr="00410625" w:rsidRDefault="006D200A" w:rsidP="006D200A">
      <w:pPr>
        <w:rPr>
          <w:lang w:val="en-US"/>
        </w:rPr>
      </w:pPr>
      <w:r w:rsidRPr="008103B2">
        <w:rPr>
          <w:b/>
          <w:noProof/>
          <w:sz w:val="18"/>
          <w:szCs w:val="18"/>
          <w:shd w:val="clear" w:color="auto" w:fill="FFFFFF"/>
          <w:lang w:eastAsia="pl-PL"/>
        </w:rPr>
        <w:drawing>
          <wp:anchor distT="0" distB="0" distL="114300" distR="114300" simplePos="0" relativeHeight="251745280" behindDoc="0" locked="0" layoutInCell="1" allowOverlap="1" wp14:anchorId="46FDF125" wp14:editId="31734784">
            <wp:simplePos x="0" y="0"/>
            <wp:positionH relativeFrom="margin">
              <wp:align>right</wp:align>
            </wp:positionH>
            <wp:positionV relativeFrom="paragraph">
              <wp:posOffset>8060</wp:posOffset>
            </wp:positionV>
            <wp:extent cx="5124450" cy="3771900"/>
            <wp:effectExtent l="0" t="0" r="0" b="0"/>
            <wp:wrapNone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</w:p>
    <w:p w14:paraId="63A7DF21" w14:textId="77777777" w:rsidR="006D200A" w:rsidRPr="00410625" w:rsidRDefault="006D200A" w:rsidP="006D200A">
      <w:pPr>
        <w:rPr>
          <w:lang w:val="en-US"/>
        </w:rPr>
      </w:pPr>
    </w:p>
    <w:p w14:paraId="3A27F1F8" w14:textId="77777777" w:rsidR="006D200A" w:rsidRPr="00410625" w:rsidRDefault="006D200A" w:rsidP="006D200A">
      <w:pPr>
        <w:rPr>
          <w:lang w:val="en-US"/>
        </w:rPr>
      </w:pPr>
    </w:p>
    <w:p w14:paraId="297A9009" w14:textId="77777777" w:rsidR="006D200A" w:rsidRPr="00410625" w:rsidRDefault="006D200A" w:rsidP="006D200A">
      <w:pPr>
        <w:rPr>
          <w:lang w:val="en-US"/>
        </w:rPr>
      </w:pPr>
    </w:p>
    <w:p w14:paraId="5DF4740C" w14:textId="77777777" w:rsidR="006D200A" w:rsidRPr="00410625" w:rsidRDefault="006D200A" w:rsidP="006D200A">
      <w:pPr>
        <w:rPr>
          <w:lang w:val="en-US"/>
        </w:rPr>
      </w:pPr>
    </w:p>
    <w:p w14:paraId="0614D4D8" w14:textId="77777777" w:rsidR="006D200A" w:rsidRPr="00410625" w:rsidRDefault="006D200A" w:rsidP="006D200A">
      <w:pPr>
        <w:rPr>
          <w:lang w:val="en-US"/>
        </w:rPr>
      </w:pPr>
    </w:p>
    <w:p w14:paraId="683605D5" w14:textId="77777777" w:rsidR="006D200A" w:rsidRPr="00410625" w:rsidRDefault="006D200A" w:rsidP="006D200A">
      <w:pPr>
        <w:rPr>
          <w:lang w:val="en-US"/>
        </w:rPr>
      </w:pPr>
    </w:p>
    <w:p w14:paraId="7B8AB263" w14:textId="77777777" w:rsidR="006D200A" w:rsidRPr="00410625" w:rsidRDefault="006D200A" w:rsidP="006D200A">
      <w:pPr>
        <w:rPr>
          <w:lang w:val="en-US"/>
        </w:rPr>
      </w:pPr>
    </w:p>
    <w:p w14:paraId="12EA8364" w14:textId="77777777" w:rsidR="006D200A" w:rsidRPr="00410625" w:rsidRDefault="006D200A" w:rsidP="006D200A">
      <w:pPr>
        <w:rPr>
          <w:lang w:val="en-US"/>
        </w:rPr>
      </w:pPr>
    </w:p>
    <w:p w14:paraId="49BF5DE2" w14:textId="77777777" w:rsidR="006D200A" w:rsidRPr="00410625" w:rsidRDefault="006D200A" w:rsidP="006D200A">
      <w:pPr>
        <w:rPr>
          <w:lang w:val="en-US"/>
        </w:rPr>
      </w:pPr>
    </w:p>
    <w:p w14:paraId="4D8176AD" w14:textId="77777777" w:rsidR="006D200A" w:rsidRPr="00410625" w:rsidRDefault="006D200A" w:rsidP="006D200A">
      <w:pPr>
        <w:rPr>
          <w:lang w:val="en-US"/>
        </w:rPr>
      </w:pPr>
    </w:p>
    <w:p w14:paraId="7AB2A0F0" w14:textId="77777777" w:rsidR="006D200A" w:rsidRPr="00410625" w:rsidRDefault="006D200A" w:rsidP="006D200A">
      <w:pPr>
        <w:rPr>
          <w:lang w:val="en-US"/>
        </w:rPr>
      </w:pPr>
    </w:p>
    <w:p w14:paraId="31D50C14" w14:textId="77777777" w:rsidR="006D200A" w:rsidRPr="00410625" w:rsidRDefault="006D200A" w:rsidP="006D200A">
      <w:pPr>
        <w:rPr>
          <w:lang w:val="en-US"/>
        </w:rPr>
      </w:pPr>
    </w:p>
    <w:p w14:paraId="553D1C87" w14:textId="77777777" w:rsidR="006D200A" w:rsidRPr="00410625" w:rsidRDefault="006D200A" w:rsidP="006D200A">
      <w:pPr>
        <w:rPr>
          <w:lang w:val="en-US"/>
        </w:rPr>
      </w:pPr>
    </w:p>
    <w:p w14:paraId="247C48E7" w14:textId="77777777" w:rsidR="006D200A" w:rsidRPr="00410625" w:rsidRDefault="006D200A" w:rsidP="006D200A">
      <w:pPr>
        <w:rPr>
          <w:lang w:val="en-US"/>
        </w:rPr>
      </w:pPr>
    </w:p>
    <w:p w14:paraId="4F0581EF" w14:textId="77777777" w:rsidR="006D200A" w:rsidRPr="00410625" w:rsidRDefault="006D200A" w:rsidP="006D200A">
      <w:pPr>
        <w:rPr>
          <w:lang w:val="en-US"/>
        </w:rPr>
      </w:pPr>
    </w:p>
    <w:p w14:paraId="21569A9F" w14:textId="77777777" w:rsidR="006D200A" w:rsidRPr="00B87042" w:rsidRDefault="006D200A" w:rsidP="006D200A">
      <w:pPr>
        <w:spacing w:before="0" w:after="0"/>
        <w:rPr>
          <w:rFonts w:eastAsia="Times New Roman" w:cs="Times New Roman"/>
          <w:b/>
          <w:bCs/>
          <w:color w:val="001D77"/>
          <w:szCs w:val="19"/>
          <w:lang w:val="en-US"/>
        </w:rPr>
      </w:pPr>
      <w:r>
        <w:rPr>
          <w:noProof/>
          <w:szCs w:val="19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1F30D2" wp14:editId="71A0C6B2">
                <wp:simplePos x="0" y="0"/>
                <wp:positionH relativeFrom="column">
                  <wp:posOffset>5219700</wp:posOffset>
                </wp:positionH>
                <wp:positionV relativeFrom="paragraph">
                  <wp:posOffset>97790</wp:posOffset>
                </wp:positionV>
                <wp:extent cx="1656080" cy="9906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EBEAC" w14:textId="08FE044F" w:rsidR="006D200A" w:rsidRPr="00B87042" w:rsidRDefault="006D200A" w:rsidP="006D200A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B87042">
                              <w:rPr>
                                <w:lang w:val="en-US"/>
                              </w:rPr>
                              <w:t>The highest density of heat supply network was observed in śląskie voivodship and the lowest in l</w:t>
                            </w:r>
                            <w:r w:rsidR="00DC217E" w:rsidRPr="00B87042">
                              <w:rPr>
                                <w:lang w:val="en-US"/>
                              </w:rPr>
                              <w:t>ubuskie voivodship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30D2" id="Text Box 23" o:spid="_x0000_s1031" type="#_x0000_t202" style="position:absolute;margin-left:411pt;margin-top:7.7pt;width:130.4pt;height:7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" filled="f" stroked="f">
                <v:fill opacity="0"/>
                <v:textbox>
                  <w:txbxContent>
                    <w:p w14:paraId="11DEBEAC" w14:textId="08FE044F" w:rsidR="006D200A" w:rsidRPr="00B87042" w:rsidRDefault="006D200A" w:rsidP="006D200A">
                      <w:pPr>
                        <w:pStyle w:val="tekstzboku"/>
                        <w:rPr>
                          <w:lang w:val="en-US"/>
                        </w:rPr>
                      </w:pPr>
                      <w:r w:rsidRPr="00B87042">
                        <w:rPr>
                          <w:lang w:val="en-US"/>
                        </w:rPr>
                        <w:t>The highest density of heat supply network was observed in śląskie voivodship and the lowest in l</w:t>
                      </w:r>
                      <w:r w:rsidR="00DC217E" w:rsidRPr="00B87042">
                        <w:rPr>
                          <w:lang w:val="en-US"/>
                        </w:rPr>
                        <w:t>ubuskie voivodship</w:t>
                      </w:r>
                    </w:p>
                  </w:txbxContent>
                </v:textbox>
              </v:shape>
            </w:pict>
          </mc:Fallback>
        </mc:AlternateContent>
      </w:r>
      <w:r w:rsidRPr="00B87042">
        <w:rPr>
          <w:b/>
          <w:bCs/>
          <w:color w:val="001D77"/>
          <w:szCs w:val="19"/>
          <w:lang w:val="en-US"/>
        </w:rPr>
        <w:t>Heat supply system</w:t>
      </w:r>
    </w:p>
    <w:p w14:paraId="127695B7" w14:textId="77777777" w:rsidR="006D200A" w:rsidRPr="00B87042" w:rsidRDefault="006D200A" w:rsidP="006D200A">
      <w:pPr>
        <w:spacing w:before="0" w:after="0" w:line="240" w:lineRule="auto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14:paraId="6A5A39B0" w14:textId="6349A04B" w:rsidR="006D200A" w:rsidRPr="00B87042" w:rsidRDefault="006D200A" w:rsidP="006D200A">
      <w:pPr>
        <w:spacing w:before="0" w:after="0"/>
        <w:rPr>
          <w:spacing w:val="-2"/>
          <w:szCs w:val="19"/>
          <w:lang w:val="en-US"/>
        </w:rPr>
      </w:pPr>
      <w:r w:rsidRPr="00B87042">
        <w:rPr>
          <w:lang w:val="en-US"/>
        </w:rPr>
        <w:t>Length of heat supply system in total in 2017 amounted to 25 232.2 km, of which length of</w:t>
      </w:r>
      <w:r w:rsidR="00F977ED" w:rsidRPr="00B87042">
        <w:rPr>
          <w:lang w:val="en-US"/>
        </w:rPr>
        <w:t> </w:t>
      </w:r>
      <w:r w:rsidRPr="00B87042">
        <w:rPr>
          <w:lang w:val="en-US"/>
        </w:rPr>
        <w:t>heat distribution network was 16 381.1 km, and the connections to buildings 8 851.1 km. In</w:t>
      </w:r>
      <w:r w:rsidR="00F977ED" w:rsidRPr="00B87042">
        <w:rPr>
          <w:lang w:val="en-US"/>
        </w:rPr>
        <w:t> </w:t>
      </w:r>
      <w:r w:rsidRPr="00B87042">
        <w:rPr>
          <w:lang w:val="en-US"/>
        </w:rPr>
        <w:t>spatial arrangement in Poland, the highest density of heat supply system was observed in</w:t>
      </w:r>
      <w:r w:rsidR="00F977ED" w:rsidRPr="00B87042">
        <w:rPr>
          <w:lang w:val="en-US"/>
        </w:rPr>
        <w:t> </w:t>
      </w:r>
      <w:r w:rsidRPr="00B87042">
        <w:rPr>
          <w:lang w:val="en-US"/>
        </w:rPr>
        <w:t>the areas of the following voivodships: śląskie (30.1 km per 100 km</w:t>
      </w:r>
      <w:r w:rsidRPr="00B87042">
        <w:rPr>
          <w:szCs w:val="19"/>
          <w:vertAlign w:val="superscript"/>
          <w:lang w:val="en-US"/>
        </w:rPr>
        <w:t>2</w:t>
      </w:r>
      <w:r w:rsidRPr="00B87042">
        <w:rPr>
          <w:lang w:val="en-US"/>
        </w:rPr>
        <w:t>), małopolskie (12.8 km per 100 km</w:t>
      </w:r>
      <w:r w:rsidRPr="00B87042">
        <w:rPr>
          <w:szCs w:val="19"/>
          <w:vertAlign w:val="superscript"/>
          <w:lang w:val="en-US"/>
        </w:rPr>
        <w:t>2</w:t>
      </w:r>
      <w:r w:rsidRPr="00B87042">
        <w:rPr>
          <w:lang w:val="en-US"/>
        </w:rPr>
        <w:t>), łódzkie (11.5 km per 100 km</w:t>
      </w:r>
      <w:r w:rsidRPr="00B87042">
        <w:rPr>
          <w:szCs w:val="19"/>
          <w:vertAlign w:val="superscript"/>
          <w:lang w:val="en-US"/>
        </w:rPr>
        <w:t>2</w:t>
      </w:r>
      <w:r w:rsidRPr="00B87042">
        <w:rPr>
          <w:lang w:val="en-US"/>
        </w:rPr>
        <w:t>) and pomorskie (10.2 km per 100 km</w:t>
      </w:r>
      <w:r w:rsidRPr="00B87042">
        <w:rPr>
          <w:szCs w:val="19"/>
          <w:vertAlign w:val="superscript"/>
          <w:lang w:val="en-US"/>
        </w:rPr>
        <w:t>2</w:t>
      </w:r>
      <w:r w:rsidRPr="00B87042">
        <w:rPr>
          <w:lang w:val="en-US"/>
        </w:rPr>
        <w:t>), while the</w:t>
      </w:r>
      <w:r w:rsidR="00F977ED" w:rsidRPr="00B87042">
        <w:rPr>
          <w:lang w:val="en-US"/>
        </w:rPr>
        <w:t> </w:t>
      </w:r>
      <w:r w:rsidRPr="00B87042">
        <w:rPr>
          <w:lang w:val="en-US"/>
        </w:rPr>
        <w:t xml:space="preserve">lowest – in </w:t>
      </w:r>
      <w:r w:rsidR="00F977ED" w:rsidRPr="00B87042">
        <w:rPr>
          <w:lang w:val="en-US"/>
        </w:rPr>
        <w:t>l</w:t>
      </w:r>
      <w:r w:rsidRPr="00B87042">
        <w:rPr>
          <w:lang w:val="en-US"/>
        </w:rPr>
        <w:t>ubuskie voivodship (3.6 km per 100 km</w:t>
      </w:r>
      <w:r w:rsidRPr="00B87042">
        <w:rPr>
          <w:szCs w:val="19"/>
          <w:vertAlign w:val="superscript"/>
          <w:lang w:val="en-US"/>
        </w:rPr>
        <w:t>2</w:t>
      </w:r>
      <w:r w:rsidRPr="00B87042">
        <w:rPr>
          <w:lang w:val="en-US"/>
        </w:rPr>
        <w:t>).</w:t>
      </w:r>
    </w:p>
    <w:p w14:paraId="2263F539" w14:textId="77777777" w:rsidR="006D200A" w:rsidRPr="00B87042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6FC34ED7" w14:textId="77777777" w:rsidR="006D200A" w:rsidRPr="00410625" w:rsidRDefault="006D200A" w:rsidP="006D200A">
      <w:pPr>
        <w:spacing w:before="0" w:after="0"/>
        <w:rPr>
          <w:b/>
          <w:spacing w:val="-2"/>
          <w:sz w:val="18"/>
          <w:lang w:val="en-US"/>
        </w:rPr>
      </w:pPr>
      <w:r w:rsidRPr="001D00AA">
        <w:rPr>
          <w:b/>
          <w:spacing w:val="-2"/>
          <w:sz w:val="18"/>
          <w:lang w:val="en-GB"/>
        </w:rPr>
        <w:t xml:space="preserve">Chart 3. </w:t>
      </w:r>
      <w:r w:rsidRPr="00410625">
        <w:rPr>
          <w:b/>
          <w:spacing w:val="-2"/>
          <w:sz w:val="18"/>
          <w:lang w:val="en-US"/>
        </w:rPr>
        <w:t xml:space="preserve">Infrastructure of heat supply network in 2017 </w:t>
      </w:r>
    </w:p>
    <w:p w14:paraId="32B484B8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52544F00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46304" behindDoc="0" locked="0" layoutInCell="1" allowOverlap="1" wp14:anchorId="3FF395C6" wp14:editId="7EC5913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24450" cy="5334000"/>
            <wp:effectExtent l="0" t="0" r="0" b="0"/>
            <wp:wrapNone/>
            <wp:docPr id="15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789C5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2A1D0B15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373EE72B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03371B7D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74264D18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7C6884E2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50BEC9E9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4254DA91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4C51CE3B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79619A4D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30697941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595D8110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732D2378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25B69893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6907FB1E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7239A52E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2882DC82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3F523860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504989D9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303A34E8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440C7169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2C67ADC6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20825C99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442720FD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2C2967B9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4B7CE791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11CC8AD5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6EF6C918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0C8D9502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2E9A27CC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6AF58E2E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695C6914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19381389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17523E7F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49344BCD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764CE41E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7ED83B45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</w:p>
    <w:p w14:paraId="4866C751" w14:textId="77777777" w:rsidR="006D200A" w:rsidRPr="00410625" w:rsidRDefault="006D200A" w:rsidP="006D200A">
      <w:pPr>
        <w:spacing w:before="0" w:after="0"/>
        <w:rPr>
          <w:spacing w:val="-2"/>
          <w:szCs w:val="19"/>
          <w:lang w:val="en-US"/>
        </w:rPr>
      </w:pPr>
      <w:r>
        <w:rPr>
          <w:b/>
          <w:noProof/>
          <w:color w:val="212492"/>
          <w:sz w:val="12"/>
          <w:szCs w:val="12"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7C5FCA7B" wp14:editId="01E7CE31">
                <wp:simplePos x="0" y="0"/>
                <wp:positionH relativeFrom="column">
                  <wp:posOffset>5222571</wp:posOffset>
                </wp:positionH>
                <wp:positionV relativeFrom="paragraph">
                  <wp:posOffset>96741</wp:posOffset>
                </wp:positionV>
                <wp:extent cx="1567180" cy="868363"/>
                <wp:effectExtent l="0" t="0" r="0" b="0"/>
                <wp:wrapTight wrapText="bothSides">
                  <wp:wrapPolygon edited="0">
                    <wp:start x="788" y="0"/>
                    <wp:lineTo x="788" y="20857"/>
                    <wp:lineTo x="20742" y="20857"/>
                    <wp:lineTo x="20742" y="0"/>
                    <wp:lineTo x="788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868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696E" w14:textId="7E8A2BD3" w:rsidR="006D200A" w:rsidRPr="00B87042" w:rsidRDefault="006D200A" w:rsidP="006D200A">
                            <w:pPr>
                              <w:pStyle w:val="tekstzboku"/>
                              <w:spacing w:before="0"/>
                              <w:rPr>
                                <w:lang w:val="en-US"/>
                              </w:rPr>
                            </w:pPr>
                            <w:r w:rsidRPr="00B87042">
                              <w:rPr>
                                <w:lang w:val="en-US"/>
                              </w:rPr>
                              <w:t xml:space="preserve">More than 98% of heat energy was sold to </w:t>
                            </w:r>
                            <w:r w:rsidR="00DC217E" w:rsidRPr="00B87042">
                              <w:rPr>
                                <w:lang w:val="en-US"/>
                              </w:rPr>
                              <w:t>inhabitants of urban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CA7B" id="_x0000_s1032" type="#_x0000_t202" style="position:absolute;margin-left:411.25pt;margin-top:7.6pt;width:123.4pt;height:68.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" filled="f" stroked="f">
                <v:textbox>
                  <w:txbxContent>
                    <w:p w14:paraId="6DD1696E" w14:textId="7E8A2BD3" w:rsidR="006D200A" w:rsidRPr="00B87042" w:rsidRDefault="006D200A" w:rsidP="006D200A">
                      <w:pPr>
                        <w:pStyle w:val="tekstzboku"/>
                        <w:spacing w:before="0"/>
                        <w:rPr>
                          <w:lang w:val="en-US"/>
                        </w:rPr>
                      </w:pPr>
                      <w:r w:rsidRPr="00B87042">
                        <w:rPr>
                          <w:lang w:val="en-US"/>
                        </w:rPr>
                        <w:t xml:space="preserve">More than 98% of heat energy was sold to </w:t>
                      </w:r>
                      <w:r w:rsidR="00DC217E" w:rsidRPr="00B87042">
                        <w:rPr>
                          <w:lang w:val="en-US"/>
                        </w:rPr>
                        <w:t>inhabitants of urban areas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F95501" w14:textId="3B283F1D" w:rsidR="006D200A" w:rsidRPr="00B87042" w:rsidRDefault="006D200A" w:rsidP="006D200A">
      <w:pPr>
        <w:spacing w:before="0"/>
        <w:rPr>
          <w:spacing w:val="-2"/>
          <w:szCs w:val="19"/>
          <w:lang w:val="en-US"/>
        </w:rPr>
      </w:pPr>
      <w:r w:rsidRPr="00B87042">
        <w:rPr>
          <w:lang w:val="en-US"/>
        </w:rPr>
        <w:t>In 2017, 205.1 thous. TJ of heat energy was sold, of which 158.3 thous. TJ for heating purposes in residential buildings (77.2%). About 201.7 thous. TJ (98.3%) of heat energy was sold to inhabitants of urban areas, of which approximately 156.2 thous. TJ for heating purposes in</w:t>
      </w:r>
      <w:r w:rsidR="00F977ED" w:rsidRPr="00B87042">
        <w:rPr>
          <w:lang w:val="en-US"/>
        </w:rPr>
        <w:t> </w:t>
      </w:r>
      <w:r w:rsidRPr="00B87042">
        <w:rPr>
          <w:lang w:val="en-US"/>
        </w:rPr>
        <w:t>residential buildings.</w:t>
      </w:r>
    </w:p>
    <w:p w14:paraId="5D3ED463" w14:textId="77777777" w:rsidR="006D200A" w:rsidRPr="00B87042" w:rsidRDefault="006D200A" w:rsidP="006D200A">
      <w:pPr>
        <w:spacing w:before="0"/>
        <w:rPr>
          <w:spacing w:val="-2"/>
          <w:szCs w:val="19"/>
          <w:lang w:val="en-US"/>
        </w:rPr>
      </w:pPr>
      <w:r w:rsidRPr="00B87042">
        <w:rPr>
          <w:lang w:val="en-US"/>
        </w:rPr>
        <w:t xml:space="preserve">The largest amount of heat energy for heating purposes was generated using solid fuel (66.2%), followed by gas (31.7%), and oil (2.1%). </w:t>
      </w:r>
      <w:r w:rsidRPr="00B87042">
        <w:rPr>
          <w:lang w:val="en-US"/>
        </w:rPr>
        <w:br/>
      </w:r>
    </w:p>
    <w:p w14:paraId="08F30A87" w14:textId="77777777" w:rsidR="00694AF0" w:rsidRPr="00B87042" w:rsidRDefault="00694AF0" w:rsidP="00E76D26">
      <w:pPr>
        <w:rPr>
          <w:sz w:val="18"/>
          <w:lang w:val="en-US"/>
        </w:rPr>
      </w:pPr>
    </w:p>
    <w:p w14:paraId="08F30A88" w14:textId="77777777" w:rsidR="00694AF0" w:rsidRPr="00B87042" w:rsidRDefault="00694AF0" w:rsidP="00E76D26">
      <w:pPr>
        <w:rPr>
          <w:sz w:val="18"/>
          <w:lang w:val="en-US"/>
        </w:rPr>
        <w:sectPr w:rsidR="00694AF0" w:rsidRPr="00B87042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08F30A89" w14:textId="77777777" w:rsidR="000470AA" w:rsidRPr="00B87042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B87042" w14:paraId="08F30A94" w14:textId="77777777" w:rsidTr="00AC3FCE">
        <w:trPr>
          <w:trHeight w:val="1506"/>
        </w:trPr>
        <w:tc>
          <w:tcPr>
            <w:tcW w:w="4165" w:type="dxa"/>
          </w:tcPr>
          <w:p w14:paraId="08F30A8A" w14:textId="77777777" w:rsidR="000470AA" w:rsidRPr="00B87042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B87042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B87042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08F30A8B" w14:textId="252FA341" w:rsidR="000470AA" w:rsidRPr="00B87042" w:rsidRDefault="006D200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B87042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 Department</w:t>
            </w:r>
          </w:p>
          <w:p w14:paraId="08F30A8C" w14:textId="7D28FDD6" w:rsidR="000470AA" w:rsidRPr="00BB4F09" w:rsidRDefault="006D200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Marek Sobczyk</w:t>
            </w:r>
          </w:p>
          <w:p w14:paraId="08F30A8D" w14:textId="71E36333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D6420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6D200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6D200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D200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D200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</w:p>
          <w:p w14:paraId="08F30A8E" w14:textId="07295377" w:rsidR="000470AA" w:rsidRPr="008F3638" w:rsidRDefault="000470AA" w:rsidP="00494795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87042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0" w:history="1">
              <w:r w:rsidR="00494795" w:rsidRPr="00B87042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m.sobczyk@stat.gov.pl</w:t>
              </w:r>
            </w:hyperlink>
          </w:p>
        </w:tc>
        <w:tc>
          <w:tcPr>
            <w:tcW w:w="3728" w:type="dxa"/>
          </w:tcPr>
          <w:p w14:paraId="08F30A8F" w14:textId="77777777" w:rsidR="00AC3FCE" w:rsidRPr="00B87042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B87042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B87042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B87042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B87042">
              <w:rPr>
                <w:rFonts w:cs="Arial"/>
                <w:b/>
                <w:color w:val="000000" w:themeColor="text1"/>
                <w:sz w:val="20"/>
                <w:lang w:val="en-US"/>
              </w:rPr>
              <w:t>The Spokeperson</w:t>
            </w:r>
            <w:r w:rsidRPr="00B870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B87042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B870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B870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08F30A90" w14:textId="77777777" w:rsidR="000470AA" w:rsidRPr="00B87042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B87042">
              <w:rPr>
                <w:rFonts w:cs="Arial"/>
                <w:b/>
                <w:color w:val="000000" w:themeColor="text1"/>
                <w:sz w:val="20"/>
                <w:lang w:val="en-US"/>
              </w:rPr>
              <w:t>of the Statistic Poland</w:t>
            </w:r>
          </w:p>
          <w:p w14:paraId="08F30A91" w14:textId="77777777" w:rsidR="000470AA" w:rsidRPr="00B87042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B87042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 Dawidziuk</w:t>
            </w:r>
          </w:p>
          <w:p w14:paraId="08F30A92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D6420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22 608 3475, </w:t>
            </w:r>
            <w:r w:rsidR="00D6420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22 608 3009</w:t>
            </w:r>
          </w:p>
          <w:p w14:paraId="08F30A93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08F30A95" w14:textId="77777777" w:rsidR="000470AA" w:rsidRPr="00B87042" w:rsidRDefault="000470AA" w:rsidP="000470AA">
      <w:pPr>
        <w:rPr>
          <w:sz w:val="20"/>
          <w:lang w:val="en-US"/>
        </w:rPr>
      </w:pPr>
    </w:p>
    <w:p w14:paraId="08F30A96" w14:textId="77777777" w:rsidR="000470AA" w:rsidRPr="00B87042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B87042" w14:paraId="08F30A9D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8F30A97" w14:textId="77777777" w:rsidR="000470AA" w:rsidRPr="00B87042" w:rsidRDefault="001D2736" w:rsidP="000470AA">
            <w:pPr>
              <w:rPr>
                <w:b/>
                <w:sz w:val="20"/>
                <w:lang w:val="en-US"/>
              </w:rPr>
            </w:pPr>
            <w:r w:rsidRPr="00B87042">
              <w:rPr>
                <w:b/>
                <w:sz w:val="20"/>
                <w:lang w:val="en-US"/>
              </w:rPr>
              <w:t>Press Office</w:t>
            </w:r>
          </w:p>
          <w:p w14:paraId="08F30A98" w14:textId="77777777" w:rsidR="000470AA" w:rsidRPr="00B87042" w:rsidRDefault="000470AA" w:rsidP="000470AA">
            <w:pPr>
              <w:rPr>
                <w:sz w:val="20"/>
                <w:lang w:val="en-US"/>
              </w:rPr>
            </w:pPr>
            <w:r w:rsidRPr="00B87042">
              <w:rPr>
                <w:b/>
                <w:sz w:val="20"/>
                <w:lang w:val="en-US"/>
              </w:rPr>
              <w:t xml:space="preserve">tel.: </w:t>
            </w:r>
            <w:r w:rsidR="00D64203" w:rsidRPr="00B87042">
              <w:rPr>
                <w:sz w:val="20"/>
                <w:lang w:val="en-US"/>
              </w:rPr>
              <w:t>+48 22 608 34 91, +48 22</w:t>
            </w:r>
            <w:r w:rsidRPr="00B87042">
              <w:rPr>
                <w:sz w:val="20"/>
                <w:lang w:val="en-US"/>
              </w:rPr>
              <w:t xml:space="preserve"> 608 38 04 </w:t>
            </w:r>
          </w:p>
          <w:p w14:paraId="08F30A99" w14:textId="77777777" w:rsidR="000470AA" w:rsidRPr="00B87042" w:rsidRDefault="000470AA" w:rsidP="000470AA">
            <w:pPr>
              <w:rPr>
                <w:sz w:val="20"/>
                <w:lang w:val="en-US"/>
              </w:rPr>
            </w:pPr>
            <w:r w:rsidRPr="00B87042">
              <w:rPr>
                <w:b/>
                <w:sz w:val="20"/>
                <w:lang w:val="en-US"/>
              </w:rPr>
              <w:t>fa</w:t>
            </w:r>
            <w:r w:rsidR="001D2736" w:rsidRPr="00B87042">
              <w:rPr>
                <w:b/>
                <w:sz w:val="20"/>
                <w:lang w:val="en-US"/>
              </w:rPr>
              <w:t>x</w:t>
            </w:r>
            <w:r w:rsidRPr="00B87042">
              <w:rPr>
                <w:b/>
                <w:sz w:val="20"/>
                <w:lang w:val="en-US"/>
              </w:rPr>
              <w:t>:</w:t>
            </w:r>
            <w:r w:rsidR="00D64203" w:rsidRPr="00B87042">
              <w:rPr>
                <w:sz w:val="20"/>
                <w:lang w:val="en-US"/>
              </w:rPr>
              <w:t xml:space="preserve"> +48 22</w:t>
            </w:r>
            <w:r w:rsidRPr="00B87042">
              <w:rPr>
                <w:sz w:val="20"/>
                <w:lang w:val="en-US"/>
              </w:rPr>
              <w:t xml:space="preserve"> 608 38 86 </w:t>
            </w:r>
          </w:p>
          <w:p w14:paraId="08F30A9A" w14:textId="77777777" w:rsidR="000470AA" w:rsidRPr="00B87042" w:rsidRDefault="000470AA" w:rsidP="000470AA">
            <w:pPr>
              <w:rPr>
                <w:sz w:val="18"/>
                <w:lang w:val="en-US"/>
              </w:rPr>
            </w:pPr>
            <w:r w:rsidRPr="00B87042">
              <w:rPr>
                <w:b/>
                <w:sz w:val="20"/>
                <w:lang w:val="en-US"/>
              </w:rPr>
              <w:t>e-mail:</w:t>
            </w:r>
            <w:r w:rsidRPr="00B87042">
              <w:rPr>
                <w:sz w:val="20"/>
                <w:lang w:val="en-US"/>
              </w:rPr>
              <w:t xml:space="preserve"> </w:t>
            </w:r>
            <w:hyperlink r:id="rId22" w:history="1">
              <w:r w:rsidRPr="00B87042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08F30A9B" w14:textId="77777777" w:rsidR="000470AA" w:rsidRPr="00B8704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08F30AB1" wp14:editId="08F30AB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08F30A9C" w14:textId="77777777" w:rsidR="000470AA" w:rsidRPr="00B87042" w:rsidRDefault="000470AA" w:rsidP="000470AA">
            <w:pPr>
              <w:rPr>
                <w:sz w:val="18"/>
                <w:lang w:val="en-US"/>
              </w:rPr>
            </w:pPr>
            <w:r w:rsidRPr="00B87042">
              <w:rPr>
                <w:sz w:val="20"/>
                <w:lang w:val="en-US"/>
              </w:rPr>
              <w:t>www.stat.gov.pl</w:t>
            </w:r>
            <w:r w:rsidR="001D2736" w:rsidRPr="00B87042">
              <w:rPr>
                <w:sz w:val="20"/>
                <w:lang w:val="en-US"/>
              </w:rPr>
              <w:t>/en/</w:t>
            </w:r>
          </w:p>
        </w:tc>
      </w:tr>
      <w:tr w:rsidR="000470AA" w14:paraId="08F30AA1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08F30A9E" w14:textId="77777777" w:rsidR="000470AA" w:rsidRPr="00B87042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08F30A9F" w14:textId="77777777" w:rsidR="000470AA" w:rsidRPr="00B8704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08F30AB3" wp14:editId="08F30AB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8F30AA0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@StatPoland</w:t>
            </w:r>
          </w:p>
        </w:tc>
      </w:tr>
      <w:tr w:rsidR="000470AA" w14:paraId="08F30AA5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08F30AA2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08F30AA3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08F30AB5" wp14:editId="08F30AB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8F30AA4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08F30AA6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F30AB7" wp14:editId="08F30AB8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0AD6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08F30AD7" w14:textId="77777777" w:rsidR="00AB6D25" w:rsidRPr="00B87042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87042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08F30AD8" w14:textId="3083E109" w:rsidR="00AB6D25" w:rsidRPr="00B87042" w:rsidRDefault="00FF7EB9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6D200A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Municipal Infrastructure in 2016</w:t>
                              </w:r>
                            </w:hyperlink>
                          </w:p>
                          <w:p w14:paraId="08F30ADC" w14:textId="77777777" w:rsidR="00673C26" w:rsidRPr="00B87042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08F30ADD" w14:textId="77777777" w:rsidR="00AB6D25" w:rsidRPr="00B87042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87042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08F30ADF" w14:textId="304841CF" w:rsidR="00673C26" w:rsidRPr="00B87042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6D200A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Local Data Base</w:t>
                              </w:r>
                            </w:hyperlink>
                          </w:p>
                          <w:p w14:paraId="08F30AE0" w14:textId="77777777" w:rsidR="00AB6D25" w:rsidRPr="00B8704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08F30AE1" w14:textId="77777777" w:rsidR="00AB6D25" w:rsidRPr="00B87042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87042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B87042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B87042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08F30AE3" w14:textId="251C1C73" w:rsidR="00673C26" w:rsidRPr="00B87042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F73905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Gas transmission network</w:t>
                              </w:r>
                            </w:hyperlink>
                          </w:p>
                          <w:p w14:paraId="393B0B5D" w14:textId="213C4439" w:rsidR="00F73905" w:rsidRPr="00B87042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F73905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Gas supply distribution network</w:t>
                              </w:r>
                            </w:hyperlink>
                          </w:p>
                          <w:p w14:paraId="26D1EF16" w14:textId="187FB3AD" w:rsidR="00F73905" w:rsidRPr="00B87042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F73905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Gas supply connection</w:t>
                              </w:r>
                            </w:hyperlink>
                          </w:p>
                          <w:p w14:paraId="1CD30BF2" w14:textId="1BF37E17" w:rsidR="00F73905" w:rsidRPr="00B87042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F73905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Gas recipient</w:t>
                              </w:r>
                            </w:hyperlink>
                          </w:p>
                          <w:p w14:paraId="66650BDE" w14:textId="03529E4C" w:rsidR="00F73905" w:rsidRPr="00B87042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2" w:history="1">
                              <w:r w:rsidR="00F73905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Consumption of gas in households</w:t>
                              </w:r>
                            </w:hyperlink>
                          </w:p>
                          <w:p w14:paraId="0BD97BC2" w14:textId="73AF5975" w:rsidR="00F73905" w:rsidRPr="00B87042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3" w:history="1">
                              <w:r w:rsidR="00F73905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Distribution thermic-line</w:t>
                              </w:r>
                            </w:hyperlink>
                          </w:p>
                          <w:p w14:paraId="4C5A182A" w14:textId="6F4FE090" w:rsidR="00F73905" w:rsidRPr="00B87042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4" w:history="1">
                              <w:r w:rsidR="00F73905" w:rsidRPr="00B870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Transmission thermic-line</w:t>
                              </w:r>
                            </w:hyperlink>
                          </w:p>
                          <w:p w14:paraId="2947FF1D" w14:textId="49E6F462" w:rsidR="00F73905" w:rsidRPr="00673C26" w:rsidRDefault="00FF7EB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F73905" w:rsidRPr="00DC14C5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Energy consumption</w:t>
                              </w:r>
                            </w:hyperlink>
                          </w:p>
                          <w:p w14:paraId="08F30AE4" w14:textId="77777777" w:rsidR="00AB6D25" w:rsidRPr="00505A9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0AB7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08F30AD6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08F30AD7" w14:textId="77777777" w:rsidR="00AB6D25" w:rsidRPr="00B87042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B87042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08F30AD8" w14:textId="3083E109" w:rsidR="00AB6D25" w:rsidRPr="00B87042" w:rsidRDefault="00B87042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"http://stat.gov.pl/en/topics/municipal-infrastructure/municipal-infrastructure/municipal-infrastructure-in-2016,1,14.html"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6D200A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Municipal Infrastructure in 2016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08F30ADC" w14:textId="77777777" w:rsidR="00673C26" w:rsidRPr="00B87042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08F30ADD" w14:textId="77777777" w:rsidR="00AB6D25" w:rsidRPr="00B87042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87042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08F30ADF" w14:textId="304841CF" w:rsidR="00673C26" w:rsidRPr="00B87042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"https://bdl.stat.gov.pl/BDL/dane/podgrup/temat"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6D200A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Local Data Base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08F30AE0" w14:textId="77777777" w:rsidR="00AB6D25" w:rsidRPr="00B8704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08F30AE1" w14:textId="77777777" w:rsidR="00AB6D25" w:rsidRPr="00B87042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87042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B87042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B87042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08F30AE3" w14:textId="251C1C73" w:rsidR="00673C26" w:rsidRPr="00B87042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"http://stat.gov.pl/en/metainformations/glossary/terms-used-in-official-statistics/3307,term.html"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73905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Gas transmission network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393B0B5D" w14:textId="213C4439" w:rsidR="00F73905" w:rsidRPr="00B87042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"http://stat.gov.pl/en/metainformations/glossary/terms-used-in-official-statistics/83,term.html"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73905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Gas supply distribution network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26D1EF16" w14:textId="187FB3AD" w:rsidR="00F73905" w:rsidRPr="00B87042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"http://stat.gov.pl/en/metainformations/glossary/terms-used-in-official-statistics/47,term.html"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73905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Gas supply connection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1CD30BF2" w14:textId="1BF37E17" w:rsidR="00F73905" w:rsidRPr="00B87042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"http://stat.gov.pl/en/metainformations/glossary/terms-used-in-official-statistics</w:instrText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/3349,term.html"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73905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Gas recipient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66650BDE" w14:textId="03529E4C" w:rsidR="00F73905" w:rsidRPr="00B87042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"http://stat.gov.pl/en/metainformations/glossary/terms-used-in-official-statistics/673,term.html"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73905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Consumption of gas in households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0BD97BC2" w14:textId="73AF5975" w:rsidR="00F73905" w:rsidRPr="00B87042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"http://stat.gov.pl/en/metainformations/glossary/terms-used-in-off</w:instrText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icial-statistics/458,term.html"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73905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Distribution thermic-line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4C5A182A" w14:textId="6F4FE090" w:rsidR="00F73905" w:rsidRPr="00B87042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"http://stat.gov.pl/en/metainformations/glossary/terms-used-in-official-statistics/457,term.html"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73905" w:rsidRPr="00B87042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Transmission thermic-line</w: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2947FF1D" w14:textId="49E6F462" w:rsidR="00F73905" w:rsidRPr="00673C26" w:rsidRDefault="00B870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"http://stat.gov.pl/en/metainformations/glossa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instrText xml:space="preserve">ry/terms-used-in-official-statistics/672,term.html" 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73905" w:rsidRPr="00DC14C5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t xml:space="preserve">Energy </w:t>
                      </w:r>
                      <w:proofErr w:type="spellStart"/>
                      <w:r w:rsidR="00F73905" w:rsidRPr="00DC14C5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t>consumption</w:t>
                      </w:r>
                      <w:proofErr w:type="spellEnd"/>
                      <w: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08F30AE4" w14:textId="77777777" w:rsidR="00AB6D25" w:rsidRPr="00505A9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94C22" w14:textId="77777777" w:rsidR="00FF7EB9" w:rsidRDefault="00FF7EB9" w:rsidP="000662E2">
      <w:pPr>
        <w:spacing w:after="0" w:line="240" w:lineRule="auto"/>
      </w:pPr>
      <w:r>
        <w:separator/>
      </w:r>
    </w:p>
  </w:endnote>
  <w:endnote w:type="continuationSeparator" w:id="0">
    <w:p w14:paraId="02F4124D" w14:textId="77777777" w:rsidR="00FF7EB9" w:rsidRDefault="00FF7EB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08F30AB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9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08F30AC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9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08F30AC5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9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5F2E" w14:textId="77777777" w:rsidR="00FF7EB9" w:rsidRDefault="00FF7EB9" w:rsidP="000662E2">
      <w:pPr>
        <w:spacing w:after="0" w:line="240" w:lineRule="auto"/>
      </w:pPr>
      <w:r>
        <w:separator/>
      </w:r>
    </w:p>
  </w:footnote>
  <w:footnote w:type="continuationSeparator" w:id="0">
    <w:p w14:paraId="7070D993" w14:textId="77777777" w:rsidR="00FF7EB9" w:rsidRDefault="00FF7EB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0ABD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F30AC6" wp14:editId="08F30AC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39FC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08F30AB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0AC0" w14:textId="65BBE20D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F30AC8" wp14:editId="08F30AC9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30AE6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F30AC8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8F30AE6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8F30ACA" wp14:editId="08F30ACB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D48E4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9A3BB7" w:rsidRPr="00F64D62">
      <w:rPr>
        <w:noProof/>
        <w:lang w:eastAsia="pl-PL"/>
      </w:rPr>
      <w:drawing>
        <wp:inline distT="0" distB="0" distL="0" distR="0" wp14:anchorId="255DCAFD" wp14:editId="77D6F0A8">
          <wp:extent cx="2868037" cy="712800"/>
          <wp:effectExtent l="0" t="0" r="0" b="0"/>
          <wp:docPr id="2" name="Obraz 2" descr="C:\Users\adamczyki\Desktop\Logo GUS ang. kolor jubil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amczyki\Desktop\Logo GUS ang. kolor jubil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037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30AC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8F30ACD" wp14:editId="08F30ACE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30AE7" w14:textId="7FC7E3FF" w:rsidR="00F37172" w:rsidRPr="00C97596" w:rsidRDefault="006D200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28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30AC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08F30AE7" w14:textId="7FC7E3FF" w:rsidR="00F37172" w:rsidRPr="00C97596" w:rsidRDefault="006D200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28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0AC3" w14:textId="77777777" w:rsidR="00607CC5" w:rsidRDefault="00607CC5">
    <w:pPr>
      <w:pStyle w:val="Nagwek"/>
    </w:pPr>
  </w:p>
  <w:p w14:paraId="08F30AC4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9pt;height:125.6pt;visibility:visible;mso-wrap-style:square" o:bullet="t">
        <v:imagedata r:id="rId1" o:title=""/>
      </v:shape>
    </w:pict>
  </w:numPicBullet>
  <w:numPicBullet w:numPicBulletId="1">
    <w:pict>
      <v:shape id="_x0000_i1029" type="#_x0000_t75" style="width:123.9pt;height:125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70AA"/>
    <w:rsid w:val="00057CA1"/>
    <w:rsid w:val="000662E2"/>
    <w:rsid w:val="00066883"/>
    <w:rsid w:val="00072D9C"/>
    <w:rsid w:val="00074DD8"/>
    <w:rsid w:val="000806F7"/>
    <w:rsid w:val="000B0727"/>
    <w:rsid w:val="000C0DD6"/>
    <w:rsid w:val="000C135D"/>
    <w:rsid w:val="000D1D43"/>
    <w:rsid w:val="000D225C"/>
    <w:rsid w:val="000D2A5C"/>
    <w:rsid w:val="000E0918"/>
    <w:rsid w:val="001011C3"/>
    <w:rsid w:val="00110D87"/>
    <w:rsid w:val="00114DB9"/>
    <w:rsid w:val="00116087"/>
    <w:rsid w:val="00130296"/>
    <w:rsid w:val="001423B6"/>
    <w:rsid w:val="001448A7"/>
    <w:rsid w:val="00146621"/>
    <w:rsid w:val="00162325"/>
    <w:rsid w:val="001951DA"/>
    <w:rsid w:val="001B5C6A"/>
    <w:rsid w:val="001C3269"/>
    <w:rsid w:val="001D1DB4"/>
    <w:rsid w:val="001D2736"/>
    <w:rsid w:val="00223CE0"/>
    <w:rsid w:val="002574F9"/>
    <w:rsid w:val="00262B61"/>
    <w:rsid w:val="00276811"/>
    <w:rsid w:val="00282699"/>
    <w:rsid w:val="002926DF"/>
    <w:rsid w:val="00296697"/>
    <w:rsid w:val="002B0472"/>
    <w:rsid w:val="002B6B12"/>
    <w:rsid w:val="002E6140"/>
    <w:rsid w:val="002E649F"/>
    <w:rsid w:val="002E6985"/>
    <w:rsid w:val="002E71B6"/>
    <w:rsid w:val="002F77C8"/>
    <w:rsid w:val="00304F22"/>
    <w:rsid w:val="00306C7C"/>
    <w:rsid w:val="00322EDD"/>
    <w:rsid w:val="00332320"/>
    <w:rsid w:val="00347D72"/>
    <w:rsid w:val="00357611"/>
    <w:rsid w:val="00367237"/>
    <w:rsid w:val="0037077F"/>
    <w:rsid w:val="00372411"/>
    <w:rsid w:val="00373882"/>
    <w:rsid w:val="003843DB"/>
    <w:rsid w:val="00393761"/>
    <w:rsid w:val="00397D18"/>
    <w:rsid w:val="003A1B36"/>
    <w:rsid w:val="003B1454"/>
    <w:rsid w:val="003B18B6"/>
    <w:rsid w:val="003C59E0"/>
    <w:rsid w:val="003C6C8D"/>
    <w:rsid w:val="003D4F95"/>
    <w:rsid w:val="003D5F42"/>
    <w:rsid w:val="003D60A9"/>
    <w:rsid w:val="003F4C97"/>
    <w:rsid w:val="003F7FE6"/>
    <w:rsid w:val="00400193"/>
    <w:rsid w:val="004212E7"/>
    <w:rsid w:val="0042446D"/>
    <w:rsid w:val="00427BF8"/>
    <w:rsid w:val="00431C02"/>
    <w:rsid w:val="00437395"/>
    <w:rsid w:val="00445047"/>
    <w:rsid w:val="00463E39"/>
    <w:rsid w:val="004657FC"/>
    <w:rsid w:val="004733F6"/>
    <w:rsid w:val="00474E69"/>
    <w:rsid w:val="00494795"/>
    <w:rsid w:val="0049621B"/>
    <w:rsid w:val="004C1895"/>
    <w:rsid w:val="004C6D40"/>
    <w:rsid w:val="004F0C3C"/>
    <w:rsid w:val="004F63FC"/>
    <w:rsid w:val="00505A92"/>
    <w:rsid w:val="005203F1"/>
    <w:rsid w:val="00521BC3"/>
    <w:rsid w:val="00533632"/>
    <w:rsid w:val="00541E6E"/>
    <w:rsid w:val="0054251F"/>
    <w:rsid w:val="005520D8"/>
    <w:rsid w:val="00556CF1"/>
    <w:rsid w:val="005762A7"/>
    <w:rsid w:val="00576E5A"/>
    <w:rsid w:val="005916D7"/>
    <w:rsid w:val="005A698C"/>
    <w:rsid w:val="005E0799"/>
    <w:rsid w:val="005F5A80"/>
    <w:rsid w:val="006044FF"/>
    <w:rsid w:val="00607CC5"/>
    <w:rsid w:val="00633014"/>
    <w:rsid w:val="0063437B"/>
    <w:rsid w:val="006673CA"/>
    <w:rsid w:val="00673C26"/>
    <w:rsid w:val="006812AF"/>
    <w:rsid w:val="0068327D"/>
    <w:rsid w:val="00694AF0"/>
    <w:rsid w:val="006A4686"/>
    <w:rsid w:val="006B0E9E"/>
    <w:rsid w:val="006B5AE4"/>
    <w:rsid w:val="006D1507"/>
    <w:rsid w:val="006D200A"/>
    <w:rsid w:val="006D4054"/>
    <w:rsid w:val="006E02EC"/>
    <w:rsid w:val="007211B1"/>
    <w:rsid w:val="0073223E"/>
    <w:rsid w:val="00746187"/>
    <w:rsid w:val="0076254F"/>
    <w:rsid w:val="007801F5"/>
    <w:rsid w:val="00783CA4"/>
    <w:rsid w:val="007842FB"/>
    <w:rsid w:val="00786124"/>
    <w:rsid w:val="0079514B"/>
    <w:rsid w:val="007A2DC1"/>
    <w:rsid w:val="007D3319"/>
    <w:rsid w:val="007D335D"/>
    <w:rsid w:val="007E3314"/>
    <w:rsid w:val="007E4B03"/>
    <w:rsid w:val="007F324B"/>
    <w:rsid w:val="0080553C"/>
    <w:rsid w:val="00805B46"/>
    <w:rsid w:val="00825DC2"/>
    <w:rsid w:val="00834AD3"/>
    <w:rsid w:val="00843795"/>
    <w:rsid w:val="00847F0F"/>
    <w:rsid w:val="00852448"/>
    <w:rsid w:val="0088258A"/>
    <w:rsid w:val="00886332"/>
    <w:rsid w:val="008A26D9"/>
    <w:rsid w:val="008C0C29"/>
    <w:rsid w:val="008F3638"/>
    <w:rsid w:val="008F4441"/>
    <w:rsid w:val="008F6F31"/>
    <w:rsid w:val="008F74DF"/>
    <w:rsid w:val="00911428"/>
    <w:rsid w:val="009127BA"/>
    <w:rsid w:val="00915AA6"/>
    <w:rsid w:val="009227A6"/>
    <w:rsid w:val="00933EC1"/>
    <w:rsid w:val="009530DB"/>
    <w:rsid w:val="00953676"/>
    <w:rsid w:val="0095512A"/>
    <w:rsid w:val="009705EE"/>
    <w:rsid w:val="00977927"/>
    <w:rsid w:val="0098135C"/>
    <w:rsid w:val="0098156A"/>
    <w:rsid w:val="00991BAC"/>
    <w:rsid w:val="009A3BB7"/>
    <w:rsid w:val="009A6EA0"/>
    <w:rsid w:val="009C1335"/>
    <w:rsid w:val="009C1AB2"/>
    <w:rsid w:val="009C7251"/>
    <w:rsid w:val="009E2E91"/>
    <w:rsid w:val="00A139F5"/>
    <w:rsid w:val="00A365F4"/>
    <w:rsid w:val="00A47D80"/>
    <w:rsid w:val="00A53132"/>
    <w:rsid w:val="00A563F2"/>
    <w:rsid w:val="00A566E8"/>
    <w:rsid w:val="00A73105"/>
    <w:rsid w:val="00A810F9"/>
    <w:rsid w:val="00A86ECC"/>
    <w:rsid w:val="00A86FCC"/>
    <w:rsid w:val="00AA3A2C"/>
    <w:rsid w:val="00AA710D"/>
    <w:rsid w:val="00AB5DFF"/>
    <w:rsid w:val="00AB6D25"/>
    <w:rsid w:val="00AC3FCE"/>
    <w:rsid w:val="00AE2D4B"/>
    <w:rsid w:val="00AE4F99"/>
    <w:rsid w:val="00B1321E"/>
    <w:rsid w:val="00B14952"/>
    <w:rsid w:val="00B31E5A"/>
    <w:rsid w:val="00B453FA"/>
    <w:rsid w:val="00B653AB"/>
    <w:rsid w:val="00B65F9E"/>
    <w:rsid w:val="00B66B19"/>
    <w:rsid w:val="00B87042"/>
    <w:rsid w:val="00B914E9"/>
    <w:rsid w:val="00B956EE"/>
    <w:rsid w:val="00BA2BA1"/>
    <w:rsid w:val="00BB4F09"/>
    <w:rsid w:val="00BD4E33"/>
    <w:rsid w:val="00C030DE"/>
    <w:rsid w:val="00C22105"/>
    <w:rsid w:val="00C244B6"/>
    <w:rsid w:val="00C3702F"/>
    <w:rsid w:val="00C64A37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484D"/>
    <w:rsid w:val="00CA4FB6"/>
    <w:rsid w:val="00CB41A7"/>
    <w:rsid w:val="00CC739E"/>
    <w:rsid w:val="00CD58B7"/>
    <w:rsid w:val="00CF4099"/>
    <w:rsid w:val="00D00796"/>
    <w:rsid w:val="00D261A2"/>
    <w:rsid w:val="00D616D2"/>
    <w:rsid w:val="00D63B5F"/>
    <w:rsid w:val="00D64203"/>
    <w:rsid w:val="00D70EF7"/>
    <w:rsid w:val="00D8397C"/>
    <w:rsid w:val="00D94EED"/>
    <w:rsid w:val="00D96026"/>
    <w:rsid w:val="00DA7C1C"/>
    <w:rsid w:val="00DB147A"/>
    <w:rsid w:val="00DB1B7A"/>
    <w:rsid w:val="00DC14C5"/>
    <w:rsid w:val="00DC217E"/>
    <w:rsid w:val="00DC6708"/>
    <w:rsid w:val="00E01436"/>
    <w:rsid w:val="00E045BD"/>
    <w:rsid w:val="00E17B77"/>
    <w:rsid w:val="00E23337"/>
    <w:rsid w:val="00E259EA"/>
    <w:rsid w:val="00E32061"/>
    <w:rsid w:val="00E42FF9"/>
    <w:rsid w:val="00E4714C"/>
    <w:rsid w:val="00E51AEB"/>
    <w:rsid w:val="00E522A7"/>
    <w:rsid w:val="00E54452"/>
    <w:rsid w:val="00E664C5"/>
    <w:rsid w:val="00E671A2"/>
    <w:rsid w:val="00E76D26"/>
    <w:rsid w:val="00EB1390"/>
    <w:rsid w:val="00EB2C71"/>
    <w:rsid w:val="00EB4340"/>
    <w:rsid w:val="00EB556D"/>
    <w:rsid w:val="00EB5A7D"/>
    <w:rsid w:val="00ED55C0"/>
    <w:rsid w:val="00ED682B"/>
    <w:rsid w:val="00EE41D5"/>
    <w:rsid w:val="00F037A4"/>
    <w:rsid w:val="00F173E6"/>
    <w:rsid w:val="00F27C8F"/>
    <w:rsid w:val="00F32749"/>
    <w:rsid w:val="00F37172"/>
    <w:rsid w:val="00F4477E"/>
    <w:rsid w:val="00F670E8"/>
    <w:rsid w:val="00F67D8F"/>
    <w:rsid w:val="00F73905"/>
    <w:rsid w:val="00F802BE"/>
    <w:rsid w:val="00F86024"/>
    <w:rsid w:val="00F8611A"/>
    <w:rsid w:val="00F977ED"/>
    <w:rsid w:val="00FA5128"/>
    <w:rsid w:val="00FB42D4"/>
    <w:rsid w:val="00FB5906"/>
    <w:rsid w:val="00FB762F"/>
    <w:rsid w:val="00FC2AED"/>
    <w:rsid w:val="00FD5EA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0A05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tat.gov.pl/en/topics/municipal-infrastructure/municipal-infrastructure/municipal-infrastructure-in-2016,1,14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tat.gov.pl/en/metainformations/glossary/terms-used-in-official-statistics/457,term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footer" Target="footer1.xml"/><Relationship Id="rId25" Type="http://schemas.openxmlformats.org/officeDocument/2006/relationships/image" Target="media/image6.png"/><Relationship Id="rId33" Type="http://schemas.openxmlformats.org/officeDocument/2006/relationships/hyperlink" Target="http://stat.gov.pl/en/metainformations/glossary/terms-used-in-official-statistics/458,term.htm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m.sobczyk@stat.gov.pl" TargetMode="External"/><Relationship Id="rId29" Type="http://schemas.openxmlformats.org/officeDocument/2006/relationships/hyperlink" Target="http://stat.gov.pl/en/metainformations/glossary/terms-used-in-official-statistics/83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5.png"/><Relationship Id="rId32" Type="http://schemas.openxmlformats.org/officeDocument/2006/relationships/hyperlink" Target="http://stat.gov.pl/en/metainformations/glossary/terms-used-in-official-statistics/673,term.html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4.png"/><Relationship Id="rId28" Type="http://schemas.openxmlformats.org/officeDocument/2006/relationships/hyperlink" Target="http://stat.gov.pl/en/metainformations/glossary/terms-used-in-official-statistics/3307,term.html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metainformations/glossary/terms-used-in-official-statistics/3349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en/metainformations/glossary/terms-used-in-official-statistics/47,term.html" TargetMode="External"/><Relationship Id="rId35" Type="http://schemas.openxmlformats.org/officeDocument/2006/relationships/hyperlink" Target="http://stat.gov.pl/en/metainformations/glossary/terms-used-in-official-statistics/672,term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015543131458009"/>
          <c:y val="2.8430224780777624E-2"/>
          <c:w val="0.66260964591321991"/>
          <c:h val="0.72584872031504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Arkusz2!$C$6</c:f>
              <c:strCache>
                <c:ptCount val="1"/>
                <c:pt idx="0">
                  <c:v>Urban areas</c:v>
                </c:pt>
              </c:strCache>
            </c:strRef>
          </c:tx>
          <c:spPr>
            <a:solidFill>
              <a:srgbClr val="001D77">
                <a:alpha val="3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Arkusz2!$B$7:$B$22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Arkusz2!$C$7:$C$22</c:f>
              <c:numCache>
                <c:formatCode>General</c:formatCode>
                <c:ptCount val="16"/>
                <c:pt idx="0">
                  <c:v>1927.5</c:v>
                </c:pt>
                <c:pt idx="1">
                  <c:v>1145.9000000000001</c:v>
                </c:pt>
                <c:pt idx="2">
                  <c:v>1378.1</c:v>
                </c:pt>
                <c:pt idx="3">
                  <c:v>1826.2</c:v>
                </c:pt>
                <c:pt idx="4">
                  <c:v>981.5</c:v>
                </c:pt>
                <c:pt idx="5">
                  <c:v>1924.8</c:v>
                </c:pt>
                <c:pt idx="6">
                  <c:v>2092.9</c:v>
                </c:pt>
                <c:pt idx="7">
                  <c:v>1384.8</c:v>
                </c:pt>
                <c:pt idx="8">
                  <c:v>1806.7</c:v>
                </c:pt>
                <c:pt idx="9">
                  <c:v>702.6</c:v>
                </c:pt>
                <c:pt idx="10">
                  <c:v>1418</c:v>
                </c:pt>
                <c:pt idx="11">
                  <c:v>1271.4000000000001</c:v>
                </c:pt>
                <c:pt idx="12">
                  <c:v>1291.5</c:v>
                </c:pt>
                <c:pt idx="13">
                  <c:v>1080.7</c:v>
                </c:pt>
                <c:pt idx="14">
                  <c:v>1810.5</c:v>
                </c:pt>
                <c:pt idx="15">
                  <c:v>1680.7</c:v>
                </c:pt>
              </c:numCache>
            </c:numRef>
          </c:val>
        </c:ser>
        <c:ser>
          <c:idx val="1"/>
          <c:order val="1"/>
          <c:tx>
            <c:strRef>
              <c:f>Arkusz2!$D$6</c:f>
              <c:strCache>
                <c:ptCount val="1"/>
                <c:pt idx="0">
                  <c:v>Rural areas</c:v>
                </c:pt>
              </c:strCache>
            </c:strRef>
          </c:tx>
          <c:spPr>
            <a:solidFill>
              <a:srgbClr val="001D77">
                <a:alpha val="7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Arkusz2!$B$7:$B$22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Arkusz2!$D$7:$D$22</c:f>
              <c:numCache>
                <c:formatCode>General</c:formatCode>
                <c:ptCount val="16"/>
                <c:pt idx="0">
                  <c:v>741.2</c:v>
                </c:pt>
                <c:pt idx="1">
                  <c:v>155.80000000000001</c:v>
                </c:pt>
                <c:pt idx="2">
                  <c:v>457.9</c:v>
                </c:pt>
                <c:pt idx="3">
                  <c:v>470.4</c:v>
                </c:pt>
                <c:pt idx="4">
                  <c:v>264.7</c:v>
                </c:pt>
                <c:pt idx="5">
                  <c:v>1083.4000000000001</c:v>
                </c:pt>
                <c:pt idx="6">
                  <c:v>1296.4000000000001</c:v>
                </c:pt>
                <c:pt idx="7">
                  <c:v>132.80000000000001</c:v>
                </c:pt>
                <c:pt idx="8">
                  <c:v>926.1</c:v>
                </c:pt>
                <c:pt idx="9">
                  <c:v>207.1</c:v>
                </c:pt>
                <c:pt idx="10">
                  <c:v>429.7</c:v>
                </c:pt>
                <c:pt idx="11">
                  <c:v>795.5</c:v>
                </c:pt>
                <c:pt idx="12">
                  <c:v>273.7</c:v>
                </c:pt>
                <c:pt idx="13">
                  <c:v>173.1</c:v>
                </c:pt>
                <c:pt idx="14">
                  <c:v>913.2</c:v>
                </c:pt>
                <c:pt idx="15">
                  <c:v>914.1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6661728"/>
        <c:axId val="996664448"/>
      </c:barChart>
      <c:catAx>
        <c:axId val="99666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996664448"/>
        <c:crossesAt val="0"/>
        <c:auto val="1"/>
        <c:lblAlgn val="ctr"/>
        <c:lblOffset val="100"/>
        <c:noMultiLvlLbl val="0"/>
      </c:catAx>
      <c:valAx>
        <c:axId val="996664448"/>
        <c:scaling>
          <c:orientation val="minMax"/>
          <c:max val="2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pl-PL" b="0"/>
                  <a:t>kWh</a:t>
                </a:r>
                <a:endParaRPr lang="en-GB" b="0"/>
              </a:p>
            </c:rich>
          </c:tx>
          <c:layout>
            <c:manualLayout>
              <c:xMode val="edge"/>
              <c:yMode val="edge"/>
              <c:x val="0.13189844763828312"/>
              <c:y val="1.371739924914449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6661728"/>
        <c:crosses val="autoZero"/>
        <c:crossBetween val="between"/>
        <c:majorUnit val="200"/>
      </c:valAx>
      <c:spPr>
        <a:noFill/>
        <a:ln w="25400">
          <a:noFill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015543131458009"/>
          <c:y val="2.8430224780777624E-2"/>
          <c:w val="0.66260964591321991"/>
          <c:h val="0.72584872031504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Arkusz2!$C$6</c:f>
              <c:strCache>
                <c:ptCount val="1"/>
                <c:pt idx="0">
                  <c:v>Urban areas</c:v>
                </c:pt>
              </c:strCache>
            </c:strRef>
          </c:tx>
          <c:spPr>
            <a:solidFill>
              <a:srgbClr val="001D77">
                <a:alpha val="3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Arkusz2!$B$7:$B$22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Arkusz2!$C$7:$C$22</c:f>
              <c:numCache>
                <c:formatCode>General</c:formatCode>
                <c:ptCount val="16"/>
                <c:pt idx="0">
                  <c:v>748.8</c:v>
                </c:pt>
                <c:pt idx="1">
                  <c:v>666.8</c:v>
                </c:pt>
                <c:pt idx="2">
                  <c:v>646.20000000000005</c:v>
                </c:pt>
                <c:pt idx="3">
                  <c:v>702.6</c:v>
                </c:pt>
                <c:pt idx="4">
                  <c:v>769.3</c:v>
                </c:pt>
                <c:pt idx="5">
                  <c:v>868.7</c:v>
                </c:pt>
                <c:pt idx="6">
                  <c:v>857.1</c:v>
                </c:pt>
                <c:pt idx="7">
                  <c:v>748.3</c:v>
                </c:pt>
                <c:pt idx="8">
                  <c:v>601.4</c:v>
                </c:pt>
                <c:pt idx="9">
                  <c:v>626.6</c:v>
                </c:pt>
                <c:pt idx="10">
                  <c:v>715.7</c:v>
                </c:pt>
                <c:pt idx="11">
                  <c:v>767.5</c:v>
                </c:pt>
                <c:pt idx="12">
                  <c:v>620.9</c:v>
                </c:pt>
                <c:pt idx="13">
                  <c:v>627.29999999999995</c:v>
                </c:pt>
                <c:pt idx="14">
                  <c:v>729.2</c:v>
                </c:pt>
                <c:pt idx="15">
                  <c:v>679.3</c:v>
                </c:pt>
              </c:numCache>
            </c:numRef>
          </c:val>
        </c:ser>
        <c:ser>
          <c:idx val="1"/>
          <c:order val="1"/>
          <c:tx>
            <c:strRef>
              <c:f>Arkusz2!$D$6</c:f>
              <c:strCache>
                <c:ptCount val="1"/>
                <c:pt idx="0">
                  <c:v>Rural areas</c:v>
                </c:pt>
              </c:strCache>
            </c:strRef>
          </c:tx>
          <c:spPr>
            <a:solidFill>
              <a:srgbClr val="001D77">
                <a:alpha val="7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Arkusz2!$B$7:$B$22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Arkusz2!$D$7:$D$22</c:f>
              <c:numCache>
                <c:formatCode>General</c:formatCode>
                <c:ptCount val="16"/>
                <c:pt idx="0">
                  <c:v>866.7</c:v>
                </c:pt>
                <c:pt idx="1">
                  <c:v>806.7</c:v>
                </c:pt>
                <c:pt idx="2">
                  <c:v>698.7</c:v>
                </c:pt>
                <c:pt idx="3">
                  <c:v>787.7</c:v>
                </c:pt>
                <c:pt idx="4">
                  <c:v>852.6</c:v>
                </c:pt>
                <c:pt idx="5">
                  <c:v>764</c:v>
                </c:pt>
                <c:pt idx="6">
                  <c:v>897.4</c:v>
                </c:pt>
                <c:pt idx="7">
                  <c:v>894.8</c:v>
                </c:pt>
                <c:pt idx="8">
                  <c:v>563.79999999999995</c:v>
                </c:pt>
                <c:pt idx="9">
                  <c:v>979</c:v>
                </c:pt>
                <c:pt idx="10">
                  <c:v>777.2</c:v>
                </c:pt>
                <c:pt idx="11">
                  <c:v>876.5</c:v>
                </c:pt>
                <c:pt idx="12">
                  <c:v>620</c:v>
                </c:pt>
                <c:pt idx="13">
                  <c:v>790</c:v>
                </c:pt>
                <c:pt idx="14">
                  <c:v>817.9</c:v>
                </c:pt>
                <c:pt idx="15">
                  <c:v>712.9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6672064"/>
        <c:axId val="996660640"/>
      </c:barChart>
      <c:catAx>
        <c:axId val="9966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996660640"/>
        <c:crossesAt val="0"/>
        <c:auto val="1"/>
        <c:lblAlgn val="ctr"/>
        <c:lblOffset val="100"/>
        <c:noMultiLvlLbl val="0"/>
      </c:catAx>
      <c:valAx>
        <c:axId val="996660640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 b="0"/>
                  <a:t>kWh</a:t>
                </a:r>
                <a:endParaRPr lang="en-GB" b="0"/>
              </a:p>
            </c:rich>
          </c:tx>
          <c:layout>
            <c:manualLayout>
              <c:xMode val="edge"/>
              <c:yMode val="edge"/>
              <c:x val="0.13800759105855262"/>
              <c:y val="2.1528954450314046E-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6672064"/>
        <c:crosses val="autoZero"/>
        <c:crossBetween val="between"/>
        <c:majorUnit val="100"/>
      </c:valAx>
      <c:spPr>
        <a:noFill/>
        <a:ln w="25400">
          <a:noFill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Arkusz2!$E$2</c:f>
              <c:strCache>
                <c:ptCount val="1"/>
                <c:pt idx="0">
                  <c:v>The length of connections leading to residential buildings</c:v>
                </c:pt>
              </c:strCache>
            </c:strRef>
          </c:tx>
          <c:spPr>
            <a:solidFill>
              <a:srgbClr val="001D77">
                <a:alpha val="3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Arkusz2!$E$3:$E$18</c:f>
              <c:numCache>
                <c:formatCode>#\ ##0___)</c:formatCode>
                <c:ptCount val="16"/>
                <c:pt idx="0">
                  <c:v>390.4</c:v>
                </c:pt>
                <c:pt idx="1">
                  <c:v>693</c:v>
                </c:pt>
                <c:pt idx="2">
                  <c:v>406.3</c:v>
                </c:pt>
                <c:pt idx="3">
                  <c:v>210</c:v>
                </c:pt>
                <c:pt idx="4">
                  <c:v>1284.3</c:v>
                </c:pt>
                <c:pt idx="5">
                  <c:v>720.7</c:v>
                </c:pt>
                <c:pt idx="6">
                  <c:v>265.2</c:v>
                </c:pt>
                <c:pt idx="7">
                  <c:v>432.2</c:v>
                </c:pt>
                <c:pt idx="8">
                  <c:v>225.2</c:v>
                </c:pt>
                <c:pt idx="9">
                  <c:v>1333.7</c:v>
                </c:pt>
                <c:pt idx="10">
                  <c:v>575</c:v>
                </c:pt>
                <c:pt idx="11">
                  <c:v>649.70000000000005</c:v>
                </c:pt>
                <c:pt idx="12">
                  <c:v>140.30000000000001</c:v>
                </c:pt>
                <c:pt idx="13">
                  <c:v>497.1</c:v>
                </c:pt>
                <c:pt idx="14">
                  <c:v>452.7</c:v>
                </c:pt>
                <c:pt idx="15">
                  <c:v>575.29999999999995</c:v>
                </c:pt>
              </c:numCache>
            </c:numRef>
          </c:val>
        </c:ser>
        <c:ser>
          <c:idx val="1"/>
          <c:order val="1"/>
          <c:tx>
            <c:strRef>
              <c:f>Arkusz2!$F$2</c:f>
              <c:strCache>
                <c:ptCount val="1"/>
                <c:pt idx="0">
                  <c:v>Transmission network</c:v>
                </c:pt>
              </c:strCache>
            </c:strRef>
          </c:tx>
          <c:spPr>
            <a:solidFill>
              <a:srgbClr val="001D77">
                <a:alpha val="7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Arkusz2!$F$3:$F$18</c:f>
              <c:numCache>
                <c:formatCode>#\ ##0___)</c:formatCode>
                <c:ptCount val="16"/>
                <c:pt idx="0">
                  <c:v>679.4</c:v>
                </c:pt>
                <c:pt idx="1">
                  <c:v>1009.1</c:v>
                </c:pt>
                <c:pt idx="2">
                  <c:v>613.4</c:v>
                </c:pt>
                <c:pt idx="3">
                  <c:v>468.5</c:v>
                </c:pt>
                <c:pt idx="4">
                  <c:v>2431</c:v>
                </c:pt>
                <c:pt idx="5">
                  <c:v>1152.8</c:v>
                </c:pt>
                <c:pt idx="6">
                  <c:v>536.79999999999995</c:v>
                </c:pt>
                <c:pt idx="7">
                  <c:v>643.20000000000005</c:v>
                </c:pt>
                <c:pt idx="8">
                  <c:v>416.2</c:v>
                </c:pt>
                <c:pt idx="9">
                  <c:v>2224.6</c:v>
                </c:pt>
                <c:pt idx="10">
                  <c:v>1374.4</c:v>
                </c:pt>
                <c:pt idx="11">
                  <c:v>1449.5</c:v>
                </c:pt>
                <c:pt idx="12">
                  <c:v>360</c:v>
                </c:pt>
                <c:pt idx="13">
                  <c:v>825.5</c:v>
                </c:pt>
                <c:pt idx="14">
                  <c:v>1020.8</c:v>
                </c:pt>
                <c:pt idx="15">
                  <c:v>1175.9000000000001</c:v>
                </c:pt>
              </c:numCache>
            </c:numRef>
          </c:val>
        </c:ser>
        <c:ser>
          <c:idx val="2"/>
          <c:order val="2"/>
          <c:tx>
            <c:strRef>
              <c:f>Arkusz2!$G$2</c:f>
              <c:strCache>
                <c:ptCount val="1"/>
                <c:pt idx="0">
                  <c:v>Total length of heat network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Arkusz2!$G$3:$G$18</c:f>
              <c:numCache>
                <c:formatCode>#\ ##0___)</c:formatCode>
                <c:ptCount val="16"/>
                <c:pt idx="0">
                  <c:v>1069.8</c:v>
                </c:pt>
                <c:pt idx="1">
                  <c:v>1702.1</c:v>
                </c:pt>
                <c:pt idx="2">
                  <c:v>1019.7</c:v>
                </c:pt>
                <c:pt idx="3">
                  <c:v>678.5</c:v>
                </c:pt>
                <c:pt idx="4">
                  <c:v>3715.3</c:v>
                </c:pt>
                <c:pt idx="5">
                  <c:v>1873.5</c:v>
                </c:pt>
                <c:pt idx="6">
                  <c:v>802</c:v>
                </c:pt>
                <c:pt idx="7">
                  <c:v>1075.4000000000001</c:v>
                </c:pt>
                <c:pt idx="8">
                  <c:v>641.4</c:v>
                </c:pt>
                <c:pt idx="9">
                  <c:v>3558.3</c:v>
                </c:pt>
                <c:pt idx="10">
                  <c:v>1949.4</c:v>
                </c:pt>
                <c:pt idx="11">
                  <c:v>2099.1999999999998</c:v>
                </c:pt>
                <c:pt idx="12">
                  <c:v>500.3</c:v>
                </c:pt>
                <c:pt idx="13">
                  <c:v>1322.6</c:v>
                </c:pt>
                <c:pt idx="14">
                  <c:v>1473.5</c:v>
                </c:pt>
                <c:pt idx="15">
                  <c:v>1751.2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6661184"/>
        <c:axId val="996662272"/>
      </c:barChart>
      <c:catAx>
        <c:axId val="99666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6662272"/>
        <c:crosses val="autoZero"/>
        <c:auto val="1"/>
        <c:lblAlgn val="ctr"/>
        <c:lblOffset val="100"/>
        <c:noMultiLvlLbl val="0"/>
      </c:catAx>
      <c:valAx>
        <c:axId val="996662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l-PL" b="0"/>
                  <a:t>km</a:t>
                </a:r>
                <a:endParaRPr lang="en-GB" b="0"/>
              </a:p>
            </c:rich>
          </c:tx>
          <c:layout>
            <c:manualLayout>
              <c:xMode val="edge"/>
              <c:yMode val="edge"/>
              <c:x val="0.91669388910029348"/>
              <c:y val="0.82560798650168732"/>
            </c:manualLayout>
          </c:layout>
          <c:overlay val="0"/>
        </c:title>
        <c:numFmt formatCode="#\ ##0__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666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7510952394892E-2"/>
          <c:y val="0.88353599550056239"/>
          <c:w val="0.9195714662061294"/>
          <c:h val="0.116464004499437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0.82156</cdr:x>
      <cdr:y>0.82857</cdr:y>
    </cdr:from>
    <cdr:to>
      <cdr:x>1</cdr:x>
      <cdr:y>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057775" y="50577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1980FD7F-DCD8-4BA2-895B-D63B0091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CF0D3-CA05-48E9-8F5E-FA0AA8FC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Energy management and gas supply system in Poland in 2017</vt:lpstr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management and gas supply system in Poland in 2017</dc:title>
  <dc:subject/>
  <dc:creator>Dziewit Mirosław</dc:creator>
  <cp:keywords/>
  <dc:description/>
  <cp:lastModifiedBy>Dziewit Mirosław</cp:lastModifiedBy>
  <cp:revision>2</cp:revision>
  <cp:lastPrinted>2018-09-27T08:29:00Z</cp:lastPrinted>
  <dcterms:created xsi:type="dcterms:W3CDTF">2018-09-28T07:14:00Z</dcterms:created>
  <dcterms:modified xsi:type="dcterms:W3CDTF">2018-09-28T07:14:00Z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