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9D" w:rsidRPr="00862BE7" w:rsidRDefault="00261734" w:rsidP="006C099D">
      <w:pPr>
        <w:pStyle w:val="tytuinformacji"/>
        <w:rPr>
          <w:sz w:val="36"/>
          <w:szCs w:val="32"/>
          <w:shd w:val="clear" w:color="auto" w:fill="FFFFFF"/>
          <w:lang w:val="en-GB"/>
        </w:rPr>
      </w:pPr>
      <w:bookmarkStart w:id="0" w:name="_GoBack"/>
      <w:r w:rsidRPr="00862BE7">
        <w:rPr>
          <w:sz w:val="36"/>
          <w:szCs w:val="32"/>
          <w:shd w:val="clear" w:color="auto" w:fill="FFFFFF"/>
          <w:lang w:val="en-GB"/>
        </w:rPr>
        <w:t>Non-</w:t>
      </w:r>
      <w:r w:rsidRPr="00862BE7">
        <w:rPr>
          <w:rFonts w:eastAsia="Fira Sans Light" w:cs="Times New Roman"/>
          <w:color w:val="000000"/>
          <w:sz w:val="36"/>
          <w:szCs w:val="40"/>
        </w:rPr>
        <w:t>residential</w:t>
      </w:r>
      <w:r w:rsidRPr="00862BE7">
        <w:rPr>
          <w:sz w:val="36"/>
          <w:szCs w:val="32"/>
          <w:shd w:val="clear" w:color="auto" w:fill="FFFFFF"/>
          <w:lang w:val="en-GB"/>
        </w:rPr>
        <w:t xml:space="preserve"> construction in </w:t>
      </w:r>
      <w:r w:rsidRPr="00B337BD">
        <w:rPr>
          <w:color w:val="auto"/>
          <w:sz w:val="36"/>
          <w:szCs w:val="32"/>
          <w:shd w:val="clear" w:color="auto" w:fill="FFFFFF"/>
          <w:lang w:val="en-GB"/>
        </w:rPr>
        <w:t xml:space="preserve">the I-III quarter </w:t>
      </w:r>
      <w:r>
        <w:rPr>
          <w:color w:val="auto"/>
          <w:sz w:val="36"/>
          <w:szCs w:val="32"/>
          <w:shd w:val="clear" w:color="auto" w:fill="FFFFFF"/>
          <w:lang w:val="en-GB"/>
        </w:rPr>
        <w:t xml:space="preserve">of </w:t>
      </w:r>
      <w:r w:rsidRPr="00862BE7">
        <w:rPr>
          <w:sz w:val="36"/>
          <w:szCs w:val="32"/>
          <w:shd w:val="clear" w:color="auto" w:fill="FFFFFF"/>
          <w:lang w:val="en-GB"/>
        </w:rPr>
        <w:t>2018</w:t>
      </w:r>
      <w:r w:rsidR="00A976A2" w:rsidRPr="00862BE7">
        <w:rPr>
          <w:sz w:val="36"/>
          <w:szCs w:val="32"/>
          <w:shd w:val="clear" w:color="auto" w:fill="FFFFFF"/>
          <w:lang w:val="en-GB"/>
        </w:rPr>
        <w:t xml:space="preserve"> </w:t>
      </w:r>
    </w:p>
    <w:bookmarkEnd w:id="0"/>
    <w:p w:rsidR="00393761" w:rsidRPr="009B23A5" w:rsidRDefault="00393761" w:rsidP="00862BE7">
      <w:pPr>
        <w:pStyle w:val="tytuinformacji"/>
        <w:spacing w:before="0"/>
        <w:rPr>
          <w:sz w:val="32"/>
          <w:lang w:val="en-GB"/>
        </w:rPr>
      </w:pPr>
    </w:p>
    <w:p w:rsidR="008136CC" w:rsidRDefault="000750BF" w:rsidP="00947D26">
      <w:pPr>
        <w:pStyle w:val="LID"/>
        <w:spacing w:after="0"/>
        <w:jc w:val="both"/>
        <w:rPr>
          <w:rFonts w:eastAsia="Fira Sans Light" w:cs="Times New Roman"/>
          <w:lang w:val="en-US"/>
        </w:rPr>
      </w:pPr>
      <w:r w:rsidRPr="00ED7CB9">
        <w:rPr>
          <w:rFonts w:eastAsia="Fira Sans Light" w:cs="Times New Roma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48485" cy="12280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22829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BD" w:rsidRPr="001A5784" w:rsidRDefault="00B337BD" w:rsidP="00B337BD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44546A" w:themeColor="text2"/>
                                <w:sz w:val="72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b/>
                                <w:noProof/>
                                <w:color w:val="002060"/>
                                <w:sz w:val="22"/>
                                <w:shd w:val="clear" w:color="auto" w:fill="001D77"/>
                                <w:lang w:eastAsia="pl-PL"/>
                              </w:rPr>
                              <w:t xml:space="preserve">             </w:t>
                            </w:r>
                            <w:r w:rsidR="000750BF" w:rsidRPr="000750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100</w:t>
                            </w:r>
                            <w:r w:rsidR="00191C8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.</w:t>
                            </w:r>
                            <w:r w:rsidR="000750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  <w:p w:rsidR="00933EC1" w:rsidRPr="009B23A5" w:rsidRDefault="00830475" w:rsidP="00B337BD">
                            <w:pPr>
                              <w:pStyle w:val="tekstnaniebieskimtle"/>
                              <w:ind w:left="142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index of </w:t>
                            </w:r>
                            <w:r w:rsidR="003A5070"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0750BF">
                              <w:rPr>
                                <w:lang w:val="en-GB"/>
                              </w:rPr>
                              <w:t>number of new</w:t>
                            </w:r>
                            <w:r w:rsidR="006C099D" w:rsidRPr="009B23A5">
                              <w:rPr>
                                <w:lang w:val="en-GB"/>
                              </w:rPr>
                              <w:t xml:space="preserve"> non-residential buildings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5pt;width:145.55pt;height:96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" fillcolor="#001d77" stroked="f">
                <v:textbox>
                  <w:txbxContent>
                    <w:p w:rsidR="00B337BD" w:rsidRPr="001A5784" w:rsidRDefault="00B337BD" w:rsidP="00B337BD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44546A" w:themeColor="text2"/>
                          <w:sz w:val="72"/>
                        </w:rPr>
                      </w:pPr>
                      <w:r>
                        <w:rPr>
                          <w:rFonts w:ascii="Fira Sans Light" w:hAnsi="Fira Sans Light"/>
                          <w:b/>
                          <w:noProof/>
                          <w:color w:val="002060"/>
                          <w:sz w:val="22"/>
                          <w:shd w:val="clear" w:color="auto" w:fill="001D77"/>
                          <w:lang w:eastAsia="pl-PL"/>
                        </w:rPr>
                        <w:t xml:space="preserve">             </w:t>
                      </w:r>
                      <w:r w:rsidR="000750BF" w:rsidRPr="000750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100</w:t>
                      </w:r>
                      <w:r w:rsidR="00191C8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.</w:t>
                      </w:r>
                      <w:bookmarkStart w:id="1" w:name="_GoBack"/>
                      <w:bookmarkEnd w:id="1"/>
                      <w:r w:rsidR="000750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</w:p>
                    <w:p w:rsidR="00933EC1" w:rsidRPr="009B23A5" w:rsidRDefault="00830475" w:rsidP="00B337BD">
                      <w:pPr>
                        <w:pStyle w:val="tekstnaniebieskimtle"/>
                        <w:ind w:left="142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index of </w:t>
                      </w:r>
                      <w:r w:rsidR="003A5070">
                        <w:rPr>
                          <w:lang w:val="en-GB"/>
                        </w:rPr>
                        <w:t xml:space="preserve">the </w:t>
                      </w:r>
                      <w:r w:rsidR="000750BF">
                        <w:rPr>
                          <w:lang w:val="en-GB"/>
                        </w:rPr>
                        <w:t>number of new</w:t>
                      </w:r>
                      <w:r w:rsidR="006C099D" w:rsidRPr="009B23A5">
                        <w:rPr>
                          <w:lang w:val="en-GB"/>
                        </w:rPr>
                        <w:t xml:space="preserve"> non-residential buildings 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8C8">
        <w:rPr>
          <w:rFonts w:asciiTheme="minorHAnsi" w:hAnsiTheme="minorHAnsi"/>
          <w:b w:val="0"/>
          <w:color w:val="001D77"/>
          <w:sz w:val="22"/>
        </w:rPr>
        <w:drawing>
          <wp:anchor distT="0" distB="0" distL="114300" distR="114300" simplePos="0" relativeHeight="251835392" behindDoc="0" locked="0" layoutInCell="1" allowOverlap="1" wp14:anchorId="6D8E1379" wp14:editId="7E8E0A94">
            <wp:simplePos x="0" y="0"/>
            <wp:positionH relativeFrom="column">
              <wp:posOffset>184245</wp:posOffset>
            </wp:positionH>
            <wp:positionV relativeFrom="paragraph">
              <wp:posOffset>235424</wp:posOffset>
            </wp:positionV>
            <wp:extent cx="367200" cy="367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9D" w:rsidRPr="00ED7CB9">
        <w:rPr>
          <w:rFonts w:eastAsia="Fira Sans Light" w:cs="Times New Roman"/>
          <w:lang w:val="en-US"/>
        </w:rPr>
        <w:t xml:space="preserve">In </w:t>
      </w:r>
      <w:r w:rsidR="00A976A2" w:rsidRPr="00ED7CB9">
        <w:rPr>
          <w:rFonts w:eastAsia="Fira Sans Light" w:cs="Times New Roman"/>
          <w:lang w:val="en-US"/>
        </w:rPr>
        <w:t xml:space="preserve">the </w:t>
      </w:r>
      <w:r w:rsidR="0019078F">
        <w:rPr>
          <w:rFonts w:eastAsia="Fira Sans Light" w:cs="Times New Roman"/>
          <w:lang w:val="en-US"/>
        </w:rPr>
        <w:t>I-I</w:t>
      </w:r>
      <w:r w:rsidR="00A75C04">
        <w:rPr>
          <w:rFonts w:eastAsia="Fira Sans Light" w:cs="Times New Roman"/>
          <w:lang w:val="en-US"/>
        </w:rPr>
        <w:t xml:space="preserve">II quarter </w:t>
      </w:r>
      <w:r w:rsidR="0019078F">
        <w:rPr>
          <w:rFonts w:eastAsia="Fira Sans Light" w:cs="Times New Roman"/>
          <w:lang w:val="en-US"/>
        </w:rPr>
        <w:t>o</w:t>
      </w:r>
      <w:r w:rsidR="00A976A2" w:rsidRPr="00B337BD">
        <w:rPr>
          <w:rFonts w:eastAsia="Fira Sans Light" w:cs="Times New Roman"/>
          <w:lang w:val="en-US"/>
        </w:rPr>
        <w:t>f 2018</w:t>
      </w:r>
      <w:r w:rsidR="006C099D" w:rsidRPr="00B337BD">
        <w:rPr>
          <w:rFonts w:eastAsia="Fira Sans Light" w:cs="Times New Roman"/>
          <w:lang w:val="en-US"/>
        </w:rPr>
        <w:t xml:space="preserve"> the number of new non-residential buildings completed </w:t>
      </w:r>
      <w:r w:rsidR="00B337BD" w:rsidRPr="00B337BD">
        <w:rPr>
          <w:rFonts w:eastAsia="Fira Sans Light" w:cs="Times New Roman"/>
          <w:lang w:val="en-US"/>
        </w:rPr>
        <w:t>in</w:t>
      </w:r>
      <w:r w:rsidR="005E5EDB" w:rsidRPr="00B337BD">
        <w:rPr>
          <w:rFonts w:eastAsia="Fira Sans Light" w:cs="Times New Roman"/>
          <w:lang w:val="en-US"/>
        </w:rPr>
        <w:t xml:space="preserve">creased </w:t>
      </w:r>
      <w:r w:rsidR="007C368F" w:rsidRPr="00B337BD">
        <w:rPr>
          <w:rFonts w:eastAsia="Fira Sans Light" w:cs="Times New Roman"/>
          <w:lang w:val="en-US"/>
        </w:rPr>
        <w:t>comp</w:t>
      </w:r>
      <w:r w:rsidR="00B95616" w:rsidRPr="00B337BD">
        <w:rPr>
          <w:rFonts w:eastAsia="Fira Sans Light" w:cs="Times New Roman"/>
          <w:lang w:val="en-US"/>
        </w:rPr>
        <w:t>ared</w:t>
      </w:r>
      <w:r w:rsidR="00941AB6" w:rsidRPr="00B337BD">
        <w:rPr>
          <w:rFonts w:eastAsia="Fira Sans Light" w:cs="Times New Roman"/>
          <w:lang w:val="en-US"/>
        </w:rPr>
        <w:t xml:space="preserve"> t</w:t>
      </w:r>
      <w:r w:rsidR="00B95616" w:rsidRPr="00B337BD">
        <w:rPr>
          <w:rFonts w:eastAsia="Fira Sans Light" w:cs="Times New Roman"/>
          <w:lang w:val="en-US"/>
        </w:rPr>
        <w:t xml:space="preserve">o </w:t>
      </w:r>
      <w:r w:rsidR="0065437F" w:rsidRPr="00B337BD">
        <w:rPr>
          <w:rFonts w:eastAsia="Fira Sans Light" w:cs="Times New Roman"/>
          <w:lang w:val="en-US"/>
        </w:rPr>
        <w:t xml:space="preserve">the </w:t>
      </w:r>
      <w:r w:rsidR="000D46A5" w:rsidRPr="00B337BD">
        <w:rPr>
          <w:rFonts w:eastAsia="Fira Sans Light" w:cs="Times New Roman"/>
          <w:lang w:val="en-US"/>
        </w:rPr>
        <w:t>corresponding period of</w:t>
      </w:r>
      <w:r w:rsidR="0050031E" w:rsidRPr="00B337BD">
        <w:rPr>
          <w:rFonts w:eastAsia="Fira Sans Light" w:cs="Times New Roman"/>
          <w:lang w:val="en-US"/>
        </w:rPr>
        <w:t xml:space="preserve"> the</w:t>
      </w:r>
      <w:r w:rsidR="000D46A5" w:rsidRPr="00B337BD">
        <w:rPr>
          <w:rFonts w:eastAsia="Fira Sans Light" w:cs="Times New Roman"/>
          <w:lang w:val="en-US"/>
        </w:rPr>
        <w:t xml:space="preserve"> previous year</w:t>
      </w:r>
      <w:r w:rsidR="008136CC" w:rsidRPr="00B337BD">
        <w:rPr>
          <w:rFonts w:eastAsia="Fira Sans Light" w:cs="Times New Roman"/>
          <w:lang w:val="en-US"/>
        </w:rPr>
        <w:t xml:space="preserve"> </w:t>
      </w:r>
      <w:r w:rsidR="00EF0CF8">
        <w:rPr>
          <w:rFonts w:eastAsia="Fira Sans Light" w:cs="Times New Roman"/>
          <w:lang w:val="en-US"/>
        </w:rPr>
        <w:t>and</w:t>
      </w:r>
      <w:r w:rsidR="008136CC" w:rsidRPr="00B337BD">
        <w:rPr>
          <w:rFonts w:eastAsia="Fira Sans Light" w:cs="Times New Roman"/>
          <w:lang w:val="en-US"/>
        </w:rPr>
        <w:t xml:space="preserve"> a</w:t>
      </w:r>
      <w:r w:rsidR="00725191">
        <w:rPr>
          <w:rFonts w:eastAsia="Fira Sans Light" w:cs="Times New Roman"/>
          <w:lang w:val="en-US"/>
        </w:rPr>
        <w:t> </w:t>
      </w:r>
      <w:r w:rsidR="00B337BD" w:rsidRPr="00B337BD">
        <w:rPr>
          <w:rFonts w:eastAsia="Fira Sans Light" w:cs="Times New Roman"/>
          <w:lang w:val="en-US"/>
        </w:rPr>
        <w:t>de</w:t>
      </w:r>
      <w:r w:rsidR="008136CC" w:rsidRPr="00B337BD">
        <w:rPr>
          <w:rFonts w:eastAsia="Fira Sans Light" w:cs="Times New Roman"/>
          <w:lang w:val="en-US"/>
        </w:rPr>
        <w:t xml:space="preserve">crease of their </w:t>
      </w:r>
      <w:r w:rsidR="001E5838" w:rsidRPr="00B337BD">
        <w:rPr>
          <w:rFonts w:eastAsia="Fira Sans Light" w:cs="Times New Roman"/>
          <w:lang w:val="en-US"/>
        </w:rPr>
        <w:t xml:space="preserve">total </w:t>
      </w:r>
      <w:r w:rsidR="008136CC" w:rsidRPr="00B337BD">
        <w:rPr>
          <w:rFonts w:eastAsia="Fira Sans Light" w:cs="Times New Roman"/>
          <w:lang w:val="en-US"/>
        </w:rPr>
        <w:t>useful floor area was recorded</w:t>
      </w:r>
      <w:r w:rsidR="00ED7CB9" w:rsidRPr="00B337BD">
        <w:rPr>
          <w:rStyle w:val="Odwoanieprzypisudolnego"/>
        </w:rPr>
        <w:footnoteReference w:id="1"/>
      </w:r>
      <w:r w:rsidR="00A61DDA" w:rsidRPr="00B337BD">
        <w:rPr>
          <w:rFonts w:eastAsia="Fira Sans Light" w:cs="Times New Roman"/>
          <w:lang w:val="en-US"/>
        </w:rPr>
        <w:t>.</w:t>
      </w:r>
      <w:r w:rsidR="00862BE7" w:rsidRPr="00B337BD">
        <w:rPr>
          <w:rFonts w:eastAsia="Fira Sans Light" w:cs="Times New Roman"/>
          <w:lang w:val="en-US"/>
        </w:rPr>
        <w:t xml:space="preserve"> </w:t>
      </w:r>
      <w:r w:rsidR="000D46A5" w:rsidRPr="00ED7CB9">
        <w:rPr>
          <w:rFonts w:eastAsia="Fira Sans Light" w:cs="Times New Roman"/>
          <w:lang w:val="en-US"/>
        </w:rPr>
        <w:t xml:space="preserve">The </w:t>
      </w:r>
      <w:r w:rsidR="006C099D" w:rsidRPr="00ED7CB9">
        <w:rPr>
          <w:rFonts w:eastAsia="Fira Sans Light" w:cs="Times New Roman"/>
          <w:lang w:val="en-US"/>
        </w:rPr>
        <w:t xml:space="preserve">number of </w:t>
      </w:r>
      <w:r w:rsidR="003F2104" w:rsidRPr="00ED7CB9">
        <w:rPr>
          <w:rFonts w:eastAsia="Fira Sans Light" w:cs="Times New Roman"/>
          <w:lang w:val="en-US"/>
        </w:rPr>
        <w:t xml:space="preserve">new </w:t>
      </w:r>
      <w:r w:rsidR="006C099D" w:rsidRPr="00ED7CB9">
        <w:rPr>
          <w:rFonts w:eastAsia="Fira Sans Light" w:cs="Times New Roman"/>
          <w:lang w:val="en-US"/>
        </w:rPr>
        <w:t xml:space="preserve">non-residential buildings for which permits have been granted or which </w:t>
      </w:r>
      <w:r w:rsidR="006C099D" w:rsidRPr="00B337BD">
        <w:rPr>
          <w:rFonts w:eastAsia="Fira Sans Light" w:cs="Times New Roman"/>
          <w:lang w:val="en-US"/>
        </w:rPr>
        <w:t>have been registered with a construction project</w:t>
      </w:r>
      <w:r w:rsidR="000D46A5" w:rsidRPr="00B337BD">
        <w:rPr>
          <w:rFonts w:eastAsia="Fira Sans Light" w:cs="Times New Roman"/>
          <w:lang w:val="en-US"/>
        </w:rPr>
        <w:t xml:space="preserve"> decreased however an increase </w:t>
      </w:r>
      <w:r w:rsidR="00A060E7" w:rsidRPr="00B337BD">
        <w:rPr>
          <w:rFonts w:eastAsia="Fira Sans Light" w:cs="Times New Roman"/>
          <w:lang w:val="en-US"/>
        </w:rPr>
        <w:t>of their useful floor</w:t>
      </w:r>
      <w:r w:rsidR="009B23A5" w:rsidRPr="00B337BD">
        <w:rPr>
          <w:rFonts w:eastAsia="Fira Sans Light" w:cs="Times New Roman"/>
          <w:lang w:val="en-US"/>
        </w:rPr>
        <w:t xml:space="preserve"> area </w:t>
      </w:r>
      <w:r w:rsidR="00CC3AB6" w:rsidRPr="00B337BD">
        <w:rPr>
          <w:rFonts w:eastAsia="Fira Sans Light" w:cs="Times New Roman"/>
          <w:lang w:val="en-US"/>
        </w:rPr>
        <w:t xml:space="preserve">was </w:t>
      </w:r>
      <w:r w:rsidR="00025986" w:rsidRPr="00873DE9">
        <w:rPr>
          <w:rFonts w:eastAsia="Fira Sans Light" w:cs="Times New Roman"/>
        </w:rPr>
        <w:t>recorded</w:t>
      </w:r>
      <w:r w:rsidR="000D46A5" w:rsidRPr="00B337BD">
        <w:rPr>
          <w:rFonts w:eastAsia="Fira Sans Light" w:cs="Times New Roman"/>
          <w:lang w:val="en-US"/>
        </w:rPr>
        <w:t>.</w:t>
      </w:r>
    </w:p>
    <w:p w:rsidR="00873DE9" w:rsidRDefault="00873DE9" w:rsidP="00873DE9">
      <w:pPr>
        <w:spacing w:before="0" w:after="0"/>
        <w:rPr>
          <w:rFonts w:cs="Arial"/>
          <w:lang w:val="en-US"/>
        </w:rPr>
      </w:pPr>
    </w:p>
    <w:p w:rsidR="0019078F" w:rsidRPr="00A34AB7" w:rsidRDefault="0019078F" w:rsidP="00873DE9">
      <w:pPr>
        <w:spacing w:before="0" w:after="0"/>
        <w:rPr>
          <w:rFonts w:cs="Arial"/>
          <w:lang w:val="en-US"/>
        </w:rPr>
      </w:pPr>
    </w:p>
    <w:p w:rsidR="001E5838" w:rsidRPr="00976E3E" w:rsidRDefault="00914A06" w:rsidP="00947D26">
      <w:pPr>
        <w:pStyle w:val="LID"/>
        <w:rPr>
          <w:rFonts w:ascii="Fira Sans SemiBold" w:hAnsi="Fira Sans SemiBold"/>
          <w:b w:val="0"/>
          <w:sz w:val="24"/>
          <w:szCs w:val="24"/>
          <w:shd w:val="clear" w:color="auto" w:fill="FFFFFF"/>
          <w:lang w:val="en-US"/>
        </w:rPr>
      </w:pPr>
      <w:r w:rsidRPr="00976E3E">
        <w:rPr>
          <w:rFonts w:ascii="Fira Sans SemiBold" w:eastAsia="Fira Sans Light" w:hAnsi="Fira Sans SemiBold"/>
          <w:b w:val="0"/>
          <w:bCs/>
          <w:color w:val="001D77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5250966</wp:posOffset>
                </wp:positionH>
                <wp:positionV relativeFrom="paragraph">
                  <wp:posOffset>187164</wp:posOffset>
                </wp:positionV>
                <wp:extent cx="1757045" cy="1066800"/>
                <wp:effectExtent l="0" t="0" r="0" b="0"/>
                <wp:wrapTight wrapText="bothSides">
                  <wp:wrapPolygon edited="0">
                    <wp:start x="703" y="0"/>
                    <wp:lineTo x="703" y="21214"/>
                    <wp:lineTo x="20843" y="21214"/>
                    <wp:lineTo x="20843" y="0"/>
                    <wp:lineTo x="703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115725" w:rsidRDefault="003907EF" w:rsidP="00862BE7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9F7D8F">
                              <w:rPr>
                                <w:sz w:val="19"/>
                                <w:szCs w:val="19"/>
                                <w:lang w:val="en-GB"/>
                              </w:rPr>
                              <w:t>The largest sha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re (4</w:t>
                            </w:r>
                            <w:r w:rsidR="00115725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5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="00115725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2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%)</w:t>
                            </w:r>
                            <w:r w:rsidR="00466699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br/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i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n usefu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l floor area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of non-residential buildings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completed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</w:rPr>
                              <w:t xml:space="preserve">was 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held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</w:rPr>
                              <w:t xml:space="preserve"> by 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industrial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buildings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warehouses</w:t>
                            </w:r>
                            <w:r w:rsidR="0009559B" w:rsidRPr="00115725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13.45pt;margin-top:14.75pt;width:138.35pt;height:8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" filled="f" stroked="f">
                <v:textbox>
                  <w:txbxContent>
                    <w:p w:rsidR="006613B8" w:rsidRPr="00115725" w:rsidRDefault="003907EF" w:rsidP="00862BE7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9F7D8F">
                        <w:rPr>
                          <w:sz w:val="19"/>
                          <w:szCs w:val="19"/>
                          <w:lang w:val="en-GB"/>
                        </w:rPr>
                        <w:t>The largest sha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re (4</w:t>
                      </w:r>
                      <w:r w:rsidR="00115725" w:rsidRPr="00115725">
                        <w:rPr>
                          <w:sz w:val="19"/>
                          <w:szCs w:val="19"/>
                          <w:lang w:val="en-GB"/>
                        </w:rPr>
                        <w:t>5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.</w:t>
                      </w:r>
                      <w:r w:rsidR="00115725" w:rsidRPr="00115725">
                        <w:rPr>
                          <w:sz w:val="19"/>
                          <w:szCs w:val="19"/>
                          <w:lang w:val="en-GB"/>
                        </w:rPr>
                        <w:t>2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%)</w:t>
                      </w:r>
                      <w:r w:rsidR="00466699" w:rsidRPr="00115725">
                        <w:rPr>
                          <w:sz w:val="19"/>
                          <w:szCs w:val="19"/>
                          <w:lang w:val="en-GB"/>
                        </w:rPr>
                        <w:br/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i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n usefu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 xml:space="preserve">l floor area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of non-residential buildings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completed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9559B" w:rsidRPr="00115725">
                        <w:rPr>
                          <w:sz w:val="19"/>
                          <w:szCs w:val="19"/>
                        </w:rPr>
                        <w:t xml:space="preserve">was 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held</w:t>
                      </w:r>
                      <w:r w:rsidR="0009559B" w:rsidRPr="00115725">
                        <w:rPr>
                          <w:sz w:val="19"/>
                          <w:szCs w:val="19"/>
                        </w:rPr>
                        <w:t xml:space="preserve"> by 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industrial</w:t>
                      </w:r>
                      <w:r w:rsidR="0009559B"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buildings</w:t>
                      </w:r>
                      <w:r w:rsidR="0009559B" w:rsidRPr="00115725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09559B" w:rsidRPr="00115725">
                        <w:rPr>
                          <w:sz w:val="19"/>
                          <w:szCs w:val="19"/>
                          <w:lang w:val="en-GB"/>
                        </w:rPr>
                        <w:t>warehouses</w:t>
                      </w:r>
                      <w:r w:rsidR="0009559B" w:rsidRPr="00115725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5838" w:rsidRPr="00976E3E">
        <w:rPr>
          <w:rFonts w:ascii="Fira Sans SemiBold" w:hAnsi="Fira Sans SemiBold"/>
          <w:b w:val="0"/>
          <w:color w:val="001D77"/>
          <w:sz w:val="24"/>
          <w:szCs w:val="24"/>
          <w:shd w:val="clear" w:color="auto" w:fill="FFFFFF"/>
          <w:lang w:val="en-US"/>
        </w:rPr>
        <w:t xml:space="preserve">Material </w:t>
      </w:r>
      <w:r w:rsidR="001E5838" w:rsidRPr="00976E3E">
        <w:rPr>
          <w:rFonts w:ascii="Fira Sans SemiBold" w:eastAsia="Fira Sans Light" w:hAnsi="Fira Sans SemiBold"/>
          <w:b w:val="0"/>
          <w:color w:val="001D77"/>
          <w:sz w:val="24"/>
          <w:szCs w:val="24"/>
          <w:shd w:val="clear" w:color="auto" w:fill="FFFFFF"/>
          <w:lang w:val="en-GB"/>
        </w:rPr>
        <w:t>effects</w:t>
      </w:r>
      <w:r w:rsidR="001E5838" w:rsidRPr="00976E3E">
        <w:rPr>
          <w:rFonts w:ascii="Fira Sans SemiBold" w:hAnsi="Fira Sans SemiBold"/>
          <w:b w:val="0"/>
          <w:color w:val="001D77"/>
          <w:sz w:val="24"/>
          <w:szCs w:val="24"/>
          <w:shd w:val="clear" w:color="auto" w:fill="FFFFFF"/>
          <w:lang w:val="en-US"/>
        </w:rPr>
        <w:t xml:space="preserve"> of non-residential buildings</w:t>
      </w:r>
      <w:r w:rsidR="0065437F" w:rsidRPr="00976E3E">
        <w:rPr>
          <w:rFonts w:ascii="Fira Sans SemiBold" w:hAnsi="Fira Sans SemiBold"/>
          <w:b w:val="0"/>
          <w:color w:val="001D77"/>
          <w:sz w:val="24"/>
          <w:szCs w:val="24"/>
          <w:shd w:val="clear" w:color="auto" w:fill="FFFFFF"/>
          <w:lang w:val="en-US"/>
        </w:rPr>
        <w:t xml:space="preserve"> construction</w:t>
      </w:r>
    </w:p>
    <w:p w:rsidR="008D23FC" w:rsidRDefault="0074323A" w:rsidP="00ED7CB9">
      <w:pPr>
        <w:jc w:val="both"/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</w:pP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In the </w:t>
      </w:r>
      <w:r w:rsidR="001F5D2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I</w:t>
      </w:r>
      <w:r w:rsidR="0019078F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-</w:t>
      </w:r>
      <w:r w:rsidR="001F5D2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III</w:t>
      </w:r>
      <w:r w:rsidR="0019078F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1F5D2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quarter </w:t>
      </w:r>
      <w:r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of 2018</w:t>
      </w:r>
      <w:r w:rsidR="00B44F02"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</w:t>
      </w:r>
      <w:r w:rsidR="00B44F02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941AB6"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</w:t>
      </w:r>
      <w:r w:rsidR="00B337BD"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6</w:t>
      </w:r>
      <w:r w:rsidR="004B064D"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</w:t>
      </w:r>
      <w:r w:rsidR="00B337BD"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950</w:t>
      </w:r>
      <w:r w:rsidRPr="00694B66">
        <w:rPr>
          <w:rFonts w:eastAsia="Fira Sans Light" w:cs="Times New Roman"/>
          <w:bCs/>
          <w:color w:val="FF0000"/>
          <w:szCs w:val="19"/>
          <w:shd w:val="clear" w:color="auto" w:fill="FFFFFF"/>
          <w:lang w:val="en-US" w:eastAsia="pl-PL"/>
        </w:rPr>
        <w:t xml:space="preserve">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new non-residential buildings</w:t>
      </w:r>
      <w:r w:rsidR="00941AB6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C331D4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completed</w:t>
      </w:r>
      <w:r w:rsidR="00941AB6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and 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2,729 </w:t>
      </w:r>
      <w:r w:rsidR="00C331D4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expanded (respectively by 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0</w:t>
      </w:r>
      <w:r w:rsid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2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% 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more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and 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</w:t>
      </w:r>
      <w:r w:rsid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  <w:r w:rsid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5</w:t>
      </w:r>
      <w:r w:rsidRPr="00B337BD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% less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than in the corresponding period of the previous year). 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The total useful floor area of new and expanded non-residential buildings</w:t>
      </w:r>
      <w:r w:rsidR="00941AB6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completed</w:t>
      </w:r>
      <w:r w:rsidR="00941AB6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941AB6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amounted to 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11,558.6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thous. sq m</w:t>
      </w:r>
      <w:r w:rsidR="0065437F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, 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1.2% less</w:t>
      </w:r>
      <w:r w:rsidR="0065437F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than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C331D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a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year</w:t>
      </w:r>
      <w:r w:rsidR="00C331D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before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. The largest increases in the </w:t>
      </w:r>
      <w:r w:rsidR="009541B0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useful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floor area</w:t>
      </w:r>
      <w:r w:rsidR="00941AB6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recorded for 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office buildings (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29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2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%) and 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hotels and similar buildings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(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18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.5%).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In terms of the </w:t>
      </w:r>
      <w:r w:rsidR="0065437F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useful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floor area in the </w:t>
      </w:r>
      <w:r w:rsidR="00EF0CF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three quarters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of 2018 predominated</w:t>
      </w:r>
      <w:r w:rsidR="0065437F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4C2358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industrial buildings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and warehouses</w:t>
      </w:r>
      <w:r w:rsidR="00EF0CF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EF0CF8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(45.2%)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. Significant shares were also held by 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other non-residential buildings (2</w:t>
      </w:r>
      <w:r w:rsidR="00467144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  <w:r w:rsidR="00467144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0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%) and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wholesale and retail</w:t>
      </w:r>
      <w:r w:rsidR="00941AB6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trade buildings (1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3</w:t>
      </w:r>
      <w:r w:rsidR="00CF18B4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  <w:r w:rsidR="00115725" w:rsidRPr="00115725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7</w:t>
      </w:r>
      <w:r w:rsidR="00CF18B4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%)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</w:p>
    <w:p w:rsidR="00914A06" w:rsidRPr="003A5070" w:rsidRDefault="0076097F" w:rsidP="00ED7CB9">
      <w:pPr>
        <w:jc w:val="both"/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36416" behindDoc="1" locked="0" layoutInCell="1" allowOverlap="1" wp14:anchorId="128E4ABE">
            <wp:simplePos x="0" y="0"/>
            <wp:positionH relativeFrom="column">
              <wp:posOffset>-378934</wp:posOffset>
            </wp:positionH>
            <wp:positionV relativeFrom="paragraph">
              <wp:posOffset>228600</wp:posOffset>
            </wp:positionV>
            <wp:extent cx="2761615" cy="31337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31F" w:rsidRPr="00914A06" w:rsidRDefault="0073731F" w:rsidP="002959B6">
      <w:pPr>
        <w:pStyle w:val="tytuwykresu"/>
        <w:ind w:left="709" w:hanging="709"/>
        <w:rPr>
          <w:sz w:val="19"/>
          <w:szCs w:val="19"/>
          <w:shd w:val="clear" w:color="auto" w:fill="FFFFFF"/>
          <w:lang w:val="en-GB"/>
        </w:rPr>
      </w:pPr>
      <w:r w:rsidRPr="00914A06">
        <w:rPr>
          <w:sz w:val="19"/>
          <w:szCs w:val="19"/>
          <w:lang w:val="en-GB"/>
        </w:rPr>
        <w:t>Chart 1.</w:t>
      </w:r>
      <w:r w:rsidR="008136CC" w:rsidRPr="00914A06">
        <w:rPr>
          <w:sz w:val="19"/>
          <w:szCs w:val="19"/>
          <w:shd w:val="clear" w:color="auto" w:fill="FFFFFF"/>
          <w:lang w:val="en-GB"/>
        </w:rPr>
        <w:tab/>
      </w:r>
      <w:r w:rsidR="0074323A" w:rsidRPr="00914A06">
        <w:rPr>
          <w:sz w:val="19"/>
          <w:szCs w:val="19"/>
          <w:shd w:val="clear" w:color="auto" w:fill="FFFFFF"/>
          <w:lang w:val="en-GB"/>
        </w:rPr>
        <w:t>The structure of</w:t>
      </w:r>
      <w:r w:rsidR="00181D3A" w:rsidRPr="00914A06">
        <w:rPr>
          <w:sz w:val="19"/>
          <w:szCs w:val="19"/>
          <w:shd w:val="clear" w:color="auto" w:fill="FFFFFF"/>
          <w:lang w:val="en-GB"/>
        </w:rPr>
        <w:t xml:space="preserve"> </w:t>
      </w:r>
      <w:r w:rsidR="0074323A" w:rsidRPr="00914A06">
        <w:rPr>
          <w:sz w:val="19"/>
          <w:szCs w:val="19"/>
          <w:shd w:val="clear" w:color="auto" w:fill="FFFFFF"/>
          <w:lang w:val="en-GB"/>
        </w:rPr>
        <w:t>u</w:t>
      </w:r>
      <w:r w:rsidRPr="00914A06">
        <w:rPr>
          <w:sz w:val="19"/>
          <w:szCs w:val="19"/>
          <w:shd w:val="clear" w:color="auto" w:fill="FFFFFF"/>
          <w:lang w:val="en-GB"/>
        </w:rPr>
        <w:t>seful floo</w:t>
      </w:r>
      <w:r w:rsidRPr="00445A7B">
        <w:rPr>
          <w:sz w:val="19"/>
          <w:szCs w:val="19"/>
          <w:shd w:val="clear" w:color="auto" w:fill="FFFFFF"/>
          <w:lang w:val="en-GB"/>
        </w:rPr>
        <w:t xml:space="preserve">r area of </w:t>
      </w:r>
      <w:r w:rsidR="003B0B72" w:rsidRPr="00445A7B">
        <w:rPr>
          <w:sz w:val="19"/>
          <w:szCs w:val="19"/>
          <w:shd w:val="clear" w:color="auto" w:fill="FFFFFF"/>
          <w:lang w:val="en-GB"/>
        </w:rPr>
        <w:t>non</w:t>
      </w:r>
      <w:r w:rsidRPr="00445A7B">
        <w:rPr>
          <w:sz w:val="19"/>
          <w:szCs w:val="19"/>
          <w:shd w:val="clear" w:color="auto" w:fill="FFFFFF"/>
          <w:lang w:val="en-GB"/>
        </w:rPr>
        <w:t>-residential buildings com</w:t>
      </w:r>
      <w:r w:rsidR="00E32177" w:rsidRPr="00445A7B">
        <w:rPr>
          <w:sz w:val="19"/>
          <w:szCs w:val="19"/>
          <w:shd w:val="clear" w:color="auto" w:fill="FFFFFF"/>
          <w:lang w:val="en-GB"/>
        </w:rPr>
        <w:t xml:space="preserve">pleted </w:t>
      </w:r>
      <w:r w:rsidR="009541B0" w:rsidRPr="00445A7B">
        <w:rPr>
          <w:sz w:val="19"/>
          <w:szCs w:val="19"/>
          <w:shd w:val="clear" w:color="auto" w:fill="FFFFFF"/>
          <w:lang w:val="en-GB"/>
        </w:rPr>
        <w:t>in the</w:t>
      </w:r>
      <w:r w:rsidR="00C526ED">
        <w:rPr>
          <w:sz w:val="19"/>
          <w:szCs w:val="19"/>
          <w:shd w:val="clear" w:color="auto" w:fill="FFFFFF"/>
          <w:lang w:val="en-GB"/>
        </w:rPr>
        <w:br/>
        <w:t>I-III quarter</w:t>
      </w:r>
      <w:r w:rsidR="00445A7B" w:rsidRPr="00445A7B">
        <w:rPr>
          <w:sz w:val="19"/>
          <w:szCs w:val="19"/>
          <w:shd w:val="clear" w:color="auto" w:fill="FFFFFF"/>
          <w:lang w:val="en-GB"/>
        </w:rPr>
        <w:t xml:space="preserve"> </w:t>
      </w:r>
      <w:r w:rsidR="009541B0" w:rsidRPr="00445A7B">
        <w:rPr>
          <w:sz w:val="19"/>
          <w:szCs w:val="19"/>
          <w:shd w:val="clear" w:color="auto" w:fill="FFFFFF"/>
          <w:lang w:val="en-GB"/>
        </w:rPr>
        <w:t>of</w:t>
      </w:r>
      <w:r w:rsidR="00CF18B4" w:rsidRPr="00445A7B">
        <w:rPr>
          <w:sz w:val="19"/>
          <w:szCs w:val="19"/>
          <w:shd w:val="clear" w:color="auto" w:fill="FFFFFF"/>
          <w:lang w:val="en-GB"/>
        </w:rPr>
        <w:t> </w:t>
      </w:r>
      <w:r w:rsidR="009541B0" w:rsidRPr="00445A7B">
        <w:rPr>
          <w:sz w:val="19"/>
          <w:szCs w:val="19"/>
          <w:shd w:val="clear" w:color="auto" w:fill="FFFFFF"/>
          <w:lang w:val="en-GB"/>
        </w:rPr>
        <w:t>2018</w:t>
      </w: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784A92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  <w:r w:rsidRPr="00A15477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5E3B802" wp14:editId="7C16F50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16555" cy="1287145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77" w:rsidRPr="00784A92" w:rsidRDefault="001F51E7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001D77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 xml:space="preserve">industrial buildings and warehouses </w:t>
                            </w:r>
                            <w:r w:rsidR="00A15C77" w:rsidRPr="00784A92">
                              <w:rPr>
                                <w:sz w:val="16"/>
                                <w:lang w:val="en-GB"/>
                              </w:rPr>
                              <w:t>(PKOB 125)</w:t>
                            </w:r>
                          </w:p>
                          <w:p w:rsidR="00A15C77" w:rsidRPr="00784A92" w:rsidRDefault="00784A92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334A92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other non-residential buildings</w:t>
                            </w:r>
                            <w:r w:rsidR="0041402B">
                              <w:rPr>
                                <w:sz w:val="16"/>
                                <w:lang w:val="en-GB"/>
                              </w:rPr>
                              <w:t xml:space="preserve"> (PKOB 127)</w:t>
                            </w:r>
                          </w:p>
                          <w:p w:rsidR="00A15C77" w:rsidRPr="00784A92" w:rsidRDefault="00784A92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6677AD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wholesale and retail trade buildings (PKOB 123)</w:t>
                            </w:r>
                          </w:p>
                          <w:p w:rsidR="00A15C77" w:rsidRPr="00784A92" w:rsidRDefault="00784A92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99A5C9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office buildings (PKOB 122)</w:t>
                            </w:r>
                          </w:p>
                          <w:p w:rsidR="00A15C77" w:rsidRPr="00784A92" w:rsidRDefault="00784A92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CCD2E4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buildings for public entertainment, education, hospital</w:t>
                            </w:r>
                            <w:r w:rsidRPr="00784A92">
                              <w:rPr>
                                <w:sz w:val="16"/>
                                <w:lang w:val="en-GB"/>
                              </w:rPr>
                              <w:br/>
                              <w:t>and institutional care and sport halls (PKOB 126)</w:t>
                            </w:r>
                          </w:p>
                          <w:p w:rsidR="00A15C77" w:rsidRPr="00784A92" w:rsidRDefault="00784A92" w:rsidP="00784A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898989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hotels and similar buildings (PKOB 121)</w:t>
                            </w:r>
                          </w:p>
                          <w:p w:rsidR="00784A92" w:rsidRPr="00784A92" w:rsidRDefault="00784A92" w:rsidP="00A15C7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C5C5C5"/>
                                <w:sz w:val="16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traffic and communication buildings</w:t>
                            </w:r>
                            <w:r w:rsidRPr="00784A92">
                              <w:rPr>
                                <w:sz w:val="16"/>
                              </w:rPr>
                              <w:t xml:space="preserve"> (PKOB 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B802" id="_x0000_s1028" type="#_x0000_t202" style="position:absolute;margin-left:178.45pt;margin-top:.75pt;width:229.65pt;height:101.35pt;z-index:251805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" filled="f" stroked="f">
                <v:textbox>
                  <w:txbxContent>
                    <w:p w:rsidR="00A15C77" w:rsidRPr="00784A92" w:rsidRDefault="001F51E7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001D77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 xml:space="preserve">industrial buildings and warehouses </w:t>
                      </w:r>
                      <w:r w:rsidR="00A15C77" w:rsidRPr="00784A92">
                        <w:rPr>
                          <w:sz w:val="16"/>
                          <w:lang w:val="en-GB"/>
                        </w:rPr>
                        <w:t>(PKOB 125)</w:t>
                      </w:r>
                    </w:p>
                    <w:p w:rsidR="00A15C77" w:rsidRPr="00784A92" w:rsidRDefault="00784A92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334A92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other non-residential buildings</w:t>
                      </w:r>
                      <w:r w:rsidR="0041402B">
                        <w:rPr>
                          <w:sz w:val="16"/>
                          <w:lang w:val="en-GB"/>
                        </w:rPr>
                        <w:t xml:space="preserve"> (PKOB 127)</w:t>
                      </w:r>
                    </w:p>
                    <w:p w:rsidR="00A15C77" w:rsidRPr="00784A92" w:rsidRDefault="00784A92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6677AD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wholesale and retail trade buildings (PKOB 123)</w:t>
                      </w:r>
                    </w:p>
                    <w:p w:rsidR="00A15C77" w:rsidRPr="00784A92" w:rsidRDefault="00784A92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99A5C9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office buildings (PKOB 122)</w:t>
                      </w:r>
                    </w:p>
                    <w:p w:rsidR="00A15C77" w:rsidRPr="00784A92" w:rsidRDefault="00784A92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CCD2E4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buildings for public entertainment, education, hospital</w:t>
                      </w:r>
                      <w:r w:rsidRPr="00784A92">
                        <w:rPr>
                          <w:sz w:val="16"/>
                          <w:lang w:val="en-GB"/>
                        </w:rPr>
                        <w:br/>
                        <w:t>and institutional care and sport halls (PKOB 126)</w:t>
                      </w:r>
                    </w:p>
                    <w:p w:rsidR="00A15C77" w:rsidRPr="00784A92" w:rsidRDefault="00784A92" w:rsidP="00784A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898989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hotels and similar buildings (PKOB 121)</w:t>
                      </w:r>
                    </w:p>
                    <w:p w:rsidR="00784A92" w:rsidRPr="00784A92" w:rsidRDefault="00784A92" w:rsidP="00A15C7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C5C5C5"/>
                          <w:sz w:val="16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traffic and communication buildings</w:t>
                      </w:r>
                      <w:r w:rsidRPr="00784A92">
                        <w:rPr>
                          <w:sz w:val="16"/>
                        </w:rPr>
                        <w:t xml:space="preserve"> (PKOB 124)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1F51E7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</w:p>
    <w:p w:rsidR="00CF18B4" w:rsidRDefault="001F51E7" w:rsidP="001F51E7">
      <w:pPr>
        <w:pStyle w:val="tytuwykresu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  <w:r w:rsidRPr="00CF18B4">
        <w:rPr>
          <w:rFonts w:eastAsia="Fira Sans Light" w:cs="Times New Roman"/>
          <w:b w:val="0"/>
          <w:bCs/>
          <w:noProof/>
          <w:spacing w:val="0"/>
          <w:sz w:val="19"/>
          <w:szCs w:val="19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145415</wp:posOffset>
                </wp:positionV>
                <wp:extent cx="1772285" cy="1216660"/>
                <wp:effectExtent l="0" t="0" r="0" b="2540"/>
                <wp:wrapTight wrapText="bothSides">
                  <wp:wrapPolygon edited="0">
                    <wp:start x="697" y="0"/>
                    <wp:lineTo x="697" y="21307"/>
                    <wp:lineTo x="20664" y="21307"/>
                    <wp:lineTo x="20664" y="0"/>
                    <wp:lineTo x="697" y="0"/>
                  </wp:wrapPolygon>
                </wp:wrapTight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B9" w:rsidRPr="006218C2" w:rsidRDefault="006218C2" w:rsidP="00ED7CB9">
                            <w:pPr>
                              <w:pStyle w:val="tekstzboku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>The useful floor area of</w:t>
                            </w:r>
                            <w:r w:rsidR="00466699">
                              <w:rPr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>non-residential buildings comple</w:t>
                            </w:r>
                            <w:r w:rsidRPr="007C669D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ted in voivodships: </w:t>
                            </w:r>
                            <w:r w:rsidRPr="007C669D">
                              <w:rPr>
                                <w:sz w:val="19"/>
                                <w:szCs w:val="19"/>
                              </w:rPr>
                              <w:t>mazowieckie</w:t>
                            </w:r>
                            <w:r w:rsidRPr="007C669D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r w:rsidRPr="007C669D">
                              <w:rPr>
                                <w:sz w:val="19"/>
                                <w:szCs w:val="19"/>
                              </w:rPr>
                              <w:t>wielkopolskie</w:t>
                            </w:r>
                            <w:r w:rsidRPr="007C669D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and </w:t>
                            </w:r>
                            <w:r w:rsidRPr="007C669D">
                              <w:rPr>
                                <w:sz w:val="19"/>
                                <w:szCs w:val="19"/>
                              </w:rPr>
                              <w:t>śląskie</w:t>
                            </w:r>
                            <w:r w:rsidRPr="007C669D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accounted for over 4</w:t>
                            </w:r>
                            <w:r w:rsidR="007C669D" w:rsidRPr="007C669D">
                              <w:rPr>
                                <w:sz w:val="19"/>
                                <w:szCs w:val="19"/>
                                <w:lang w:val="en-US"/>
                              </w:rPr>
                              <w:t>0</w:t>
                            </w: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% of the total useful </w:t>
                            </w:r>
                            <w:r w:rsidR="003B0B7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floor </w:t>
                            </w: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area </w:t>
                            </w:r>
                            <w:r w:rsidR="000B41CB">
                              <w:rPr>
                                <w:sz w:val="19"/>
                                <w:szCs w:val="19"/>
                                <w:lang w:val="en-US"/>
                              </w:rPr>
                              <w:t>in the country</w:t>
                            </w:r>
                          </w:p>
                        </w:txbxContent>
                      </wps:txbx>
                      <wps:bodyPr rot="0" vert="horz" wrap="square" lIns="90000" tIns="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411.55pt;margin-top:11.45pt;width:139.55pt;height:95.8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" filled="f" stroked="f">
                <v:textbox inset="2.5mm,0">
                  <w:txbxContent>
                    <w:p w:rsidR="00ED7CB9" w:rsidRPr="006218C2" w:rsidRDefault="006218C2" w:rsidP="00ED7CB9">
                      <w:pPr>
                        <w:pStyle w:val="tekstzboku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>The useful floor area of</w:t>
                      </w:r>
                      <w:r w:rsidR="00466699">
                        <w:rPr>
                          <w:sz w:val="19"/>
                          <w:szCs w:val="19"/>
                          <w:lang w:val="en-US"/>
                        </w:rPr>
                        <w:br/>
                      </w: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>non-residential buildings comple</w:t>
                      </w:r>
                      <w:r w:rsidRPr="007C669D">
                        <w:rPr>
                          <w:sz w:val="19"/>
                          <w:szCs w:val="19"/>
                          <w:lang w:val="en-US"/>
                        </w:rPr>
                        <w:t xml:space="preserve">ted in voivodships: </w:t>
                      </w:r>
                      <w:r w:rsidRPr="007C669D">
                        <w:rPr>
                          <w:sz w:val="19"/>
                          <w:szCs w:val="19"/>
                        </w:rPr>
                        <w:t>mazowieckie</w:t>
                      </w:r>
                      <w:r w:rsidRPr="007C669D">
                        <w:rPr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r w:rsidRPr="007C669D">
                        <w:rPr>
                          <w:sz w:val="19"/>
                          <w:szCs w:val="19"/>
                        </w:rPr>
                        <w:t>wielkopolskie</w:t>
                      </w:r>
                      <w:r w:rsidRPr="007C669D">
                        <w:rPr>
                          <w:sz w:val="19"/>
                          <w:szCs w:val="19"/>
                          <w:lang w:val="en-US"/>
                        </w:rPr>
                        <w:t xml:space="preserve"> and </w:t>
                      </w:r>
                      <w:r w:rsidRPr="007C669D">
                        <w:rPr>
                          <w:sz w:val="19"/>
                          <w:szCs w:val="19"/>
                        </w:rPr>
                        <w:t>śląskie</w:t>
                      </w:r>
                      <w:r w:rsidRPr="007C669D">
                        <w:rPr>
                          <w:sz w:val="19"/>
                          <w:szCs w:val="19"/>
                          <w:lang w:val="en-US"/>
                        </w:rPr>
                        <w:t xml:space="preserve"> accounted for over 4</w:t>
                      </w:r>
                      <w:r w:rsidR="007C669D" w:rsidRPr="007C669D">
                        <w:rPr>
                          <w:sz w:val="19"/>
                          <w:szCs w:val="19"/>
                          <w:lang w:val="en-US"/>
                        </w:rPr>
                        <w:t>0</w:t>
                      </w: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% of the total useful </w:t>
                      </w:r>
                      <w:r w:rsidR="003B0B72">
                        <w:rPr>
                          <w:sz w:val="19"/>
                          <w:szCs w:val="19"/>
                          <w:lang w:val="en-US"/>
                        </w:rPr>
                        <w:t xml:space="preserve">floor </w:t>
                      </w: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area </w:t>
                      </w:r>
                      <w:r w:rsidR="000B41CB">
                        <w:rPr>
                          <w:sz w:val="19"/>
                          <w:szCs w:val="19"/>
                          <w:lang w:val="en-US"/>
                        </w:rPr>
                        <w:t>in the country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5938" w:rsidRPr="007C669D" w:rsidRDefault="00E65293" w:rsidP="00914A06">
      <w:pPr>
        <w:jc w:val="both"/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</w:pP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The largest useful</w:t>
      </w:r>
      <w:r w:rsidR="008F42D6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floor area of non-residential buildings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in </w:t>
      </w:r>
      <w:r w:rsidR="0019078F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the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I-</w:t>
      </w:r>
      <w:r w:rsidR="001F5D28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I</w:t>
      </w:r>
      <w:r w:rsidR="00A75C04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II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="00A75C04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quarter </w:t>
      </w:r>
      <w:r w:rsidR="002959B6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of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2018 </w:t>
      </w:r>
      <w:r w:rsidR="009541B0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was completed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in the following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voivodships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: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m</w:t>
      </w:r>
      <w:r w:rsidR="008F42D6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azowieckie</w:t>
      </w:r>
      <w:r w:rsidR="008F42D6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(1</w:t>
      </w:r>
      <w:r w:rsidR="004B064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,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803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.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0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thousand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 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),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w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ielkopolskie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1,592.6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thousand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</w:t>
      </w:r>
      <w:r w:rsid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 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 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ś</w:t>
      </w:r>
      <w:r w:rsidR="00141743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ląskie</w:t>
      </w:r>
      <w:r w:rsidR="00141743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1,247.5</w:t>
      </w:r>
      <w:r w:rsidR="00141743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thousand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 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), the smallest in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opolskie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280.6</w:t>
      </w:r>
      <w:r w:rsidR="00914A06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 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thousand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 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),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świętokrzyskie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281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.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0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thousand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 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 and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lubuskie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343.2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thousand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sq</w:t>
      </w:r>
      <w:r w:rsidR="002959B6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 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). </w:t>
      </w:r>
      <w:r w:rsidR="004D2474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I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n relation to the same period of the previous year </w:t>
      </w:r>
      <w:r w:rsidR="004D2474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t</w:t>
      </w:r>
      <w:r w:rsidR="004D2474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he largest increase in area 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was recorded in the</w:t>
      </w:r>
      <w:r w:rsidR="008F42D6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v</w:t>
      </w:r>
      <w:r w:rsidR="0035723B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oi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vodships: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ś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więtokrzyskie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(increase by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44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.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1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%), 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lubuskie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26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.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0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%),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pomorskie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17.8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%) and </w:t>
      </w:r>
      <w:r w:rsidR="0011084C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m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eastAsia="pl-PL"/>
        </w:rPr>
        <w:t>ałopolskie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 xml:space="preserve"> (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1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7.</w:t>
      </w:r>
      <w:r w:rsidR="007C669D"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6</w:t>
      </w:r>
      <w:r w:rsidRPr="007C669D">
        <w:rPr>
          <w:rFonts w:eastAsia="Fira Sans Light" w:cs="Times New Roman"/>
          <w:bCs/>
          <w:spacing w:val="-2"/>
          <w:szCs w:val="19"/>
          <w:shd w:val="clear" w:color="auto" w:fill="FFFFFF"/>
          <w:lang w:val="en-US" w:eastAsia="pl-PL"/>
        </w:rPr>
        <w:t>%).</w:t>
      </w:r>
    </w:p>
    <w:p w:rsidR="00A61624" w:rsidRDefault="00A61624" w:rsidP="002959B6">
      <w:pPr>
        <w:pStyle w:val="tytuwykresu"/>
        <w:ind w:left="709" w:hanging="709"/>
        <w:rPr>
          <w:sz w:val="19"/>
          <w:szCs w:val="19"/>
          <w:shd w:val="clear" w:color="auto" w:fill="FFFFFF"/>
          <w:lang w:val="en-GB"/>
        </w:rPr>
      </w:pPr>
      <w:r w:rsidRPr="00914A06">
        <w:rPr>
          <w:sz w:val="19"/>
          <w:szCs w:val="19"/>
          <w:lang w:val="en-GB"/>
        </w:rPr>
        <w:lastRenderedPageBreak/>
        <w:t>Chart 2.</w:t>
      </w:r>
      <w:r w:rsidR="006769F9" w:rsidRPr="00914A06">
        <w:rPr>
          <w:sz w:val="19"/>
          <w:szCs w:val="19"/>
          <w:shd w:val="clear" w:color="auto" w:fill="FFFFFF"/>
          <w:lang w:val="en-GB"/>
        </w:rPr>
        <w:tab/>
      </w:r>
      <w:r w:rsidRPr="00914A06">
        <w:rPr>
          <w:sz w:val="19"/>
          <w:szCs w:val="19"/>
          <w:shd w:val="clear" w:color="auto" w:fill="FFFFFF"/>
          <w:lang w:val="en-GB"/>
        </w:rPr>
        <w:t>Useful floor area of n</w:t>
      </w:r>
      <w:r w:rsidRPr="0024241D">
        <w:rPr>
          <w:sz w:val="19"/>
          <w:szCs w:val="19"/>
          <w:shd w:val="clear" w:color="auto" w:fill="FFFFFF"/>
          <w:lang w:val="en-GB"/>
        </w:rPr>
        <w:t>on-residential bui</w:t>
      </w:r>
      <w:r w:rsidR="00E32177" w:rsidRPr="0024241D">
        <w:rPr>
          <w:sz w:val="19"/>
          <w:szCs w:val="19"/>
          <w:shd w:val="clear" w:color="auto" w:fill="FFFFFF"/>
          <w:lang w:val="en-GB"/>
        </w:rPr>
        <w:t>ldings completed</w:t>
      </w:r>
      <w:r w:rsidR="001F6D3E" w:rsidRPr="0024241D">
        <w:rPr>
          <w:sz w:val="19"/>
          <w:szCs w:val="19"/>
          <w:shd w:val="clear" w:color="auto" w:fill="FFFFFF"/>
          <w:lang w:val="en-GB"/>
        </w:rPr>
        <w:t xml:space="preserve"> in the </w:t>
      </w:r>
      <w:r w:rsidR="0019078F">
        <w:rPr>
          <w:sz w:val="19"/>
          <w:szCs w:val="19"/>
          <w:shd w:val="clear" w:color="auto" w:fill="FFFFFF"/>
          <w:lang w:val="en-GB"/>
        </w:rPr>
        <w:t>I-</w:t>
      </w:r>
      <w:r w:rsidR="00C526ED">
        <w:rPr>
          <w:sz w:val="19"/>
          <w:szCs w:val="19"/>
          <w:shd w:val="clear" w:color="auto" w:fill="FFFFFF"/>
          <w:lang w:val="en-GB"/>
        </w:rPr>
        <w:t>II</w:t>
      </w:r>
      <w:r w:rsidR="0019078F">
        <w:rPr>
          <w:sz w:val="19"/>
          <w:szCs w:val="19"/>
          <w:shd w:val="clear" w:color="auto" w:fill="FFFFFF"/>
          <w:lang w:val="en-GB"/>
        </w:rPr>
        <w:t>I</w:t>
      </w:r>
      <w:r w:rsidR="00C526ED">
        <w:rPr>
          <w:sz w:val="19"/>
          <w:szCs w:val="19"/>
          <w:shd w:val="clear" w:color="auto" w:fill="FFFFFF"/>
          <w:lang w:val="en-GB"/>
        </w:rPr>
        <w:t xml:space="preserve"> quarter</w:t>
      </w:r>
      <w:r w:rsidR="0019078F">
        <w:rPr>
          <w:sz w:val="19"/>
          <w:szCs w:val="19"/>
          <w:shd w:val="clear" w:color="auto" w:fill="FFFFFF"/>
          <w:lang w:val="en-GB"/>
        </w:rPr>
        <w:t xml:space="preserve"> </w:t>
      </w:r>
      <w:r w:rsidR="001F6D3E" w:rsidRPr="0024241D">
        <w:rPr>
          <w:sz w:val="19"/>
          <w:szCs w:val="19"/>
          <w:shd w:val="clear" w:color="auto" w:fill="FFFFFF"/>
          <w:lang w:val="en-GB"/>
        </w:rPr>
        <w:t>of 2018</w:t>
      </w:r>
      <w:r w:rsidR="00E32177" w:rsidRPr="0024241D">
        <w:rPr>
          <w:sz w:val="19"/>
          <w:szCs w:val="19"/>
          <w:shd w:val="clear" w:color="auto" w:fill="FFFFFF"/>
          <w:lang w:val="en-GB"/>
        </w:rPr>
        <w:t xml:space="preserve"> b</w:t>
      </w:r>
      <w:r w:rsidR="00E32177" w:rsidRPr="00914A06">
        <w:rPr>
          <w:sz w:val="19"/>
          <w:szCs w:val="19"/>
          <w:shd w:val="clear" w:color="auto" w:fill="FFFFFF"/>
          <w:lang w:val="en-GB"/>
        </w:rPr>
        <w:t>y voivodships</w:t>
      </w:r>
    </w:p>
    <w:p w:rsidR="009545E0" w:rsidRDefault="009E57B9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  <w:r>
        <w:rPr>
          <w:noProof/>
          <w:sz w:val="19"/>
          <w:szCs w:val="19"/>
          <w:lang w:eastAsia="pl-PL"/>
        </w:rPr>
        <w:drawing>
          <wp:anchor distT="0" distB="0" distL="114300" distR="114300" simplePos="0" relativeHeight="251840512" behindDoc="1" locked="0" layoutInCell="1" allowOverlap="1" wp14:anchorId="3B8324FC">
            <wp:simplePos x="0" y="0"/>
            <wp:positionH relativeFrom="column">
              <wp:posOffset>-9184</wp:posOffset>
            </wp:positionH>
            <wp:positionV relativeFrom="paragraph">
              <wp:posOffset>91440</wp:posOffset>
            </wp:positionV>
            <wp:extent cx="5090795" cy="372491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Default="009545E0" w:rsidP="00A61624">
      <w:pPr>
        <w:pStyle w:val="tytuwykresu"/>
        <w:ind w:left="709" w:hanging="709"/>
        <w:rPr>
          <w:b w:val="0"/>
          <w:sz w:val="19"/>
          <w:szCs w:val="19"/>
          <w:lang w:val="en-GB"/>
        </w:rPr>
      </w:pPr>
    </w:p>
    <w:p w:rsidR="009545E0" w:rsidRPr="009545E0" w:rsidRDefault="009545E0" w:rsidP="00A61624">
      <w:pPr>
        <w:pStyle w:val="tytuwykresu"/>
        <w:ind w:left="709" w:hanging="709"/>
        <w:rPr>
          <w:b w:val="0"/>
          <w:sz w:val="19"/>
          <w:szCs w:val="19"/>
          <w:shd w:val="clear" w:color="auto" w:fill="FFFFFF"/>
          <w:lang w:val="en-GB"/>
        </w:rPr>
      </w:pPr>
    </w:p>
    <w:p w:rsidR="004F457C" w:rsidRPr="0035723B" w:rsidRDefault="009545E0" w:rsidP="009545E0">
      <w:pPr>
        <w:pStyle w:val="tytuwykresu"/>
        <w:spacing w:before="0"/>
        <w:rPr>
          <w:b w:val="0"/>
          <w:spacing w:val="0"/>
          <w:sz w:val="19"/>
          <w:szCs w:val="19"/>
          <w:shd w:val="clear" w:color="auto" w:fill="FFFFFF"/>
          <w:lang w:val="en-GB"/>
        </w:rPr>
      </w:pPr>
      <w:r>
        <w:rPr>
          <w:b w:val="0"/>
          <w:noProof/>
          <w:szCs w:val="19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1703070" cy="1603375"/>
                <wp:effectExtent l="0" t="0" r="0" b="0"/>
                <wp:wrapTight wrapText="bothSides">
                  <wp:wrapPolygon edited="0">
                    <wp:start x="725" y="0"/>
                    <wp:lineTo x="725" y="21301"/>
                    <wp:lineTo x="20779" y="21301"/>
                    <wp:lineTo x="20779" y="0"/>
                    <wp:lineTo x="72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BE" w:rsidRPr="00115725" w:rsidRDefault="00D86CBE" w:rsidP="00D86CBE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9F7D8F">
                              <w:rPr>
                                <w:sz w:val="19"/>
                                <w:szCs w:val="19"/>
                                <w:lang w:val="en-GB"/>
                              </w:rPr>
                              <w:t>The largest sha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re (45.</w:t>
                            </w: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>5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%)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br/>
                              <w:t>in useful floor area of non-residential buildings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>for which permits have been granted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was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held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by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industrial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buildings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115725">
                              <w:rPr>
                                <w:sz w:val="19"/>
                                <w:szCs w:val="19"/>
                                <w:lang w:val="en-GB"/>
                              </w:rPr>
                              <w:t>warehouses</w:t>
                            </w:r>
                            <w:r w:rsidRPr="00115725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86CBE" w:rsidRPr="006C575B" w:rsidRDefault="00D86CBE" w:rsidP="00BF3AF1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0" type="#_x0000_t202" style="position:absolute;margin-left:412.1pt;margin-top:8.55pt;width:134.1pt;height:126.2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" filled="f" stroked="f">
                <v:textbox>
                  <w:txbxContent>
                    <w:p w:rsidR="00D86CBE" w:rsidRPr="00115725" w:rsidRDefault="00D86CBE" w:rsidP="00D86CBE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9F7D8F">
                        <w:rPr>
                          <w:sz w:val="19"/>
                          <w:szCs w:val="19"/>
                          <w:lang w:val="en-GB"/>
                        </w:rPr>
                        <w:t>The largest sha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re (45.</w:t>
                      </w:r>
                      <w:r>
                        <w:rPr>
                          <w:sz w:val="19"/>
                          <w:szCs w:val="19"/>
                          <w:lang w:val="en-GB"/>
                        </w:rPr>
                        <w:t>5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%)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br/>
                        <w:t>in useful floor area of non-residential buildings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8A0851">
                        <w:rPr>
                          <w:sz w:val="19"/>
                          <w:szCs w:val="19"/>
                          <w:lang w:val="en-GB"/>
                        </w:rPr>
                        <w:t>for which permits have been granted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was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held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by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industrial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buildings</w:t>
                      </w:r>
                      <w:r w:rsidRPr="00115725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Pr="00115725">
                        <w:rPr>
                          <w:sz w:val="19"/>
                          <w:szCs w:val="19"/>
                          <w:lang w:val="en-GB"/>
                        </w:rPr>
                        <w:t>warehouses</w:t>
                      </w:r>
                      <w:r w:rsidRPr="00115725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D86CBE" w:rsidRPr="006C575B" w:rsidRDefault="00D86CBE" w:rsidP="00BF3AF1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723B"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 xml:space="preserve">Building </w:t>
      </w:r>
      <w:r w:rsidR="0035723B" w:rsidRPr="00976E3E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 xml:space="preserve">permits of </w:t>
      </w:r>
      <w:r w:rsidR="003B0B72" w:rsidRPr="00976E3E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>new</w:t>
      </w:r>
      <w:r w:rsidR="003B0B72"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 xml:space="preserve"> </w:t>
      </w:r>
      <w:r w:rsidR="0035723B"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>non-residential buildings</w:t>
      </w:r>
    </w:p>
    <w:p w:rsidR="00A628F7" w:rsidRPr="008A0851" w:rsidRDefault="00AF1EB3" w:rsidP="00036BE6">
      <w:pPr>
        <w:jc w:val="both"/>
        <w:rPr>
          <w:rFonts w:eastAsia="Fira Sans Light" w:cs="Times New Roman"/>
          <w:spacing w:val="-2"/>
          <w:szCs w:val="19"/>
          <w:shd w:val="clear" w:color="auto" w:fill="FFFFFF"/>
          <w:lang w:val="en-US"/>
        </w:rPr>
      </w:pPr>
      <w:r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In </w:t>
      </w:r>
      <w:r w:rsidR="0019078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the I-III quarter </w:t>
      </w:r>
      <w:r w:rsidR="002959B6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of </w:t>
      </w:r>
      <w:r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201</w:t>
      </w:r>
      <w:r w:rsidR="004577F3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8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building </w:t>
      </w:r>
      <w:r w:rsidR="008A7F42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permits </w:t>
      </w:r>
      <w:r w:rsidR="00A85E5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have been granted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4B064D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for 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2</w:t>
      </w:r>
      <w:r w:rsidR="004B064D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7,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387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of new non-residential buildings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with a total us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eful</w:t>
      </w:r>
      <w:r w:rsidR="004B064D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floor area of 1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6</w:t>
      </w:r>
      <w:r w:rsidR="004B064D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,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707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9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thous.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sq m</w:t>
      </w:r>
      <w:r w:rsidR="00A628F7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EE4B0E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In comparison to the s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ame period of the previous year </w:t>
      </w:r>
      <w:r w:rsidR="008F377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the useful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floor area increase</w:t>
      </w:r>
      <w:r w:rsidR="00706935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d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706935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by</w:t>
      </w:r>
      <w:r w:rsidR="00CD33FF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6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.2%</w:t>
      </w:r>
      <w:r w:rsidR="008F377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, while </w:t>
      </w:r>
      <w:r w:rsidR="008F377F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the number of buildings decrease</w:t>
      </w:r>
      <w:r w:rsidR="008F377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d</w:t>
      </w:r>
      <w:r w:rsidR="008F377F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8F377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by</w:t>
      </w:r>
      <w:r w:rsidR="008F377F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5.2</w:t>
      </w:r>
      <w:r w:rsidR="008F377F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%.</w:t>
      </w:r>
      <w:r w:rsidR="008F377F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The increase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in the </w:t>
      </w:r>
      <w:r w:rsidR="002D021D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planned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useful floor area of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3B0B72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new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non-residential buildings</w:t>
      </w:r>
      <w:r w:rsidR="008F377F">
        <w:rPr>
          <w:rFonts w:eastAsia="Fira Sans Light" w:cs="Times New Roman"/>
          <w:spacing w:val="-2"/>
          <w:vertAlign w:val="superscript"/>
          <w:lang w:val="en-US"/>
        </w:rPr>
        <w:t xml:space="preserve">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was recorded for hotels and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similar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buildings (more by 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82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4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%), industrial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buildings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and warehouse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s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(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14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D850A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5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%),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wholesale and retail trade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buildings (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2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2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%). In the structure of the us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eful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</w:t>
      </w:r>
      <w:r w:rsidR="003B0B72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floor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area of new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non-residential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buildings, for which building perm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its </w:t>
      </w:r>
      <w:r w:rsidR="00FC363C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have been granted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dominate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d </w:t>
      </w:r>
      <w:r w:rsidR="003A65D5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industrial buildings and warehouses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(4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5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5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%)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, 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other non-residential buildings (2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2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0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%)</w:t>
      </w:r>
      <w:r w:rsidR="008A0851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 xml:space="preserve"> and wholesale and retail trade buildings (12.5%)</w:t>
      </w:r>
      <w:r w:rsidR="00A357B9" w:rsidRPr="008A0851">
        <w:rPr>
          <w:rFonts w:eastAsia="Fira Sans Light" w:cs="Times New Roman"/>
          <w:spacing w:val="-2"/>
          <w:szCs w:val="19"/>
          <w:shd w:val="clear" w:color="auto" w:fill="FFFFFF"/>
          <w:lang w:val="en-US"/>
        </w:rPr>
        <w:t>.</w:t>
      </w:r>
    </w:p>
    <w:p w:rsidR="00914A06" w:rsidRPr="000B41CB" w:rsidRDefault="004676D4" w:rsidP="00036BE6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37440" behindDoc="1" locked="0" layoutInCell="1" allowOverlap="1" wp14:anchorId="0F2595D5">
            <wp:simplePos x="0" y="0"/>
            <wp:positionH relativeFrom="column">
              <wp:posOffset>-384014</wp:posOffset>
            </wp:positionH>
            <wp:positionV relativeFrom="paragraph">
              <wp:posOffset>144145</wp:posOffset>
            </wp:positionV>
            <wp:extent cx="2761615" cy="313372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C7E" w:rsidRPr="00914A06" w:rsidRDefault="000E5C7E" w:rsidP="002959B6">
      <w:pPr>
        <w:pStyle w:val="tytuwykresu"/>
        <w:ind w:left="709" w:hanging="709"/>
        <w:rPr>
          <w:sz w:val="19"/>
          <w:szCs w:val="19"/>
          <w:shd w:val="clear" w:color="auto" w:fill="FFFFFF"/>
          <w:lang w:val="en-GB"/>
        </w:rPr>
      </w:pPr>
      <w:r w:rsidRPr="00914A06">
        <w:rPr>
          <w:sz w:val="19"/>
          <w:szCs w:val="19"/>
          <w:lang w:val="en-GB"/>
        </w:rPr>
        <w:t>Chart 3.</w:t>
      </w:r>
      <w:r w:rsidR="005D31D0" w:rsidRPr="00914A06">
        <w:rPr>
          <w:sz w:val="19"/>
          <w:szCs w:val="19"/>
          <w:shd w:val="clear" w:color="auto" w:fill="FFFFFF"/>
          <w:lang w:val="en-GB"/>
        </w:rPr>
        <w:tab/>
      </w:r>
      <w:r w:rsidR="00D576B5" w:rsidRPr="00914A06">
        <w:rPr>
          <w:sz w:val="19"/>
          <w:szCs w:val="19"/>
          <w:shd w:val="clear" w:color="auto" w:fill="FFFFFF"/>
          <w:lang w:val="en-GB"/>
        </w:rPr>
        <w:t>The structure of the u</w:t>
      </w:r>
      <w:r w:rsidRPr="00914A06">
        <w:rPr>
          <w:sz w:val="19"/>
          <w:szCs w:val="19"/>
          <w:shd w:val="clear" w:color="auto" w:fill="FFFFFF"/>
          <w:lang w:val="en-GB"/>
        </w:rPr>
        <w:t xml:space="preserve">seful floor area of new non-residential buildings for </w:t>
      </w:r>
      <w:r w:rsidR="00EF0154" w:rsidRPr="00914A06">
        <w:rPr>
          <w:sz w:val="19"/>
          <w:szCs w:val="19"/>
          <w:shd w:val="clear" w:color="auto" w:fill="FFFFFF"/>
          <w:lang w:val="en-GB"/>
        </w:rPr>
        <w:t>which permits have been granted</w:t>
      </w:r>
      <w:r w:rsidRPr="00914A06">
        <w:rPr>
          <w:sz w:val="19"/>
          <w:szCs w:val="19"/>
          <w:shd w:val="clear" w:color="auto" w:fill="FFFFFF"/>
          <w:lang w:val="en-GB"/>
        </w:rPr>
        <w:t xml:space="preserve"> </w:t>
      </w:r>
      <w:r w:rsidR="004211D9" w:rsidRPr="00914A06">
        <w:rPr>
          <w:sz w:val="19"/>
          <w:szCs w:val="19"/>
          <w:shd w:val="clear" w:color="auto" w:fill="FFFFFF"/>
          <w:lang w:val="en-GB"/>
        </w:rPr>
        <w:t xml:space="preserve">in the </w:t>
      </w:r>
      <w:r w:rsidR="0019078F">
        <w:rPr>
          <w:sz w:val="19"/>
          <w:szCs w:val="19"/>
          <w:shd w:val="clear" w:color="auto" w:fill="FFFFFF"/>
          <w:lang w:val="en-GB"/>
        </w:rPr>
        <w:t>I-I</w:t>
      </w:r>
      <w:r w:rsidR="00C526ED">
        <w:rPr>
          <w:sz w:val="19"/>
          <w:szCs w:val="19"/>
          <w:shd w:val="clear" w:color="auto" w:fill="FFFFFF"/>
          <w:lang w:val="en-GB"/>
        </w:rPr>
        <w:t>II quarter o</w:t>
      </w:r>
      <w:r w:rsidR="004211D9" w:rsidRPr="008A0851">
        <w:rPr>
          <w:sz w:val="19"/>
          <w:szCs w:val="19"/>
          <w:shd w:val="clear" w:color="auto" w:fill="FFFFFF"/>
          <w:lang w:val="en-GB"/>
        </w:rPr>
        <w:t>f 2018</w:t>
      </w:r>
    </w:p>
    <w:p w:rsidR="007812AD" w:rsidRDefault="007812AD" w:rsidP="00976E3E">
      <w:pPr>
        <w:rPr>
          <w:rFonts w:eastAsia="Fira Sans Light"/>
          <w:bCs/>
          <w:szCs w:val="19"/>
          <w:shd w:val="clear" w:color="auto" w:fill="FFFFFF"/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FA28B9" w:rsidP="007812AD">
      <w:pPr>
        <w:rPr>
          <w:lang w:val="en-US"/>
        </w:rPr>
      </w:pPr>
      <w:r w:rsidRPr="00A15477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769F6FD" wp14:editId="27350115">
                <wp:simplePos x="0" y="0"/>
                <wp:positionH relativeFrom="margin">
                  <wp:align>right</wp:align>
                </wp:positionH>
                <wp:positionV relativeFrom="paragraph">
                  <wp:posOffset>100336</wp:posOffset>
                </wp:positionV>
                <wp:extent cx="2916555" cy="1287145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001D77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industrial buildings and warehouses (PKOB 125)</w:t>
                            </w:r>
                          </w:p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334A92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other non-residential buildings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 xml:space="preserve"> (PKOB 127)</w:t>
                            </w:r>
                          </w:p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6677AD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wholesale and retail trade buildings (PKOB 123)</w:t>
                            </w:r>
                          </w:p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99A5C9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 xml:space="preserve">hotels and similar </w:t>
                            </w:r>
                            <w:r w:rsidRPr="00784A92">
                              <w:rPr>
                                <w:sz w:val="16"/>
                                <w:lang w:val="en-GB"/>
                              </w:rPr>
                              <w:t>buildings (PKOB 12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>1</w:t>
                            </w:r>
                            <w:r w:rsidRPr="00784A92">
                              <w:rPr>
                                <w:sz w:val="16"/>
                                <w:lang w:val="en-GB"/>
                              </w:rPr>
                              <w:t>)</w:t>
                            </w:r>
                          </w:p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CCD2E4"/>
                                <w:sz w:val="16"/>
                                <w:lang w:val="en-GB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buildings for public entertainment, education, hospital</w:t>
                            </w:r>
                            <w:r w:rsidRPr="00784A92">
                              <w:rPr>
                                <w:sz w:val="16"/>
                                <w:lang w:val="en-GB"/>
                              </w:rPr>
                              <w:br/>
                              <w:t>and institutional care and sport halls (PKOB 126)</w:t>
                            </w:r>
                          </w:p>
                          <w:p w:rsidR="0041402B" w:rsidRPr="00784A92" w:rsidRDefault="00FA28B9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898989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office</w:t>
                            </w:r>
                            <w:r w:rsidR="0041402B" w:rsidRPr="00784A92">
                              <w:rPr>
                                <w:sz w:val="16"/>
                                <w:lang w:val="en-GB"/>
                              </w:rPr>
                              <w:t xml:space="preserve"> buildings (PKOB 12</w:t>
                            </w:r>
                            <w:r w:rsidR="0041402B">
                              <w:rPr>
                                <w:sz w:val="16"/>
                                <w:lang w:val="en-GB"/>
                              </w:rPr>
                              <w:t>2</w:t>
                            </w:r>
                            <w:r w:rsidR="0041402B" w:rsidRPr="00784A92">
                              <w:rPr>
                                <w:sz w:val="16"/>
                                <w:lang w:val="en-GB"/>
                              </w:rPr>
                              <w:t>)</w:t>
                            </w:r>
                          </w:p>
                          <w:p w:rsidR="0041402B" w:rsidRPr="00784A92" w:rsidRDefault="0041402B" w:rsidP="0041402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70" w:hanging="170"/>
                              <w:rPr>
                                <w:color w:val="C5C5C5"/>
                                <w:sz w:val="16"/>
                              </w:rPr>
                            </w:pPr>
                            <w:r w:rsidRPr="00784A92">
                              <w:rPr>
                                <w:sz w:val="16"/>
                                <w:lang w:val="en-GB"/>
                              </w:rPr>
                              <w:t>traffic and communication buildings</w:t>
                            </w:r>
                            <w:r w:rsidRPr="00784A92">
                              <w:rPr>
                                <w:sz w:val="16"/>
                              </w:rPr>
                              <w:t xml:space="preserve"> (PKOB 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F6FD" id="_x0000_s1031" type="#_x0000_t202" style="position:absolute;margin-left:178.45pt;margin-top:7.9pt;width:229.65pt;height:101.35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" filled="f" stroked="f">
                <v:textbox>
                  <w:txbxContent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001D77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industrial buildings and warehouses (PKOB 125)</w:t>
                      </w:r>
                    </w:p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334A92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other non-residential buildings</w:t>
                      </w:r>
                      <w:r>
                        <w:rPr>
                          <w:sz w:val="16"/>
                          <w:lang w:val="en-GB"/>
                        </w:rPr>
                        <w:t xml:space="preserve"> (PKOB 127)</w:t>
                      </w:r>
                    </w:p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6677AD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wholesale and retail trade buildings (PKOB 123)</w:t>
                      </w:r>
                    </w:p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99A5C9"/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 xml:space="preserve">hotels and similar </w:t>
                      </w:r>
                      <w:r w:rsidRPr="00784A92">
                        <w:rPr>
                          <w:sz w:val="16"/>
                          <w:lang w:val="en-GB"/>
                        </w:rPr>
                        <w:t>buildings (PKOB 12</w:t>
                      </w:r>
                      <w:r>
                        <w:rPr>
                          <w:sz w:val="16"/>
                          <w:lang w:val="en-GB"/>
                        </w:rPr>
                        <w:t>1</w:t>
                      </w:r>
                      <w:r w:rsidRPr="00784A92">
                        <w:rPr>
                          <w:sz w:val="16"/>
                          <w:lang w:val="en-GB"/>
                        </w:rPr>
                        <w:t>)</w:t>
                      </w:r>
                    </w:p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CCD2E4"/>
                          <w:sz w:val="16"/>
                          <w:lang w:val="en-GB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buildings for public entertainment, education, hospital</w:t>
                      </w:r>
                      <w:r w:rsidRPr="00784A92">
                        <w:rPr>
                          <w:sz w:val="16"/>
                          <w:lang w:val="en-GB"/>
                        </w:rPr>
                        <w:br/>
                        <w:t>and institutional care and sport halls (PKOB 126)</w:t>
                      </w:r>
                    </w:p>
                    <w:p w:rsidR="0041402B" w:rsidRPr="00784A92" w:rsidRDefault="00FA28B9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898989"/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office</w:t>
                      </w:r>
                      <w:r w:rsidR="0041402B" w:rsidRPr="00784A92">
                        <w:rPr>
                          <w:sz w:val="16"/>
                          <w:lang w:val="en-GB"/>
                        </w:rPr>
                        <w:t xml:space="preserve"> buildings (PKOB 12</w:t>
                      </w:r>
                      <w:r w:rsidR="0041402B">
                        <w:rPr>
                          <w:sz w:val="16"/>
                          <w:lang w:val="en-GB"/>
                        </w:rPr>
                        <w:t>2</w:t>
                      </w:r>
                      <w:r w:rsidR="0041402B" w:rsidRPr="00784A92">
                        <w:rPr>
                          <w:sz w:val="16"/>
                          <w:lang w:val="en-GB"/>
                        </w:rPr>
                        <w:t>)</w:t>
                      </w:r>
                    </w:p>
                    <w:p w:rsidR="0041402B" w:rsidRPr="00784A92" w:rsidRDefault="0041402B" w:rsidP="0041402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70" w:hanging="170"/>
                        <w:rPr>
                          <w:color w:val="C5C5C5"/>
                          <w:sz w:val="16"/>
                        </w:rPr>
                      </w:pPr>
                      <w:r w:rsidRPr="00784A92">
                        <w:rPr>
                          <w:sz w:val="16"/>
                          <w:lang w:val="en-GB"/>
                        </w:rPr>
                        <w:t>traffic and communication buildings</w:t>
                      </w:r>
                      <w:r w:rsidRPr="00784A92">
                        <w:rPr>
                          <w:sz w:val="16"/>
                        </w:rPr>
                        <w:t xml:space="preserve"> (PKOB 124)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7812AD" w:rsidRDefault="007812AD" w:rsidP="007812AD">
      <w:pPr>
        <w:rPr>
          <w:lang w:val="en-US"/>
        </w:rPr>
      </w:pPr>
    </w:p>
    <w:p w:rsidR="00D576B5" w:rsidRPr="0019078F" w:rsidRDefault="009545E0" w:rsidP="00976E3E">
      <w:pPr>
        <w:jc w:val="both"/>
        <w:rPr>
          <w:rFonts w:eastAsia="Fira Sans Light"/>
          <w:bCs/>
          <w:spacing w:val="-4"/>
          <w:szCs w:val="19"/>
          <w:shd w:val="clear" w:color="auto" w:fill="FFFFFF"/>
          <w:lang w:val="en-US"/>
        </w:rPr>
      </w:pPr>
      <w:r w:rsidRPr="0019078F">
        <w:rPr>
          <w:rFonts w:eastAsia="Fira Sans Light" w:cs="Times New Roman"/>
          <w:noProof/>
          <w:spacing w:val="-4"/>
          <w:szCs w:val="19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>
                <wp:simplePos x="0" y="0"/>
                <wp:positionH relativeFrom="column">
                  <wp:posOffset>5240740</wp:posOffset>
                </wp:positionH>
                <wp:positionV relativeFrom="paragraph">
                  <wp:posOffset>-130981</wp:posOffset>
                </wp:positionV>
                <wp:extent cx="1703070" cy="1671851"/>
                <wp:effectExtent l="0" t="0" r="0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671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545E0" w:rsidRDefault="006613B8" w:rsidP="009545E0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Useful floor area of new non-residential buildings for which permits have been granted </w:t>
                            </w:r>
                            <w:r w:rsidR="00394058"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>in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8A0851">
                              <w:rPr>
                                <w:sz w:val="19"/>
                                <w:szCs w:val="19"/>
                              </w:rPr>
                              <w:t>mazowiec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</w:rPr>
                              <w:t>kie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, 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</w:rPr>
                              <w:t>wielkopolskie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and </w:t>
                            </w:r>
                            <w:r w:rsidR="00941D2E" w:rsidRPr="008A0851">
                              <w:rPr>
                                <w:sz w:val="19"/>
                                <w:szCs w:val="19"/>
                              </w:rPr>
                              <w:t>łódzkie</w:t>
                            </w:r>
                            <w:r w:rsidR="00941D2E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>voivodships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amounted </w:t>
                            </w:r>
                            <w:r w:rsidR="00034A5C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to </w:t>
                            </w:r>
                            <w:r w:rsidR="00394058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>nearly 4</w:t>
                            </w:r>
                            <w:r w:rsidR="008A0851" w:rsidRPr="008A0851">
                              <w:rPr>
                                <w:sz w:val="19"/>
                                <w:szCs w:val="19"/>
                                <w:lang w:val="en-GB"/>
                              </w:rPr>
                              <w:t>0</w:t>
                            </w:r>
                            <w:r w:rsidR="00394058"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% of the total </w:t>
                            </w:r>
                            <w:r w:rsidR="007B7915"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useful floor area </w:t>
                            </w:r>
                            <w:r w:rsidR="00394058"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planned </w:t>
                            </w:r>
                            <w:r w:rsidR="007B7915" w:rsidRPr="009545E0">
                              <w:rPr>
                                <w:sz w:val="19"/>
                                <w:szCs w:val="19"/>
                                <w:lang w:val="en-GB"/>
                              </w:rPr>
                              <w:t>for construction</w:t>
                            </w:r>
                          </w:p>
                          <w:p w:rsidR="006613B8" w:rsidRPr="009545E0" w:rsidRDefault="006613B8" w:rsidP="006613B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left:0;text-align:left;margin-left:412.65pt;margin-top:-10.3pt;width:134.1pt;height:131.6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" filled="f" stroked="f">
                <v:textbox>
                  <w:txbxContent>
                    <w:p w:rsidR="006613B8" w:rsidRPr="009545E0" w:rsidRDefault="006613B8" w:rsidP="009545E0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  <w:lang w:val="en-GB"/>
                        </w:rPr>
                      </w:pPr>
                      <w:r w:rsidRPr="009545E0">
                        <w:rPr>
                          <w:sz w:val="19"/>
                          <w:szCs w:val="19"/>
                          <w:lang w:val="en-GB"/>
                        </w:rPr>
                        <w:t xml:space="preserve">Useful floor area of new non-residential buildings for which permits have been granted </w:t>
                      </w:r>
                      <w:r w:rsidR="00394058" w:rsidRPr="009545E0">
                        <w:rPr>
                          <w:sz w:val="19"/>
                          <w:szCs w:val="19"/>
                          <w:lang w:val="en-GB"/>
                        </w:rPr>
                        <w:t>in</w:t>
                      </w:r>
                      <w:r w:rsidR="00394058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8A0851">
                        <w:rPr>
                          <w:sz w:val="19"/>
                          <w:szCs w:val="19"/>
                        </w:rPr>
                        <w:t>mazowiec</w:t>
                      </w:r>
                      <w:r w:rsidR="00394058" w:rsidRPr="008A0851">
                        <w:rPr>
                          <w:sz w:val="19"/>
                          <w:szCs w:val="19"/>
                        </w:rPr>
                        <w:t>kie</w:t>
                      </w:r>
                      <w:r w:rsidR="00394058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, </w:t>
                      </w:r>
                      <w:r w:rsidR="00394058" w:rsidRPr="008A0851">
                        <w:rPr>
                          <w:sz w:val="19"/>
                          <w:szCs w:val="19"/>
                        </w:rPr>
                        <w:t>wielkopolskie</w:t>
                      </w:r>
                      <w:r w:rsidR="00394058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 and </w:t>
                      </w:r>
                      <w:r w:rsidR="00941D2E" w:rsidRPr="008A0851">
                        <w:rPr>
                          <w:sz w:val="19"/>
                          <w:szCs w:val="19"/>
                        </w:rPr>
                        <w:t>łódzkie</w:t>
                      </w:r>
                      <w:r w:rsidR="00941D2E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Pr="008A0851">
                        <w:rPr>
                          <w:sz w:val="19"/>
                          <w:szCs w:val="19"/>
                          <w:lang w:val="en-GB"/>
                        </w:rPr>
                        <w:t>voivodships</w:t>
                      </w:r>
                      <w:r w:rsidR="00394058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 amounted </w:t>
                      </w:r>
                      <w:r w:rsidR="00034A5C" w:rsidRPr="008A0851">
                        <w:rPr>
                          <w:sz w:val="19"/>
                          <w:szCs w:val="19"/>
                          <w:lang w:val="en-GB"/>
                        </w:rPr>
                        <w:t xml:space="preserve">to </w:t>
                      </w:r>
                      <w:r w:rsidR="00394058" w:rsidRPr="008A0851">
                        <w:rPr>
                          <w:sz w:val="19"/>
                          <w:szCs w:val="19"/>
                          <w:lang w:val="en-GB"/>
                        </w:rPr>
                        <w:t>nearly 4</w:t>
                      </w:r>
                      <w:r w:rsidR="008A0851" w:rsidRPr="008A0851">
                        <w:rPr>
                          <w:sz w:val="19"/>
                          <w:szCs w:val="19"/>
                          <w:lang w:val="en-GB"/>
                        </w:rPr>
                        <w:t>0</w:t>
                      </w:r>
                      <w:r w:rsidR="00394058" w:rsidRPr="009545E0">
                        <w:rPr>
                          <w:sz w:val="19"/>
                          <w:szCs w:val="19"/>
                          <w:lang w:val="en-GB"/>
                        </w:rPr>
                        <w:t xml:space="preserve">% of the total </w:t>
                      </w:r>
                      <w:r w:rsidR="007B7915" w:rsidRPr="009545E0">
                        <w:rPr>
                          <w:sz w:val="19"/>
                          <w:szCs w:val="19"/>
                          <w:lang w:val="en-GB"/>
                        </w:rPr>
                        <w:t xml:space="preserve">useful floor area </w:t>
                      </w:r>
                      <w:r w:rsidR="00394058" w:rsidRPr="009545E0">
                        <w:rPr>
                          <w:sz w:val="19"/>
                          <w:szCs w:val="19"/>
                          <w:lang w:val="en-GB"/>
                        </w:rPr>
                        <w:t xml:space="preserve">planned </w:t>
                      </w:r>
                      <w:r w:rsidR="007B7915" w:rsidRPr="009545E0">
                        <w:rPr>
                          <w:sz w:val="19"/>
                          <w:szCs w:val="19"/>
                          <w:lang w:val="en-GB"/>
                        </w:rPr>
                        <w:t>for construction</w:t>
                      </w:r>
                    </w:p>
                    <w:p w:rsidR="006613B8" w:rsidRPr="009545E0" w:rsidRDefault="006613B8" w:rsidP="006613B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6B5" w:rsidRPr="0019078F">
        <w:rPr>
          <w:rFonts w:eastAsia="Fira Sans Light" w:cs="Times New Roman"/>
          <w:spacing w:val="-4"/>
          <w:szCs w:val="19"/>
          <w:shd w:val="clear" w:color="auto" w:fill="FFFFFF"/>
          <w:lang w:val="en-US"/>
        </w:rPr>
        <w:t>According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to building permits </w:t>
      </w:r>
      <w:r w:rsidR="00BC3CEE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which </w:t>
      </w:r>
      <w:r w:rsidR="002922B2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have been granted for construction 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in </w:t>
      </w:r>
      <w:r w:rsidR="0019078F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the 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I-I</w:t>
      </w:r>
      <w:r w:rsidR="00A75C04">
        <w:rPr>
          <w:rFonts w:eastAsia="Fira Sans Light"/>
          <w:spacing w:val="-4"/>
          <w:szCs w:val="19"/>
          <w:shd w:val="clear" w:color="auto" w:fill="FFFFFF"/>
          <w:lang w:val="en-US"/>
        </w:rPr>
        <w:t>II quarter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</w:t>
      </w:r>
      <w:r w:rsidR="00A8374E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of 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2018, the largest </w:t>
      </w:r>
      <w:r w:rsidR="002922B2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useful </w:t>
      </w:r>
      <w:r w:rsidR="00BC3CEE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floor 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area of new non-residential buildings is planned to be built in the following voivodships: </w:t>
      </w:r>
      <w:r w:rsidR="00D576B5" w:rsidRPr="0019078F">
        <w:rPr>
          <w:rFonts w:eastAsia="Fira Sans Light"/>
          <w:spacing w:val="-4"/>
          <w:szCs w:val="19"/>
          <w:shd w:val="clear" w:color="auto" w:fill="FFFFFF"/>
        </w:rPr>
        <w:t>mazowieckie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2</w:t>
      </w:r>
      <w:r w:rsidR="00EE4B0E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,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599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1</w:t>
      </w:r>
      <w:r w:rsidR="003479FA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thousand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sq m), </w:t>
      </w:r>
      <w:r w:rsidR="00D576B5" w:rsidRPr="0019078F">
        <w:rPr>
          <w:rFonts w:eastAsia="Fira Sans Light"/>
          <w:spacing w:val="-4"/>
          <w:szCs w:val="19"/>
          <w:shd w:val="clear" w:color="auto" w:fill="FFFFFF"/>
        </w:rPr>
        <w:t>wielkopolskie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2</w:t>
      </w:r>
      <w:r w:rsidR="004B064D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,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414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5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 </w:t>
      </w:r>
      <w:r w:rsidR="003479FA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thousand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 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sq</w:t>
      </w:r>
      <w:r w:rsidR="0019078F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 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m) and </w:t>
      </w:r>
      <w:r w:rsidR="00D576B5" w:rsidRPr="0019078F">
        <w:rPr>
          <w:rFonts w:eastAsia="Fira Sans Light"/>
          <w:spacing w:val="-4"/>
          <w:szCs w:val="19"/>
          <w:shd w:val="clear" w:color="auto" w:fill="FFFFFF"/>
        </w:rPr>
        <w:t>łódzkie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(1</w:t>
      </w:r>
      <w:r w:rsidR="004B064D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,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6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02.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9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thousand sq m), and the smallest in </w:t>
      </w:r>
      <w:r w:rsidR="00D576B5" w:rsidRPr="0019078F">
        <w:rPr>
          <w:rFonts w:eastAsia="Fira Sans Light"/>
          <w:spacing w:val="-4"/>
          <w:szCs w:val="19"/>
          <w:shd w:val="clear" w:color="auto" w:fill="FFFFFF"/>
        </w:rPr>
        <w:t>opolskie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243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6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 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thousand sq m), </w:t>
      </w:r>
      <w:r w:rsidR="00D576B5" w:rsidRPr="0019078F">
        <w:rPr>
          <w:rFonts w:eastAsia="Fira Sans Light"/>
          <w:spacing w:val="-4"/>
          <w:szCs w:val="19"/>
          <w:shd w:val="clear" w:color="auto" w:fill="FFFFFF"/>
        </w:rPr>
        <w:t>lubuskie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419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9</w:t>
      </w:r>
      <w:r w:rsidR="0019078F">
        <w:rPr>
          <w:rFonts w:eastAsia="Fira Sans Light"/>
          <w:spacing w:val="-4"/>
          <w:szCs w:val="19"/>
          <w:shd w:val="clear" w:color="auto" w:fill="FFFFFF"/>
          <w:lang w:val="en-US"/>
        </w:rPr>
        <w:t> 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thousand 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sq m) and </w:t>
      </w:r>
      <w:r w:rsidR="00EB3D0C" w:rsidRPr="0019078F">
        <w:rPr>
          <w:rFonts w:eastAsia="Fira Sans Light"/>
          <w:spacing w:val="-4"/>
          <w:szCs w:val="19"/>
          <w:shd w:val="clear" w:color="auto" w:fill="FFFFFF"/>
        </w:rPr>
        <w:t>świętokrzyskie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421</w:t>
      </w:r>
      <w:r w:rsidR="00EB3D0C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4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sq m). The largest increase in the planned area to be built compared to the same period of the previous year was recorded in voivodships: </w:t>
      </w:r>
      <w:r w:rsidR="008A0851" w:rsidRPr="0019078F">
        <w:rPr>
          <w:rFonts w:eastAsia="Fira Sans Light"/>
          <w:spacing w:val="-4"/>
          <w:szCs w:val="19"/>
          <w:shd w:val="clear" w:color="auto" w:fill="FFFFFF"/>
        </w:rPr>
        <w:t>świętokrzyskie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(by 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48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0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%), </w:t>
      </w:r>
      <w:r w:rsidR="008A0851" w:rsidRPr="0019078F">
        <w:rPr>
          <w:rFonts w:eastAsia="Fira Sans Light"/>
          <w:spacing w:val="-4"/>
          <w:szCs w:val="19"/>
          <w:shd w:val="clear" w:color="auto" w:fill="FFFFFF"/>
        </w:rPr>
        <w:t xml:space="preserve">pomorskie 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(</w:t>
      </w:r>
      <w:r w:rsidR="008C773C" w:rsidRPr="0019078F">
        <w:rPr>
          <w:rFonts w:eastAsia="Fira Sans Light"/>
          <w:bCs/>
          <w:spacing w:val="-4"/>
          <w:szCs w:val="19"/>
          <w:shd w:val="clear" w:color="auto" w:fill="FFFFFF"/>
          <w:lang w:val="en-US"/>
        </w:rPr>
        <w:t xml:space="preserve">by 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37.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1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%) and </w:t>
      </w:r>
      <w:r w:rsidR="008A0851" w:rsidRPr="0019078F">
        <w:rPr>
          <w:rFonts w:eastAsia="Fira Sans Light"/>
          <w:spacing w:val="-4"/>
          <w:szCs w:val="19"/>
          <w:shd w:val="clear" w:color="auto" w:fill="FFFFFF"/>
        </w:rPr>
        <w:t>łódzkie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 xml:space="preserve"> (by 3</w:t>
      </w:r>
      <w:r w:rsidR="008A0851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6</w:t>
      </w:r>
      <w:r w:rsidR="00D576B5" w:rsidRPr="0019078F">
        <w:rPr>
          <w:rFonts w:eastAsia="Fira Sans Light"/>
          <w:spacing w:val="-4"/>
          <w:szCs w:val="19"/>
          <w:shd w:val="clear" w:color="auto" w:fill="FFFFFF"/>
          <w:lang w:val="en-US"/>
        </w:rPr>
        <w:t>.8%).</w:t>
      </w:r>
    </w:p>
    <w:p w:rsidR="00914A06" w:rsidRPr="00914A06" w:rsidRDefault="00914A06" w:rsidP="00914A06">
      <w:pPr>
        <w:rPr>
          <w:lang w:val="en-US"/>
        </w:rPr>
      </w:pPr>
    </w:p>
    <w:p w:rsidR="00850354" w:rsidRPr="00914A06" w:rsidRDefault="00850354" w:rsidP="00914A06">
      <w:pPr>
        <w:pStyle w:val="tytuwykresu"/>
        <w:ind w:left="709" w:hanging="709"/>
        <w:rPr>
          <w:sz w:val="19"/>
          <w:szCs w:val="19"/>
          <w:shd w:val="clear" w:color="auto" w:fill="FFFFFF"/>
          <w:lang w:val="en-GB"/>
        </w:rPr>
      </w:pPr>
      <w:r w:rsidRPr="00914A06">
        <w:rPr>
          <w:sz w:val="19"/>
          <w:szCs w:val="19"/>
          <w:lang w:val="en-GB"/>
        </w:rPr>
        <w:t>Chart</w:t>
      </w:r>
      <w:r w:rsidR="00D576B5" w:rsidRPr="00914A06">
        <w:rPr>
          <w:sz w:val="19"/>
          <w:szCs w:val="19"/>
          <w:lang w:val="en-GB"/>
        </w:rPr>
        <w:t xml:space="preserve"> 4</w:t>
      </w:r>
      <w:r w:rsidRPr="00914A06">
        <w:rPr>
          <w:sz w:val="19"/>
          <w:szCs w:val="19"/>
          <w:lang w:val="en-GB"/>
        </w:rPr>
        <w:t>.</w:t>
      </w:r>
      <w:r w:rsidRPr="00914A06">
        <w:rPr>
          <w:sz w:val="19"/>
          <w:szCs w:val="19"/>
          <w:shd w:val="clear" w:color="auto" w:fill="FFFFFF"/>
          <w:lang w:val="en-GB"/>
        </w:rPr>
        <w:tab/>
        <w:t>Useful floor area of new non-residential buildings for which permits have been granted</w:t>
      </w:r>
      <w:r w:rsidR="00D576B5" w:rsidRPr="00914A06">
        <w:rPr>
          <w:sz w:val="19"/>
          <w:szCs w:val="19"/>
          <w:shd w:val="clear" w:color="auto" w:fill="FFFFFF"/>
          <w:lang w:val="en-GB"/>
        </w:rPr>
        <w:t xml:space="preserve"> in the </w:t>
      </w:r>
      <w:r w:rsidR="0019078F">
        <w:rPr>
          <w:sz w:val="19"/>
          <w:szCs w:val="19"/>
          <w:shd w:val="clear" w:color="auto" w:fill="FFFFFF"/>
          <w:lang w:val="en-GB"/>
        </w:rPr>
        <w:t>I-</w:t>
      </w:r>
      <w:r w:rsidR="0019078F" w:rsidRPr="0019078F">
        <w:rPr>
          <w:sz w:val="19"/>
          <w:szCs w:val="19"/>
          <w:shd w:val="clear" w:color="auto" w:fill="FFFFFF"/>
          <w:lang w:val="en-GB"/>
        </w:rPr>
        <w:t>I</w:t>
      </w:r>
      <w:r w:rsidR="000C6FB5">
        <w:rPr>
          <w:sz w:val="19"/>
          <w:szCs w:val="19"/>
          <w:shd w:val="clear" w:color="auto" w:fill="FFFFFF"/>
          <w:lang w:val="en-GB"/>
        </w:rPr>
        <w:t xml:space="preserve">II quarter </w:t>
      </w:r>
      <w:r w:rsidR="00D576B5" w:rsidRPr="0019078F">
        <w:rPr>
          <w:sz w:val="19"/>
          <w:szCs w:val="19"/>
          <w:shd w:val="clear" w:color="auto" w:fill="FFFFFF"/>
          <w:lang w:val="en-GB"/>
        </w:rPr>
        <w:t>of 2018</w:t>
      </w:r>
      <w:r w:rsidR="00D576B5" w:rsidRPr="00914A06">
        <w:rPr>
          <w:sz w:val="19"/>
          <w:szCs w:val="19"/>
          <w:shd w:val="clear" w:color="auto" w:fill="FFFFFF"/>
          <w:lang w:val="en-GB"/>
        </w:rPr>
        <w:t xml:space="preserve"> </w:t>
      </w:r>
      <w:r w:rsidRPr="00914A06">
        <w:rPr>
          <w:sz w:val="19"/>
          <w:szCs w:val="19"/>
          <w:shd w:val="clear" w:color="auto" w:fill="FFFFFF"/>
          <w:lang w:val="en-GB"/>
        </w:rPr>
        <w:t>by voivodships</w:t>
      </w:r>
    </w:p>
    <w:p w:rsidR="006613B8" w:rsidRDefault="009E57B9" w:rsidP="006613B8">
      <w:pPr>
        <w:rPr>
          <w:lang w:val="en-GB"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41536" behindDoc="1" locked="0" layoutInCell="1" allowOverlap="1" wp14:anchorId="055FA899">
            <wp:simplePos x="0" y="0"/>
            <wp:positionH relativeFrom="column">
              <wp:posOffset>5554</wp:posOffset>
            </wp:positionH>
            <wp:positionV relativeFrom="paragraph">
              <wp:posOffset>-635</wp:posOffset>
            </wp:positionV>
            <wp:extent cx="5090795" cy="376174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2A" w:rsidRDefault="00EB7A2A" w:rsidP="006613B8">
      <w:pPr>
        <w:rPr>
          <w:lang w:val="en-GB" w:eastAsia="pl-PL"/>
        </w:rPr>
      </w:pPr>
    </w:p>
    <w:p w:rsidR="00EB7A2A" w:rsidRDefault="00141B83" w:rsidP="00141B83">
      <w:pPr>
        <w:tabs>
          <w:tab w:val="left" w:pos="3540"/>
        </w:tabs>
        <w:rPr>
          <w:lang w:val="en-GB" w:eastAsia="pl-PL"/>
        </w:rPr>
      </w:pPr>
      <w:r>
        <w:rPr>
          <w:lang w:val="en-GB" w:eastAsia="pl-PL"/>
        </w:rPr>
        <w:tab/>
      </w: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Default="00EB7A2A" w:rsidP="006613B8">
      <w:pPr>
        <w:rPr>
          <w:lang w:val="en-GB" w:eastAsia="pl-PL"/>
        </w:rPr>
      </w:pPr>
    </w:p>
    <w:p w:rsidR="00EB7A2A" w:rsidRPr="009B23A5" w:rsidRDefault="00EB7A2A" w:rsidP="006613B8">
      <w:pPr>
        <w:rPr>
          <w:lang w:val="en-GB" w:eastAsia="pl-PL"/>
        </w:rPr>
      </w:pPr>
    </w:p>
    <w:p w:rsidR="00A6004B" w:rsidRDefault="00632BDC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  <w:r>
        <w:rPr>
          <w:rFonts w:eastAsia="Fira Sans Light" w:cs="Times New Roman"/>
          <w:szCs w:val="19"/>
          <w:shd w:val="clear" w:color="auto" w:fill="FFFFFF"/>
          <w:lang w:val="en-US"/>
        </w:rPr>
        <w:t>I</w:t>
      </w:r>
      <w:r w:rsidR="00D576B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n the </w:t>
      </w:r>
      <w:r w:rsidR="0019078F">
        <w:rPr>
          <w:rFonts w:eastAsia="Fira Sans Light" w:cs="Times New Roman"/>
          <w:szCs w:val="19"/>
          <w:shd w:val="clear" w:color="auto" w:fill="FFFFFF"/>
          <w:lang w:val="en-US"/>
        </w:rPr>
        <w:t>I-III qua</w:t>
      </w:r>
      <w:r w:rsidR="0019078F" w:rsidRPr="0019078F">
        <w:rPr>
          <w:rFonts w:eastAsia="Fira Sans Light" w:cs="Times New Roman"/>
          <w:szCs w:val="19"/>
          <w:shd w:val="clear" w:color="auto" w:fill="FFFFFF"/>
          <w:lang w:val="en-US"/>
        </w:rPr>
        <w:t xml:space="preserve">rter </w:t>
      </w:r>
      <w:r w:rsidR="002959B6">
        <w:rPr>
          <w:rFonts w:eastAsia="Fira Sans Light" w:cs="Times New Roman"/>
          <w:szCs w:val="19"/>
          <w:shd w:val="clear" w:color="auto" w:fill="FFFFFF"/>
          <w:lang w:val="en-US"/>
        </w:rPr>
        <w:t xml:space="preserve">of </w:t>
      </w:r>
      <w:r w:rsidR="00D576B5" w:rsidRPr="0019078F">
        <w:rPr>
          <w:rFonts w:eastAsia="Fira Sans Light" w:cs="Times New Roman"/>
          <w:szCs w:val="19"/>
          <w:shd w:val="clear" w:color="auto" w:fill="FFFFFF"/>
          <w:lang w:val="en-US"/>
        </w:rPr>
        <w:t>2018</w:t>
      </w:r>
      <w:r w:rsidR="00D576B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, </w:t>
      </w:r>
      <w:r w:rsidR="0019078F">
        <w:rPr>
          <w:rFonts w:eastAsia="Fira Sans Light" w:cs="Times New Roman"/>
          <w:szCs w:val="19"/>
          <w:shd w:val="clear" w:color="auto" w:fill="FFFFFF"/>
          <w:lang w:val="en-US"/>
        </w:rPr>
        <w:t>36,619</w:t>
      </w:r>
      <w:r w:rsidR="00D576B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permits have been granted or which have been registered with a construction project for the construction o</w:t>
      </w:r>
      <w:r w:rsidR="00D576B5" w:rsidRPr="0019078F">
        <w:rPr>
          <w:rFonts w:eastAsia="Fira Sans Light" w:cs="Times New Roman"/>
          <w:szCs w:val="19"/>
          <w:shd w:val="clear" w:color="auto" w:fill="FFFFFF"/>
          <w:lang w:val="en-US"/>
        </w:rPr>
        <w:t xml:space="preserve">f new civil engineering works, which is an increase of </w:t>
      </w:r>
      <w:r w:rsidR="0019078F" w:rsidRPr="0019078F">
        <w:rPr>
          <w:rFonts w:eastAsia="Fira Sans Light" w:cs="Times New Roman"/>
          <w:szCs w:val="19"/>
          <w:shd w:val="clear" w:color="auto" w:fill="FFFFFF"/>
          <w:lang w:val="en-US"/>
        </w:rPr>
        <w:t>5.6</w:t>
      </w:r>
      <w:r w:rsidR="00D576B5" w:rsidRPr="0019078F">
        <w:rPr>
          <w:rFonts w:eastAsia="Fira Sans Light" w:cs="Times New Roman"/>
          <w:szCs w:val="19"/>
          <w:shd w:val="clear" w:color="auto" w:fill="FFFFFF"/>
          <w:lang w:val="en-US"/>
        </w:rPr>
        <w:t xml:space="preserve">% compared to </w:t>
      </w:r>
      <w:r w:rsidR="00A75C04">
        <w:rPr>
          <w:rFonts w:eastAsia="Fira Sans Light" w:cs="Times New Roman"/>
          <w:szCs w:val="19"/>
          <w:shd w:val="clear" w:color="auto" w:fill="FFFFFF"/>
          <w:lang w:val="en-US"/>
        </w:rPr>
        <w:t xml:space="preserve">three quarters </w:t>
      </w:r>
      <w:r w:rsidR="00D576B5" w:rsidRPr="0019078F">
        <w:rPr>
          <w:rFonts w:eastAsia="Fira Sans Light" w:cs="Times New Roman"/>
          <w:szCs w:val="19"/>
          <w:shd w:val="clear" w:color="auto" w:fill="FFFFFF"/>
          <w:lang w:val="en-US"/>
        </w:rPr>
        <w:t>of 2017.</w:t>
      </w:r>
    </w:p>
    <w:p w:rsidR="00466699" w:rsidRDefault="00466699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</w:p>
    <w:p w:rsidR="00A6004B" w:rsidRPr="00A6004B" w:rsidRDefault="00A6004B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</w:p>
    <w:tbl>
      <w:tblPr>
        <w:tblpPr w:leftFromText="142" w:rightFromText="142" w:vertAnchor="text" w:horzAnchor="margin" w:tblpX="-141" w:tblpY="-44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A6004B" w:rsidRPr="004C2358" w:rsidTr="008F3DF1">
        <w:trPr>
          <w:trHeight w:val="1506"/>
        </w:trPr>
        <w:tc>
          <w:tcPr>
            <w:tcW w:w="4165" w:type="dxa"/>
          </w:tcPr>
          <w:p w:rsidR="00A6004B" w:rsidRPr="00ED7CB9" w:rsidRDefault="00A6004B" w:rsidP="008F3DF1">
            <w:pPr>
              <w:spacing w:before="0" w:after="0" w:line="276" w:lineRule="auto"/>
              <w:rPr>
                <w:rFonts w:cs="Arial"/>
                <w:color w:val="FF0000"/>
                <w:sz w:val="20"/>
                <w:lang w:val="en-US"/>
              </w:rPr>
            </w:pPr>
            <w:proofErr w:type="spellStart"/>
            <w:r w:rsidRPr="0008317F">
              <w:rPr>
                <w:rFonts w:eastAsia="Fira Sans Light" w:cs="Arial"/>
                <w:color w:val="000000" w:themeColor="text1"/>
                <w:sz w:val="20"/>
              </w:rPr>
              <w:t>Prepared</w:t>
            </w:r>
            <w:proofErr w:type="spellEnd"/>
            <w:r w:rsidRPr="00ED7CB9">
              <w:rPr>
                <w:rFonts w:cs="Arial"/>
                <w:color w:val="000000" w:themeColor="text1"/>
                <w:sz w:val="20"/>
                <w:lang w:val="en-US"/>
              </w:rPr>
              <w:t xml:space="preserve"> by: </w:t>
            </w:r>
          </w:p>
          <w:p w:rsidR="00A6004B" w:rsidRPr="00ED7CB9" w:rsidRDefault="00A6004B" w:rsidP="008F3DF1">
            <w:pPr>
              <w:spacing w:before="0"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ED7CB9">
              <w:rPr>
                <w:rFonts w:cs="Arial"/>
                <w:b/>
                <w:sz w:val="20"/>
                <w:lang w:val="en-US"/>
              </w:rPr>
              <w:t>Statistical Office in Lublin</w:t>
            </w:r>
          </w:p>
          <w:p w:rsidR="00A6004B" w:rsidRDefault="00A6004B" w:rsidP="008F3DF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:rsidR="00A6004B" w:rsidRDefault="00A6004B" w:rsidP="008F3DF1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41707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+48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81 533 23</w:t>
            </w:r>
            <w:r w:rsidR="00BE313F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01</w:t>
            </w:r>
          </w:p>
          <w:p w:rsidR="00A6004B" w:rsidRPr="00075B7A" w:rsidRDefault="00A6004B" w:rsidP="008F3DF1">
            <w:pPr>
              <w:spacing w:before="0"/>
            </w:pPr>
            <w:r w:rsidRPr="00075B7A">
              <w:rPr>
                <w:rFonts w:cs="Arial"/>
                <w:b/>
                <w:color w:val="000000" w:themeColor="text1"/>
                <w:sz w:val="20"/>
                <w:szCs w:val="20"/>
              </w:rPr>
              <w:t>e-mail:</w:t>
            </w:r>
            <w:r w:rsidRPr="00075B7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075B7A">
                <w:rPr>
                  <w:rStyle w:val="Hipercze"/>
                  <w:rFonts w:cs="Arial"/>
                  <w:sz w:val="20"/>
                  <w:szCs w:val="20"/>
                </w:rPr>
                <w:t>Z.Kurlej@stat.gov.pl</w:t>
              </w:r>
            </w:hyperlink>
          </w:p>
        </w:tc>
        <w:tc>
          <w:tcPr>
            <w:tcW w:w="3728" w:type="dxa"/>
          </w:tcPr>
          <w:p w:rsidR="00A6004B" w:rsidRPr="009B23A5" w:rsidRDefault="00A6004B" w:rsidP="008F3DF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for the President </w:t>
            </w:r>
          </w:p>
          <w:p w:rsidR="00A6004B" w:rsidRPr="009B23A5" w:rsidRDefault="00A6004B" w:rsidP="008F3DF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A6004B" w:rsidRPr="009B23A5" w:rsidRDefault="00A6004B" w:rsidP="008F3DF1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B23A5"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A6004B" w:rsidRPr="00FD67C9" w:rsidRDefault="00A6004B" w:rsidP="008F3DF1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+48 22 608 34</w:t>
            </w:r>
            <w:r w:rsidR="00BE313F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 xml:space="preserve"> </w:t>
            </w: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75, +48 22 608 30</w:t>
            </w:r>
            <w:r w:rsidR="00BE313F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 xml:space="preserve"> </w:t>
            </w: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09</w:t>
            </w:r>
          </w:p>
          <w:p w:rsidR="00A6004B" w:rsidRPr="00075B7A" w:rsidRDefault="00A6004B" w:rsidP="008F3DF1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075B7A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075B7A"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075B7A">
                <w:rPr>
                  <w:rStyle w:val="Hipercze"/>
                  <w:rFonts w:cs="Arial"/>
                  <w:sz w:val="20"/>
                </w:rPr>
                <w:t>rzecznik@stat.gov.pl</w:t>
              </w:r>
            </w:hyperlink>
          </w:p>
        </w:tc>
      </w:tr>
    </w:tbl>
    <w:tbl>
      <w:tblPr>
        <w:tblStyle w:val="Tabela-Siatka1"/>
        <w:tblpPr w:leftFromText="142" w:rightFromText="142" w:vertAnchor="text" w:horzAnchor="margin" w:tblpX="-141" w:tblpY="1951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1"/>
        <w:gridCol w:w="581"/>
        <w:gridCol w:w="3017"/>
      </w:tblGrid>
      <w:tr w:rsidR="00A6004B" w:rsidRPr="004C2358" w:rsidTr="008F3DF1">
        <w:trPr>
          <w:trHeight w:val="586"/>
        </w:trPr>
        <w:tc>
          <w:tcPr>
            <w:tcW w:w="2722" w:type="pct"/>
            <w:vMerge w:val="restart"/>
            <w:vAlign w:val="center"/>
          </w:tcPr>
          <w:p w:rsidR="00A6004B" w:rsidRPr="009B23A5" w:rsidRDefault="00A6004B" w:rsidP="008F3DF1">
            <w:pPr>
              <w:rPr>
                <w:b/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Press Office</w:t>
            </w:r>
          </w:p>
          <w:p w:rsidR="00A6004B" w:rsidRPr="009B23A5" w:rsidRDefault="00A6004B" w:rsidP="008F3DF1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 xml:space="preserve">tel.: </w:t>
            </w:r>
            <w:r w:rsidRPr="009B23A5">
              <w:rPr>
                <w:sz w:val="20"/>
                <w:lang w:val="en-GB"/>
              </w:rPr>
              <w:t xml:space="preserve">+48 22 608 34 91, +48 22 608 38 04 </w:t>
            </w:r>
          </w:p>
          <w:p w:rsidR="00A6004B" w:rsidRPr="009B23A5" w:rsidRDefault="00A6004B" w:rsidP="008F3DF1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fax:</w:t>
            </w:r>
            <w:r w:rsidRPr="009B23A5">
              <w:rPr>
                <w:sz w:val="20"/>
                <w:lang w:val="en-GB"/>
              </w:rPr>
              <w:t xml:space="preserve"> +48 22 608 38 86 </w:t>
            </w:r>
          </w:p>
          <w:p w:rsidR="00A6004B" w:rsidRPr="009B23A5" w:rsidRDefault="00A6004B" w:rsidP="008F3DF1">
            <w:pPr>
              <w:rPr>
                <w:sz w:val="18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e-mail:</w:t>
            </w:r>
            <w:r w:rsidR="00F45677">
              <w:rPr>
                <w:b/>
                <w:sz w:val="20"/>
                <w:lang w:val="en-GB"/>
              </w:rPr>
              <w:t xml:space="preserve"> </w:t>
            </w:r>
            <w:hyperlink r:id="rId18" w:history="1">
              <w:r w:rsidRPr="009B23A5">
                <w:rPr>
                  <w:color w:val="0000FF"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8" w:type="pct"/>
            <w:vAlign w:val="center"/>
          </w:tcPr>
          <w:p w:rsidR="00A6004B" w:rsidRPr="009B23A5" w:rsidRDefault="00A6004B" w:rsidP="008F3DF1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5754C99" wp14:editId="500839F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40005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A6004B" w:rsidRPr="009B23A5" w:rsidRDefault="00A6004B" w:rsidP="008F3DF1">
            <w:pPr>
              <w:rPr>
                <w:sz w:val="18"/>
                <w:lang w:val="en-GB"/>
              </w:rPr>
            </w:pPr>
            <w:r w:rsidRPr="009B23A5">
              <w:rPr>
                <w:sz w:val="20"/>
                <w:lang w:val="en-GB"/>
              </w:rPr>
              <w:t>www.stat.gov.pl/en/</w:t>
            </w:r>
          </w:p>
        </w:tc>
      </w:tr>
      <w:tr w:rsidR="00A6004B" w:rsidRPr="00FD67C9" w:rsidTr="008F3DF1">
        <w:trPr>
          <w:trHeight w:val="419"/>
        </w:trPr>
        <w:tc>
          <w:tcPr>
            <w:tcW w:w="2722" w:type="pct"/>
            <w:vMerge/>
            <w:vAlign w:val="center"/>
          </w:tcPr>
          <w:p w:rsidR="00A6004B" w:rsidRPr="009B23A5" w:rsidRDefault="00A6004B" w:rsidP="008F3DF1">
            <w:pPr>
              <w:rPr>
                <w:sz w:val="18"/>
                <w:lang w:val="en-GB"/>
              </w:rPr>
            </w:pPr>
          </w:p>
        </w:tc>
        <w:tc>
          <w:tcPr>
            <w:tcW w:w="368" w:type="pct"/>
            <w:vAlign w:val="center"/>
          </w:tcPr>
          <w:p w:rsidR="00A6004B" w:rsidRPr="009B23A5" w:rsidRDefault="00A6004B" w:rsidP="008F3DF1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66A55F6C" wp14:editId="714A9B2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38100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A6004B" w:rsidRPr="00FD67C9" w:rsidRDefault="00A6004B" w:rsidP="008F3DF1">
            <w:pPr>
              <w:rPr>
                <w:sz w:val="18"/>
              </w:rPr>
            </w:pPr>
            <w:r w:rsidRPr="00FD67C9">
              <w:rPr>
                <w:sz w:val="20"/>
              </w:rPr>
              <w:t>@</w:t>
            </w:r>
            <w:proofErr w:type="spellStart"/>
            <w:r w:rsidRPr="00FD67C9">
              <w:rPr>
                <w:sz w:val="20"/>
              </w:rPr>
              <w:t>StatPoland</w:t>
            </w:r>
            <w:proofErr w:type="spellEnd"/>
          </w:p>
        </w:tc>
      </w:tr>
      <w:tr w:rsidR="00A6004B" w:rsidRPr="00FD67C9" w:rsidTr="008F3DF1">
        <w:trPr>
          <w:trHeight w:val="419"/>
        </w:trPr>
        <w:tc>
          <w:tcPr>
            <w:tcW w:w="2722" w:type="pct"/>
            <w:vMerge/>
            <w:vAlign w:val="center"/>
          </w:tcPr>
          <w:p w:rsidR="00A6004B" w:rsidRPr="00FD67C9" w:rsidRDefault="00A6004B" w:rsidP="008F3DF1">
            <w:pPr>
              <w:rPr>
                <w:sz w:val="18"/>
              </w:rPr>
            </w:pPr>
          </w:p>
        </w:tc>
        <w:tc>
          <w:tcPr>
            <w:tcW w:w="368" w:type="pct"/>
            <w:vAlign w:val="center"/>
          </w:tcPr>
          <w:p w:rsidR="00A6004B" w:rsidRPr="00FD67C9" w:rsidRDefault="00A6004B" w:rsidP="008F3DF1">
            <w:pPr>
              <w:rPr>
                <w:sz w:val="18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562E4C94" wp14:editId="493CB2E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39370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A6004B" w:rsidRPr="00FD67C9" w:rsidRDefault="00A6004B" w:rsidP="008F3DF1">
            <w:pPr>
              <w:rPr>
                <w:sz w:val="20"/>
              </w:rPr>
            </w:pPr>
            <w:r w:rsidRPr="00FD67C9">
              <w:rPr>
                <w:sz w:val="20"/>
              </w:rPr>
              <w:t>@</w:t>
            </w:r>
            <w:proofErr w:type="spellStart"/>
            <w:r w:rsidRPr="00FD67C9">
              <w:rPr>
                <w:sz w:val="20"/>
              </w:rPr>
              <w:t>GlownyUrzadStatystyczny</w:t>
            </w:r>
            <w:proofErr w:type="spellEnd"/>
          </w:p>
        </w:tc>
      </w:tr>
    </w:tbl>
    <w:p w:rsidR="007F212D" w:rsidRPr="00A6004B" w:rsidRDefault="007F212D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  <w:sectPr w:rsidR="007F212D" w:rsidRPr="00A6004B" w:rsidSect="00141B83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FD67C9" w:rsidRPr="009B23A5" w:rsidRDefault="00A6004B" w:rsidP="00FD67C9">
      <w:pPr>
        <w:rPr>
          <w:sz w:val="20"/>
          <w:lang w:val="en-GB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654685</wp:posOffset>
                </wp:positionV>
                <wp:extent cx="6559549" cy="5327649"/>
                <wp:effectExtent l="0" t="0" r="13335" b="260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49" cy="53276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C9" w:rsidRPr="00FD67C9" w:rsidRDefault="00FD67C9" w:rsidP="00FD67C9">
                            <w:pPr>
                              <w:rPr>
                                <w:b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FD67C9" w:rsidRDefault="00FF5CC1" w:rsidP="00FD67C9">
                            <w:pPr>
                              <w:rPr>
                                <w:color w:val="0000FF"/>
                                <w:u w:val="single"/>
                                <w:lang w:val="en-US"/>
                              </w:rPr>
                            </w:pPr>
                            <w:hyperlink r:id="rId26" w:tooltip="Construction results in 2017" w:history="1">
                              <w:r w:rsidR="005D31D0" w:rsidRPr="00850354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Construction results in 2017</w:t>
                              </w:r>
                            </w:hyperlink>
                          </w:p>
                          <w:p w:rsidR="0066335A" w:rsidRPr="009B23A5" w:rsidRDefault="0066335A" w:rsidP="00FD67C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FD67C9" w:rsidRPr="009B23A5" w:rsidRDefault="00FF5CC1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7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FD67C9" w:rsidRDefault="00FF5CC1" w:rsidP="00FD67C9">
                            <w:pPr>
                              <w:rPr>
                                <w:color w:val="0000FF"/>
                                <w:szCs w:val="24"/>
                                <w:u w:val="single"/>
                                <w:lang w:val="en-GB"/>
                              </w:rPr>
                            </w:pPr>
                            <w:hyperlink r:id="rId28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66335A" w:rsidRPr="009B23A5" w:rsidRDefault="0066335A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FD67C9" w:rsidRPr="00ED7CB9" w:rsidRDefault="00FF5CC1" w:rsidP="00FD67C9">
                            <w:pPr>
                              <w:rPr>
                                <w:lang w:val="en-US"/>
                              </w:rPr>
                            </w:pPr>
                            <w:hyperlink r:id="rId29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</w:t>
                              </w:r>
                            </w:hyperlink>
                          </w:p>
                          <w:p w:rsidR="00F7626B" w:rsidRPr="00DB74B4" w:rsidRDefault="00DB74B4" w:rsidP="00FD67C9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lang w:val="en-GB"/>
                              </w:rPr>
                              <w:instrText xml:space="preserve"> HYPERLINK "http://stat.gov.pl/en/metainformations/glossary/terms-used-in-official-statistics/1021,term.html" </w:instrText>
                            </w:r>
                            <w:r>
                              <w:rPr>
                                <w:lang w:val="en-GB"/>
                              </w:rPr>
                              <w:fldChar w:fldCharType="separate"/>
                            </w:r>
                            <w:r w:rsidR="00F7626B" w:rsidRPr="00DB74B4">
                              <w:rPr>
                                <w:rStyle w:val="Hipercze"/>
                                <w:rFonts w:cstheme="minorBidi"/>
                                <w:lang w:val="en-GB"/>
                              </w:rPr>
                              <w:t>Non-residential building</w:t>
                            </w:r>
                          </w:p>
                          <w:p w:rsidR="00FD67C9" w:rsidRPr="009B23A5" w:rsidRDefault="00DB74B4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fldChar w:fldCharType="end"/>
                            </w:r>
                            <w:hyperlink r:id="rId30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Non-residential building completed</w:t>
                              </w:r>
                            </w:hyperlink>
                          </w:p>
                          <w:p w:rsidR="00FD67C9" w:rsidRPr="009B23A5" w:rsidRDefault="00FF5CC1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1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Civil engineering works</w:t>
                              </w:r>
                            </w:hyperlink>
                          </w:p>
                          <w:p w:rsidR="00FD67C9" w:rsidRPr="009B23A5" w:rsidRDefault="00FF5CC1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2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 permit and registration with a construction project</w:t>
                              </w:r>
                            </w:hyperlink>
                          </w:p>
                          <w:p w:rsidR="00AB6D25" w:rsidRPr="009B23A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1.55pt;width:516.5pt;height:419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" fillcolor="#f2f2f2 [3052]" strokecolor="white [3212]">
                <v:textbox>
                  <w:txbxContent>
                    <w:p w:rsidR="00FD67C9" w:rsidRPr="00FD67C9" w:rsidRDefault="00FD67C9" w:rsidP="00FD67C9">
                      <w:pPr>
                        <w:rPr>
                          <w:b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r w:rsidRPr="009B23A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FD67C9" w:rsidRDefault="003A3BD8" w:rsidP="00FD67C9">
                      <w:pPr>
                        <w:rPr>
                          <w:color w:val="0000FF"/>
                          <w:u w:val="single"/>
                          <w:lang w:val="en-US"/>
                        </w:rPr>
                      </w:pPr>
                      <w:hyperlink r:id="rId33" w:tooltip="Construction results in 2017" w:history="1">
                        <w:r w:rsidR="005D31D0" w:rsidRPr="00850354">
                          <w:rPr>
                            <w:color w:val="0000FF"/>
                            <w:u w:val="single"/>
                            <w:lang w:val="en-US"/>
                          </w:rPr>
                          <w:t>Construction results in 2017</w:t>
                        </w:r>
                      </w:hyperlink>
                    </w:p>
                    <w:p w:rsidR="0066335A" w:rsidRPr="009B23A5" w:rsidRDefault="0066335A" w:rsidP="00FD67C9">
                      <w:pPr>
                        <w:rPr>
                          <w:lang w:val="en-GB"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FD67C9" w:rsidRPr="009B23A5" w:rsidRDefault="003A3BD8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4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FD67C9" w:rsidRDefault="003A3BD8" w:rsidP="00FD67C9">
                      <w:pPr>
                        <w:rPr>
                          <w:color w:val="0000FF"/>
                          <w:szCs w:val="24"/>
                          <w:u w:val="single"/>
                          <w:lang w:val="en-GB"/>
                        </w:rPr>
                      </w:pPr>
                      <w:hyperlink r:id="rId35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Local Data Bank</w:t>
                        </w:r>
                      </w:hyperlink>
                    </w:p>
                    <w:p w:rsidR="0066335A" w:rsidRPr="009B23A5" w:rsidRDefault="0066335A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FD67C9" w:rsidRPr="00ED7CB9" w:rsidRDefault="003A3BD8" w:rsidP="00FD67C9">
                      <w:pPr>
                        <w:rPr>
                          <w:lang w:val="en-US"/>
                        </w:rPr>
                      </w:pPr>
                      <w:hyperlink r:id="rId36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</w:t>
                        </w:r>
                      </w:hyperlink>
                    </w:p>
                    <w:p w:rsidR="00F7626B" w:rsidRPr="00DB74B4" w:rsidRDefault="00DB74B4" w:rsidP="00FD67C9">
                      <w:pPr>
                        <w:rPr>
                          <w:rStyle w:val="Hipercze"/>
                          <w:rFonts w:cstheme="minorBidi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fldChar w:fldCharType="begin"/>
                      </w:r>
                      <w:r>
                        <w:rPr>
                          <w:lang w:val="en-GB"/>
                        </w:rPr>
                        <w:instrText xml:space="preserve"> HYPERLINK "http://stat.gov.pl/en/metainformations/glossary/terms-used-in-official-statistics/1021,term.html" </w:instrText>
                      </w:r>
                      <w:r>
                        <w:rPr>
                          <w:lang w:val="en-GB"/>
                        </w:rPr>
                        <w:fldChar w:fldCharType="separate"/>
                      </w:r>
                      <w:r w:rsidR="00F7626B" w:rsidRPr="00DB74B4">
                        <w:rPr>
                          <w:rStyle w:val="Hipercze"/>
                          <w:rFonts w:cstheme="minorBidi"/>
                          <w:lang w:val="en-GB"/>
                        </w:rPr>
                        <w:t>Non-residential building</w:t>
                      </w:r>
                    </w:p>
                    <w:p w:rsidR="00FD67C9" w:rsidRPr="009B23A5" w:rsidRDefault="00DB74B4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fldChar w:fldCharType="end"/>
                      </w:r>
                      <w:hyperlink r:id="rId37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Non-residential building completed</w:t>
                        </w:r>
                      </w:hyperlink>
                    </w:p>
                    <w:p w:rsidR="00FD67C9" w:rsidRPr="009B23A5" w:rsidRDefault="003A3BD8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8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Civil engineering works</w:t>
                        </w:r>
                      </w:hyperlink>
                    </w:p>
                    <w:p w:rsidR="00FD67C9" w:rsidRPr="009B23A5" w:rsidRDefault="003A3BD8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9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 permit and registration with a construction project</w:t>
                        </w:r>
                      </w:hyperlink>
                    </w:p>
                    <w:p w:rsidR="00AB6D25" w:rsidRPr="009B23A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D67C9" w:rsidRPr="009B23A5" w:rsidRDefault="00FD67C9" w:rsidP="00FD67C9">
      <w:pPr>
        <w:rPr>
          <w:sz w:val="18"/>
          <w:lang w:val="en-GB"/>
        </w:rPr>
      </w:pPr>
    </w:p>
    <w:p w:rsidR="000470AA" w:rsidRDefault="000470AA" w:rsidP="000470AA">
      <w:pPr>
        <w:rPr>
          <w:sz w:val="18"/>
        </w:rPr>
      </w:pPr>
    </w:p>
    <w:p w:rsidR="00D261A2" w:rsidRPr="00001C5B" w:rsidRDefault="00D261A2" w:rsidP="00E76D26">
      <w:pPr>
        <w:rPr>
          <w:sz w:val="18"/>
        </w:rPr>
      </w:pPr>
    </w:p>
    <w:sectPr w:rsidR="00D261A2" w:rsidRPr="00001C5B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C1" w:rsidRDefault="00FF5CC1" w:rsidP="000662E2">
      <w:pPr>
        <w:spacing w:after="0" w:line="240" w:lineRule="auto"/>
      </w:pPr>
      <w:r>
        <w:separator/>
      </w:r>
    </w:p>
  </w:endnote>
  <w:endnote w:type="continuationSeparator" w:id="0">
    <w:p w:rsidR="00FF5CC1" w:rsidRDefault="00FF5CC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657352"/>
      <w:docPartObj>
        <w:docPartGallery w:val="Page Numbers (Bottom of Page)"/>
        <w:docPartUnique/>
      </w:docPartObj>
    </w:sdtPr>
    <w:sdtEndPr/>
    <w:sdtContent>
      <w:p w:rsidR="00141B83" w:rsidRDefault="007B4D46" w:rsidP="003B18B6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45677">
          <w:rPr>
            <w:rFonts w:asciiTheme="minorHAnsi" w:hAnsiTheme="minorHAnsi"/>
            <w:sz w:val="20"/>
            <w:szCs w:val="20"/>
          </w:rPr>
          <w:fldChar w:fldCharType="begin"/>
        </w:r>
        <w:r w:rsidR="00541E6E" w:rsidRPr="00F4567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5677">
          <w:rPr>
            <w:rFonts w:asciiTheme="minorHAnsi" w:hAnsiTheme="minorHAnsi"/>
            <w:sz w:val="20"/>
            <w:szCs w:val="20"/>
          </w:rPr>
          <w:fldChar w:fldCharType="separate"/>
        </w:r>
        <w:r w:rsidR="00261734">
          <w:rPr>
            <w:rFonts w:asciiTheme="minorHAnsi" w:hAnsiTheme="minorHAnsi"/>
            <w:noProof/>
            <w:sz w:val="20"/>
            <w:szCs w:val="20"/>
          </w:rPr>
          <w:t>3</w:t>
        </w:r>
        <w:r w:rsidRPr="00F45677">
          <w:rPr>
            <w:rFonts w:asciiTheme="minorHAnsi" w:hAnsiTheme="minorHAnsi"/>
            <w:sz w:val="20"/>
            <w:szCs w:val="20"/>
          </w:rPr>
          <w:fldChar w:fldCharType="end"/>
        </w:r>
      </w:p>
      <w:p w:rsidR="00EB556D" w:rsidRDefault="00FF5CC1" w:rsidP="003B18B6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86" w:rsidRPr="00914A06" w:rsidRDefault="00025986" w:rsidP="00ED7CB9">
    <w:pPr>
      <w:pStyle w:val="Stopka"/>
      <w:jc w:val="center"/>
      <w:rPr>
        <w:rFonts w:asciiTheme="minorHAnsi" w:hAnsiTheme="minorHAnsi"/>
      </w:rPr>
    </w:pPr>
    <w:r w:rsidRPr="00914A06">
      <w:rPr>
        <w:rFonts w:asciiTheme="minorHAnsi" w:hAnsiTheme="minorHAnsi"/>
      </w:rPr>
      <w:t>1</w:t>
    </w:r>
  </w:p>
  <w:p w:rsidR="00EB556D" w:rsidRDefault="00EB556D" w:rsidP="003B18B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6" w:rsidRDefault="007B4D46" w:rsidP="003B18B6">
    <w:pPr>
      <w:pStyle w:val="Stopka"/>
      <w:jc w:val="center"/>
      <w:rPr>
        <w:rFonts w:asciiTheme="minorHAnsi" w:hAnsiTheme="minorHAnsi"/>
        <w:sz w:val="20"/>
        <w:szCs w:val="20"/>
      </w:rPr>
    </w:pPr>
    <w:r w:rsidRPr="00F45677">
      <w:rPr>
        <w:rFonts w:asciiTheme="minorHAnsi" w:hAnsiTheme="minorHAnsi"/>
        <w:sz w:val="20"/>
        <w:szCs w:val="20"/>
      </w:rPr>
      <w:fldChar w:fldCharType="begin"/>
    </w:r>
    <w:r w:rsidR="003B18B6" w:rsidRPr="00F45677">
      <w:rPr>
        <w:rFonts w:asciiTheme="minorHAnsi" w:hAnsiTheme="minorHAnsi"/>
        <w:sz w:val="20"/>
        <w:szCs w:val="20"/>
      </w:rPr>
      <w:instrText>PAGE   \* MERGEFORMAT</w:instrText>
    </w:r>
    <w:r w:rsidRPr="00F45677">
      <w:rPr>
        <w:rFonts w:asciiTheme="minorHAnsi" w:hAnsiTheme="minorHAnsi"/>
        <w:sz w:val="20"/>
        <w:szCs w:val="20"/>
      </w:rPr>
      <w:fldChar w:fldCharType="separate"/>
    </w:r>
    <w:r w:rsidR="00261734">
      <w:rPr>
        <w:rFonts w:asciiTheme="minorHAnsi" w:hAnsiTheme="minorHAnsi"/>
        <w:noProof/>
        <w:sz w:val="20"/>
        <w:szCs w:val="20"/>
      </w:rPr>
      <w:t>4</w:t>
    </w:r>
    <w:r w:rsidRPr="00F45677">
      <w:rPr>
        <w:rFonts w:asciiTheme="minorHAnsi" w:hAnsiTheme="minorHAnsi"/>
        <w:sz w:val="20"/>
        <w:szCs w:val="20"/>
      </w:rPr>
      <w:fldChar w:fldCharType="end"/>
    </w:r>
  </w:p>
  <w:p w:rsidR="00141B83" w:rsidRPr="00F45677" w:rsidRDefault="00141B83" w:rsidP="003B18B6">
    <w:pPr>
      <w:pStyle w:val="Stopka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C1" w:rsidRDefault="00FF5CC1" w:rsidP="000662E2">
      <w:pPr>
        <w:spacing w:after="0" w:line="240" w:lineRule="auto"/>
      </w:pPr>
      <w:r>
        <w:separator/>
      </w:r>
    </w:p>
  </w:footnote>
  <w:footnote w:type="continuationSeparator" w:id="0">
    <w:p w:rsidR="00FF5CC1" w:rsidRDefault="00FF5CC1" w:rsidP="000662E2">
      <w:pPr>
        <w:spacing w:after="0" w:line="240" w:lineRule="auto"/>
      </w:pPr>
      <w:r>
        <w:continuationSeparator/>
      </w:r>
    </w:p>
  </w:footnote>
  <w:footnote w:id="1">
    <w:p w:rsidR="00ED7CB9" w:rsidRPr="007D597D" w:rsidRDefault="00ED7CB9" w:rsidP="00914A06">
      <w:pPr>
        <w:pStyle w:val="Tekstprzypisudolnego"/>
        <w:ind w:left="142" w:hanging="142"/>
        <w:jc w:val="both"/>
        <w:rPr>
          <w:lang w:val="en-US"/>
        </w:rPr>
      </w:pPr>
      <w:r>
        <w:rPr>
          <w:rStyle w:val="Odwoanieprzypisudolnego"/>
        </w:rPr>
        <w:footnoteRef/>
      </w:r>
      <w:r w:rsidRPr="007D597D">
        <w:rPr>
          <w:lang w:val="en-US"/>
        </w:rPr>
        <w:t xml:space="preserve"> </w:t>
      </w:r>
      <w:r w:rsidR="00914A06">
        <w:rPr>
          <w:lang w:val="en-US"/>
        </w:rPr>
        <w:tab/>
      </w:r>
      <w:r w:rsidR="007D597D" w:rsidRPr="007D597D">
        <w:rPr>
          <w:rFonts w:eastAsia="Calibri"/>
          <w:sz w:val="16"/>
          <w:lang w:val="en-US"/>
        </w:rPr>
        <w:t xml:space="preserve">Whenever the note refers to </w:t>
      </w:r>
      <w:r w:rsidR="007D597D" w:rsidRPr="007D597D">
        <w:rPr>
          <w:rFonts w:eastAsia="Calibri"/>
          <w:b/>
          <w:sz w:val="16"/>
          <w:lang w:val="en-US"/>
        </w:rPr>
        <w:t>the useful floor area of non-residential buildings completed</w:t>
      </w:r>
      <w:r w:rsidR="007D597D" w:rsidRPr="007D597D">
        <w:rPr>
          <w:rFonts w:eastAsia="Calibri"/>
          <w:sz w:val="16"/>
          <w:lang w:val="en-US"/>
        </w:rPr>
        <w:t xml:space="preserve"> - it should be understood as the sum of useful floor area of new buildings and new parts of extended buildings</w:t>
      </w:r>
      <w:r w:rsidRPr="007D597D">
        <w:rPr>
          <w:rFonts w:eastAsia="Calibri"/>
          <w:sz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F23C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FD67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7A" w:rsidRDefault="0050071B" w:rsidP="0034677A">
    <w:pPr>
      <w:pStyle w:val="Nagwek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210327</wp:posOffset>
          </wp:positionV>
          <wp:extent cx="2505075" cy="414655"/>
          <wp:effectExtent l="0" t="0" r="0" b="0"/>
          <wp:wrapSquare wrapText="bothSides"/>
          <wp:docPr id="27" name="Obraz 27" descr="C:\Users\zawistowskaB\AppData\Local\Microsoft\Windows\INetCache\Content.Word\l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awistowskaB\AppData\Local\Microsoft\Windows\INetCache\Content.Word\l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C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F23C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BCA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34677A">
      <w:rPr>
        <w:noProof/>
        <w:lang w:eastAsia="pl-PL"/>
      </w:rPr>
      <w:tab/>
    </w:r>
  </w:p>
  <w:p w:rsidR="0050071B" w:rsidRDefault="0050071B">
    <w:pPr>
      <w:pStyle w:val="Nagwek"/>
      <w:rPr>
        <w:noProof/>
        <w:lang w:eastAsia="pl-PL"/>
      </w:rPr>
    </w:pPr>
  </w:p>
  <w:p w:rsidR="0050071B" w:rsidRDefault="0050071B">
    <w:pPr>
      <w:pStyle w:val="Nagwek"/>
      <w:rPr>
        <w:noProof/>
        <w:lang w:eastAsia="pl-PL"/>
      </w:rPr>
    </w:pPr>
  </w:p>
  <w:p w:rsidR="00F32749" w:rsidRDefault="00F23C3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5244626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B337BD" w:rsidRDefault="00546B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8136CC"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C77835"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B4252"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A810F9"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Pr="00B337BD"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</w:p>
                        <w:p w:rsidR="004B4252" w:rsidRPr="00C97596" w:rsidRDefault="004B425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2.95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CR&#10;ICPT3gAAAAoBAAAPAAAAAAAAAAAAAAAAAGoEAABkcnMvZG93bnJldi54bWxQSwUGAAAAAAQABADz&#10;AAAAdQUAAAAA&#10;" filled="f" stroked="f">
              <v:textbox>
                <w:txbxContent>
                  <w:p w:rsidR="00F37172" w:rsidRPr="00B337BD" w:rsidRDefault="00546B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B337BD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8136CC" w:rsidRPr="00B337BD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C77835" w:rsidRPr="00B337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B4252" w:rsidRPr="00B337BD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A810F9" w:rsidRPr="00B337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Pr="00B337BD"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</w:p>
                  <w:p w:rsidR="004B4252" w:rsidRPr="00C97596" w:rsidRDefault="004B425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9pt;height:125.2pt;visibility:visible;mso-wrap-style:square" o:bullet="t">
        <v:imagedata r:id="rId1" o:title=""/>
      </v:shape>
    </w:pict>
  </w:numPicBullet>
  <w:numPicBullet w:numPicBulletId="1">
    <w:pict>
      <v:shape id="_x0000_i1029" type="#_x0000_t75" style="width:123.9pt;height:125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CC2A27"/>
    <w:multiLevelType w:val="hybridMultilevel"/>
    <w:tmpl w:val="B246CB80"/>
    <w:lvl w:ilvl="0" w:tplc="2C341C4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F342B1"/>
    <w:multiLevelType w:val="hybridMultilevel"/>
    <w:tmpl w:val="96DE3F0E"/>
    <w:lvl w:ilvl="0" w:tplc="D13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5B6"/>
    <w:rsid w:val="00003437"/>
    <w:rsid w:val="0000709F"/>
    <w:rsid w:val="000108B8"/>
    <w:rsid w:val="000152F5"/>
    <w:rsid w:val="00021547"/>
    <w:rsid w:val="00022036"/>
    <w:rsid w:val="00025986"/>
    <w:rsid w:val="00026A99"/>
    <w:rsid w:val="00032028"/>
    <w:rsid w:val="00034A5C"/>
    <w:rsid w:val="00036BE6"/>
    <w:rsid w:val="00043241"/>
    <w:rsid w:val="0004582E"/>
    <w:rsid w:val="000470AA"/>
    <w:rsid w:val="000516E1"/>
    <w:rsid w:val="00056D3B"/>
    <w:rsid w:val="0005721E"/>
    <w:rsid w:val="000576F4"/>
    <w:rsid w:val="00057CA1"/>
    <w:rsid w:val="000662E2"/>
    <w:rsid w:val="00066883"/>
    <w:rsid w:val="0007460B"/>
    <w:rsid w:val="00074DD8"/>
    <w:rsid w:val="000750BF"/>
    <w:rsid w:val="00075B7A"/>
    <w:rsid w:val="000806F7"/>
    <w:rsid w:val="00081FD0"/>
    <w:rsid w:val="0008317F"/>
    <w:rsid w:val="00086767"/>
    <w:rsid w:val="000879B3"/>
    <w:rsid w:val="0009559B"/>
    <w:rsid w:val="00097570"/>
    <w:rsid w:val="000A0BA1"/>
    <w:rsid w:val="000B0727"/>
    <w:rsid w:val="000B41CB"/>
    <w:rsid w:val="000B7822"/>
    <w:rsid w:val="000C0DD6"/>
    <w:rsid w:val="000C135D"/>
    <w:rsid w:val="000C6FB5"/>
    <w:rsid w:val="000D1D43"/>
    <w:rsid w:val="000D225C"/>
    <w:rsid w:val="000D2A5C"/>
    <w:rsid w:val="000D46A5"/>
    <w:rsid w:val="000D5A49"/>
    <w:rsid w:val="000E0918"/>
    <w:rsid w:val="000E3CE1"/>
    <w:rsid w:val="000E5C7E"/>
    <w:rsid w:val="000F2551"/>
    <w:rsid w:val="000F2CB4"/>
    <w:rsid w:val="000F5E5E"/>
    <w:rsid w:val="001011C3"/>
    <w:rsid w:val="0011084C"/>
    <w:rsid w:val="00110D87"/>
    <w:rsid w:val="00114DB9"/>
    <w:rsid w:val="00115725"/>
    <w:rsid w:val="00116087"/>
    <w:rsid w:val="00120FA2"/>
    <w:rsid w:val="00123EB6"/>
    <w:rsid w:val="00130296"/>
    <w:rsid w:val="0013753E"/>
    <w:rsid w:val="00141743"/>
    <w:rsid w:val="00141B83"/>
    <w:rsid w:val="001423B6"/>
    <w:rsid w:val="001448A7"/>
    <w:rsid w:val="001454DA"/>
    <w:rsid w:val="00146621"/>
    <w:rsid w:val="00150ED0"/>
    <w:rsid w:val="0015262E"/>
    <w:rsid w:val="00162325"/>
    <w:rsid w:val="00176FD7"/>
    <w:rsid w:val="00181D3A"/>
    <w:rsid w:val="0019078F"/>
    <w:rsid w:val="00191C87"/>
    <w:rsid w:val="00193360"/>
    <w:rsid w:val="001951DA"/>
    <w:rsid w:val="001B5D42"/>
    <w:rsid w:val="001B5EA6"/>
    <w:rsid w:val="001C1A68"/>
    <w:rsid w:val="001C3269"/>
    <w:rsid w:val="001D11E3"/>
    <w:rsid w:val="001D1DB4"/>
    <w:rsid w:val="001D1F48"/>
    <w:rsid w:val="001D2736"/>
    <w:rsid w:val="001D4F92"/>
    <w:rsid w:val="001E5838"/>
    <w:rsid w:val="001E5D60"/>
    <w:rsid w:val="001F430A"/>
    <w:rsid w:val="001F51E7"/>
    <w:rsid w:val="001F5D28"/>
    <w:rsid w:val="001F6D3E"/>
    <w:rsid w:val="002034A6"/>
    <w:rsid w:val="00204D1B"/>
    <w:rsid w:val="002176A7"/>
    <w:rsid w:val="00222226"/>
    <w:rsid w:val="00223CE0"/>
    <w:rsid w:val="00232CA2"/>
    <w:rsid w:val="002335F3"/>
    <w:rsid w:val="0024241D"/>
    <w:rsid w:val="00250A15"/>
    <w:rsid w:val="002574F9"/>
    <w:rsid w:val="00261734"/>
    <w:rsid w:val="00262B61"/>
    <w:rsid w:val="00263F23"/>
    <w:rsid w:val="00264084"/>
    <w:rsid w:val="00276811"/>
    <w:rsid w:val="00277E53"/>
    <w:rsid w:val="002814D6"/>
    <w:rsid w:val="00282699"/>
    <w:rsid w:val="00282CDE"/>
    <w:rsid w:val="00283DD6"/>
    <w:rsid w:val="002922B2"/>
    <w:rsid w:val="002926DF"/>
    <w:rsid w:val="002959B6"/>
    <w:rsid w:val="00296697"/>
    <w:rsid w:val="002A1886"/>
    <w:rsid w:val="002B0472"/>
    <w:rsid w:val="002B6B12"/>
    <w:rsid w:val="002B7FBC"/>
    <w:rsid w:val="002C71C5"/>
    <w:rsid w:val="002D021D"/>
    <w:rsid w:val="002D70A3"/>
    <w:rsid w:val="002E2927"/>
    <w:rsid w:val="002E6140"/>
    <w:rsid w:val="002E6985"/>
    <w:rsid w:val="002E71B6"/>
    <w:rsid w:val="002F1E9D"/>
    <w:rsid w:val="002F77C8"/>
    <w:rsid w:val="00304F22"/>
    <w:rsid w:val="00306C7C"/>
    <w:rsid w:val="003109F5"/>
    <w:rsid w:val="00315F4E"/>
    <w:rsid w:val="003161FB"/>
    <w:rsid w:val="00322EDD"/>
    <w:rsid w:val="00332320"/>
    <w:rsid w:val="00334F4E"/>
    <w:rsid w:val="00335CC4"/>
    <w:rsid w:val="0034048F"/>
    <w:rsid w:val="00340A55"/>
    <w:rsid w:val="0034677A"/>
    <w:rsid w:val="003479FA"/>
    <w:rsid w:val="00347D72"/>
    <w:rsid w:val="0035614F"/>
    <w:rsid w:val="00356FEB"/>
    <w:rsid w:val="0035723B"/>
    <w:rsid w:val="00357611"/>
    <w:rsid w:val="00367237"/>
    <w:rsid w:val="0037077F"/>
    <w:rsid w:val="00372411"/>
    <w:rsid w:val="00373882"/>
    <w:rsid w:val="0037443F"/>
    <w:rsid w:val="0037595C"/>
    <w:rsid w:val="003843DB"/>
    <w:rsid w:val="003905A3"/>
    <w:rsid w:val="003907EF"/>
    <w:rsid w:val="00393761"/>
    <w:rsid w:val="00394058"/>
    <w:rsid w:val="00396D88"/>
    <w:rsid w:val="00397D18"/>
    <w:rsid w:val="003A1B36"/>
    <w:rsid w:val="003A3BD8"/>
    <w:rsid w:val="003A5070"/>
    <w:rsid w:val="003A5E54"/>
    <w:rsid w:val="003A65D5"/>
    <w:rsid w:val="003B0B72"/>
    <w:rsid w:val="003B1454"/>
    <w:rsid w:val="003B18B6"/>
    <w:rsid w:val="003B3CCE"/>
    <w:rsid w:val="003B474F"/>
    <w:rsid w:val="003C17A0"/>
    <w:rsid w:val="003C3C00"/>
    <w:rsid w:val="003C59E0"/>
    <w:rsid w:val="003C6C8D"/>
    <w:rsid w:val="003D3123"/>
    <w:rsid w:val="003D4F95"/>
    <w:rsid w:val="003D5F42"/>
    <w:rsid w:val="003D60A9"/>
    <w:rsid w:val="003E2FFB"/>
    <w:rsid w:val="003E4A4B"/>
    <w:rsid w:val="003E7C15"/>
    <w:rsid w:val="003F05A8"/>
    <w:rsid w:val="003F1A93"/>
    <w:rsid w:val="003F2104"/>
    <w:rsid w:val="003F4C97"/>
    <w:rsid w:val="003F7FE6"/>
    <w:rsid w:val="00400193"/>
    <w:rsid w:val="00402C53"/>
    <w:rsid w:val="0041402B"/>
    <w:rsid w:val="004211D9"/>
    <w:rsid w:val="004212E7"/>
    <w:rsid w:val="0042446D"/>
    <w:rsid w:val="00426FB0"/>
    <w:rsid w:val="00427BF8"/>
    <w:rsid w:val="00431C02"/>
    <w:rsid w:val="00437395"/>
    <w:rsid w:val="00444E4F"/>
    <w:rsid w:val="00445047"/>
    <w:rsid w:val="00445A7B"/>
    <w:rsid w:val="004577F3"/>
    <w:rsid w:val="00463E39"/>
    <w:rsid w:val="00463F04"/>
    <w:rsid w:val="004657FC"/>
    <w:rsid w:val="00466699"/>
    <w:rsid w:val="00466A2B"/>
    <w:rsid w:val="00467144"/>
    <w:rsid w:val="004676D4"/>
    <w:rsid w:val="004733F6"/>
    <w:rsid w:val="00474E69"/>
    <w:rsid w:val="004818AA"/>
    <w:rsid w:val="00494D69"/>
    <w:rsid w:val="0049621B"/>
    <w:rsid w:val="004A08C3"/>
    <w:rsid w:val="004A51DD"/>
    <w:rsid w:val="004B064D"/>
    <w:rsid w:val="004B4252"/>
    <w:rsid w:val="004B4D29"/>
    <w:rsid w:val="004C1895"/>
    <w:rsid w:val="004C2358"/>
    <w:rsid w:val="004C5558"/>
    <w:rsid w:val="004C6D40"/>
    <w:rsid w:val="004D2474"/>
    <w:rsid w:val="004D50A9"/>
    <w:rsid w:val="004F0C3C"/>
    <w:rsid w:val="004F457C"/>
    <w:rsid w:val="004F63FC"/>
    <w:rsid w:val="0050031E"/>
    <w:rsid w:val="0050071B"/>
    <w:rsid w:val="00502609"/>
    <w:rsid w:val="005029C6"/>
    <w:rsid w:val="00505A92"/>
    <w:rsid w:val="00510D19"/>
    <w:rsid w:val="005138A5"/>
    <w:rsid w:val="005203F1"/>
    <w:rsid w:val="0052140D"/>
    <w:rsid w:val="00521BC3"/>
    <w:rsid w:val="005229B9"/>
    <w:rsid w:val="005324B2"/>
    <w:rsid w:val="00533632"/>
    <w:rsid w:val="00541E6E"/>
    <w:rsid w:val="0054251F"/>
    <w:rsid w:val="00546BEB"/>
    <w:rsid w:val="005520D8"/>
    <w:rsid w:val="00556CF1"/>
    <w:rsid w:val="00563613"/>
    <w:rsid w:val="005762A7"/>
    <w:rsid w:val="00582EF5"/>
    <w:rsid w:val="005916D7"/>
    <w:rsid w:val="005A698C"/>
    <w:rsid w:val="005B32EC"/>
    <w:rsid w:val="005B4630"/>
    <w:rsid w:val="005B50FB"/>
    <w:rsid w:val="005C17F8"/>
    <w:rsid w:val="005C1FFA"/>
    <w:rsid w:val="005C60D4"/>
    <w:rsid w:val="005D31D0"/>
    <w:rsid w:val="005E0799"/>
    <w:rsid w:val="005E5B44"/>
    <w:rsid w:val="005E5EDB"/>
    <w:rsid w:val="005F5A80"/>
    <w:rsid w:val="00602793"/>
    <w:rsid w:val="006028EC"/>
    <w:rsid w:val="006044FF"/>
    <w:rsid w:val="00606102"/>
    <w:rsid w:val="00607CC5"/>
    <w:rsid w:val="006111E6"/>
    <w:rsid w:val="006114B8"/>
    <w:rsid w:val="006218C2"/>
    <w:rsid w:val="00624DC4"/>
    <w:rsid w:val="00626CDF"/>
    <w:rsid w:val="006325C8"/>
    <w:rsid w:val="00632BDC"/>
    <w:rsid w:val="00633014"/>
    <w:rsid w:val="0063437B"/>
    <w:rsid w:val="00635289"/>
    <w:rsid w:val="00637522"/>
    <w:rsid w:val="00642E34"/>
    <w:rsid w:val="00644B1F"/>
    <w:rsid w:val="0065398C"/>
    <w:rsid w:val="0065437F"/>
    <w:rsid w:val="00660627"/>
    <w:rsid w:val="006613B8"/>
    <w:rsid w:val="0066335A"/>
    <w:rsid w:val="00663CB8"/>
    <w:rsid w:val="006673CA"/>
    <w:rsid w:val="00673C26"/>
    <w:rsid w:val="006769F9"/>
    <w:rsid w:val="006812AF"/>
    <w:rsid w:val="0068327D"/>
    <w:rsid w:val="00694AF0"/>
    <w:rsid w:val="00694B66"/>
    <w:rsid w:val="006A4686"/>
    <w:rsid w:val="006A4A42"/>
    <w:rsid w:val="006B0E9E"/>
    <w:rsid w:val="006B5AE4"/>
    <w:rsid w:val="006C099D"/>
    <w:rsid w:val="006C2424"/>
    <w:rsid w:val="006C2CE8"/>
    <w:rsid w:val="006C53AD"/>
    <w:rsid w:val="006D1507"/>
    <w:rsid w:val="006D4054"/>
    <w:rsid w:val="006E02EC"/>
    <w:rsid w:val="006E3064"/>
    <w:rsid w:val="006E59F8"/>
    <w:rsid w:val="00704FB3"/>
    <w:rsid w:val="00706935"/>
    <w:rsid w:val="00707CF1"/>
    <w:rsid w:val="007211B1"/>
    <w:rsid w:val="00725191"/>
    <w:rsid w:val="00730314"/>
    <w:rsid w:val="0073223E"/>
    <w:rsid w:val="00732CCF"/>
    <w:rsid w:val="00732E7F"/>
    <w:rsid w:val="0073731F"/>
    <w:rsid w:val="00743156"/>
    <w:rsid w:val="0074323A"/>
    <w:rsid w:val="00743D49"/>
    <w:rsid w:val="00745558"/>
    <w:rsid w:val="00746187"/>
    <w:rsid w:val="00747149"/>
    <w:rsid w:val="00750EE1"/>
    <w:rsid w:val="0076097F"/>
    <w:rsid w:val="0076254F"/>
    <w:rsid w:val="007801F5"/>
    <w:rsid w:val="007812AD"/>
    <w:rsid w:val="00783CA4"/>
    <w:rsid w:val="007842FB"/>
    <w:rsid w:val="00784A92"/>
    <w:rsid w:val="007855AC"/>
    <w:rsid w:val="00786124"/>
    <w:rsid w:val="00794057"/>
    <w:rsid w:val="0079514B"/>
    <w:rsid w:val="007A1D2E"/>
    <w:rsid w:val="007A2DC1"/>
    <w:rsid w:val="007B3199"/>
    <w:rsid w:val="007B4D46"/>
    <w:rsid w:val="007B7915"/>
    <w:rsid w:val="007C1092"/>
    <w:rsid w:val="007C330D"/>
    <w:rsid w:val="007C368F"/>
    <w:rsid w:val="007C5BB8"/>
    <w:rsid w:val="007C669D"/>
    <w:rsid w:val="007D2462"/>
    <w:rsid w:val="007D3319"/>
    <w:rsid w:val="007D335D"/>
    <w:rsid w:val="007D5479"/>
    <w:rsid w:val="007D5656"/>
    <w:rsid w:val="007D597D"/>
    <w:rsid w:val="007D67FF"/>
    <w:rsid w:val="007E3314"/>
    <w:rsid w:val="007E4B03"/>
    <w:rsid w:val="007F212D"/>
    <w:rsid w:val="007F324B"/>
    <w:rsid w:val="00804084"/>
    <w:rsid w:val="00804479"/>
    <w:rsid w:val="0080553C"/>
    <w:rsid w:val="00805B46"/>
    <w:rsid w:val="008136CC"/>
    <w:rsid w:val="00816C78"/>
    <w:rsid w:val="0082138D"/>
    <w:rsid w:val="00821850"/>
    <w:rsid w:val="00825DC2"/>
    <w:rsid w:val="00830475"/>
    <w:rsid w:val="00834AD3"/>
    <w:rsid w:val="00841707"/>
    <w:rsid w:val="00841F7D"/>
    <w:rsid w:val="00843795"/>
    <w:rsid w:val="00843A23"/>
    <w:rsid w:val="00847F0F"/>
    <w:rsid w:val="00850354"/>
    <w:rsid w:val="00852448"/>
    <w:rsid w:val="00862BE7"/>
    <w:rsid w:val="0086474C"/>
    <w:rsid w:val="00873DE9"/>
    <w:rsid w:val="0088258A"/>
    <w:rsid w:val="00886332"/>
    <w:rsid w:val="00886C84"/>
    <w:rsid w:val="0089512B"/>
    <w:rsid w:val="008A0851"/>
    <w:rsid w:val="008A26D9"/>
    <w:rsid w:val="008A7F42"/>
    <w:rsid w:val="008B0C6B"/>
    <w:rsid w:val="008B4EDE"/>
    <w:rsid w:val="008C0C29"/>
    <w:rsid w:val="008C46B6"/>
    <w:rsid w:val="008C773C"/>
    <w:rsid w:val="008D23FC"/>
    <w:rsid w:val="008E6545"/>
    <w:rsid w:val="008F042F"/>
    <w:rsid w:val="008F3638"/>
    <w:rsid w:val="008F377F"/>
    <w:rsid w:val="008F3DF1"/>
    <w:rsid w:val="008F42D6"/>
    <w:rsid w:val="008F4441"/>
    <w:rsid w:val="008F522A"/>
    <w:rsid w:val="008F6F31"/>
    <w:rsid w:val="008F74DF"/>
    <w:rsid w:val="0090135A"/>
    <w:rsid w:val="00910E11"/>
    <w:rsid w:val="00911D50"/>
    <w:rsid w:val="009127BA"/>
    <w:rsid w:val="00914A06"/>
    <w:rsid w:val="00915AA6"/>
    <w:rsid w:val="00921F24"/>
    <w:rsid w:val="009227A6"/>
    <w:rsid w:val="00927192"/>
    <w:rsid w:val="0093384E"/>
    <w:rsid w:val="00933EC1"/>
    <w:rsid w:val="00941AB6"/>
    <w:rsid w:val="00941C53"/>
    <w:rsid w:val="00941D2E"/>
    <w:rsid w:val="00946403"/>
    <w:rsid w:val="00947D26"/>
    <w:rsid w:val="0095125E"/>
    <w:rsid w:val="009530DB"/>
    <w:rsid w:val="00953676"/>
    <w:rsid w:val="009541B0"/>
    <w:rsid w:val="009545E0"/>
    <w:rsid w:val="00954E52"/>
    <w:rsid w:val="0095512A"/>
    <w:rsid w:val="009678C8"/>
    <w:rsid w:val="009705EE"/>
    <w:rsid w:val="00976E3E"/>
    <w:rsid w:val="00977927"/>
    <w:rsid w:val="0098135C"/>
    <w:rsid w:val="0098156A"/>
    <w:rsid w:val="0098329A"/>
    <w:rsid w:val="00990F49"/>
    <w:rsid w:val="00991BAC"/>
    <w:rsid w:val="009934FB"/>
    <w:rsid w:val="009968E9"/>
    <w:rsid w:val="009A6EA0"/>
    <w:rsid w:val="009B23A5"/>
    <w:rsid w:val="009B73C7"/>
    <w:rsid w:val="009C1335"/>
    <w:rsid w:val="009C1AB2"/>
    <w:rsid w:val="009C7251"/>
    <w:rsid w:val="009E1370"/>
    <w:rsid w:val="009E2E91"/>
    <w:rsid w:val="009E33D0"/>
    <w:rsid w:val="009E3B75"/>
    <w:rsid w:val="009E57B9"/>
    <w:rsid w:val="009E66D2"/>
    <w:rsid w:val="009F4636"/>
    <w:rsid w:val="009F7D8F"/>
    <w:rsid w:val="00A050EE"/>
    <w:rsid w:val="00A060E7"/>
    <w:rsid w:val="00A061A3"/>
    <w:rsid w:val="00A07EE4"/>
    <w:rsid w:val="00A139F5"/>
    <w:rsid w:val="00A15525"/>
    <w:rsid w:val="00A15C77"/>
    <w:rsid w:val="00A24C44"/>
    <w:rsid w:val="00A2550F"/>
    <w:rsid w:val="00A34AB7"/>
    <w:rsid w:val="00A357B9"/>
    <w:rsid w:val="00A365F4"/>
    <w:rsid w:val="00A47D80"/>
    <w:rsid w:val="00A53132"/>
    <w:rsid w:val="00A563F2"/>
    <w:rsid w:val="00A566E8"/>
    <w:rsid w:val="00A6004B"/>
    <w:rsid w:val="00A61624"/>
    <w:rsid w:val="00A61DDA"/>
    <w:rsid w:val="00A628F7"/>
    <w:rsid w:val="00A67BFC"/>
    <w:rsid w:val="00A71DBC"/>
    <w:rsid w:val="00A726B0"/>
    <w:rsid w:val="00A75C04"/>
    <w:rsid w:val="00A810F9"/>
    <w:rsid w:val="00A8374E"/>
    <w:rsid w:val="00A85E59"/>
    <w:rsid w:val="00A86ECC"/>
    <w:rsid w:val="00A86FCC"/>
    <w:rsid w:val="00A876A2"/>
    <w:rsid w:val="00A919B2"/>
    <w:rsid w:val="00A976A2"/>
    <w:rsid w:val="00AA710D"/>
    <w:rsid w:val="00AA73E6"/>
    <w:rsid w:val="00AB3DF7"/>
    <w:rsid w:val="00AB3FBB"/>
    <w:rsid w:val="00AB5DFF"/>
    <w:rsid w:val="00AB6D25"/>
    <w:rsid w:val="00AC3FCE"/>
    <w:rsid w:val="00AC6603"/>
    <w:rsid w:val="00AE2D4B"/>
    <w:rsid w:val="00AE3937"/>
    <w:rsid w:val="00AE4F99"/>
    <w:rsid w:val="00AF1EB3"/>
    <w:rsid w:val="00AF7016"/>
    <w:rsid w:val="00B1321E"/>
    <w:rsid w:val="00B14952"/>
    <w:rsid w:val="00B17BD9"/>
    <w:rsid w:val="00B21EAE"/>
    <w:rsid w:val="00B25AD2"/>
    <w:rsid w:val="00B31E5A"/>
    <w:rsid w:val="00B337BD"/>
    <w:rsid w:val="00B37142"/>
    <w:rsid w:val="00B44F02"/>
    <w:rsid w:val="00B501D5"/>
    <w:rsid w:val="00B607AC"/>
    <w:rsid w:val="00B63687"/>
    <w:rsid w:val="00B653AB"/>
    <w:rsid w:val="00B65F9E"/>
    <w:rsid w:val="00B66B19"/>
    <w:rsid w:val="00B67B61"/>
    <w:rsid w:val="00B702C6"/>
    <w:rsid w:val="00B7120C"/>
    <w:rsid w:val="00B7784E"/>
    <w:rsid w:val="00B82BEC"/>
    <w:rsid w:val="00B857B5"/>
    <w:rsid w:val="00B86E6C"/>
    <w:rsid w:val="00B914E9"/>
    <w:rsid w:val="00B931B7"/>
    <w:rsid w:val="00B95616"/>
    <w:rsid w:val="00B956EE"/>
    <w:rsid w:val="00B96139"/>
    <w:rsid w:val="00BA2BA1"/>
    <w:rsid w:val="00BA5256"/>
    <w:rsid w:val="00BB188A"/>
    <w:rsid w:val="00BB4F09"/>
    <w:rsid w:val="00BB6DD9"/>
    <w:rsid w:val="00BC3CEE"/>
    <w:rsid w:val="00BC6AAD"/>
    <w:rsid w:val="00BC6D2B"/>
    <w:rsid w:val="00BD11E6"/>
    <w:rsid w:val="00BD4E33"/>
    <w:rsid w:val="00BE313F"/>
    <w:rsid w:val="00BE764E"/>
    <w:rsid w:val="00BF0285"/>
    <w:rsid w:val="00BF3AF1"/>
    <w:rsid w:val="00BF7E31"/>
    <w:rsid w:val="00C030DE"/>
    <w:rsid w:val="00C22105"/>
    <w:rsid w:val="00C244B6"/>
    <w:rsid w:val="00C331D4"/>
    <w:rsid w:val="00C3702F"/>
    <w:rsid w:val="00C4352F"/>
    <w:rsid w:val="00C46BD4"/>
    <w:rsid w:val="00C52367"/>
    <w:rsid w:val="00C526ED"/>
    <w:rsid w:val="00C608B8"/>
    <w:rsid w:val="00C645F1"/>
    <w:rsid w:val="00C64A37"/>
    <w:rsid w:val="00C66192"/>
    <w:rsid w:val="00C7158E"/>
    <w:rsid w:val="00C715D5"/>
    <w:rsid w:val="00C7250B"/>
    <w:rsid w:val="00C7346B"/>
    <w:rsid w:val="00C76236"/>
    <w:rsid w:val="00C77454"/>
    <w:rsid w:val="00C77835"/>
    <w:rsid w:val="00C77C0E"/>
    <w:rsid w:val="00C87723"/>
    <w:rsid w:val="00C91687"/>
    <w:rsid w:val="00C924A8"/>
    <w:rsid w:val="00C945FE"/>
    <w:rsid w:val="00C96FAA"/>
    <w:rsid w:val="00C97A04"/>
    <w:rsid w:val="00CA107B"/>
    <w:rsid w:val="00CA484D"/>
    <w:rsid w:val="00CA4FB6"/>
    <w:rsid w:val="00CA54FE"/>
    <w:rsid w:val="00CB41A7"/>
    <w:rsid w:val="00CB6CEA"/>
    <w:rsid w:val="00CC3150"/>
    <w:rsid w:val="00CC3AB6"/>
    <w:rsid w:val="00CC739E"/>
    <w:rsid w:val="00CC7C45"/>
    <w:rsid w:val="00CD33FF"/>
    <w:rsid w:val="00CD58B7"/>
    <w:rsid w:val="00CD61C0"/>
    <w:rsid w:val="00CE0855"/>
    <w:rsid w:val="00CF18B4"/>
    <w:rsid w:val="00CF4099"/>
    <w:rsid w:val="00D00796"/>
    <w:rsid w:val="00D05516"/>
    <w:rsid w:val="00D0573E"/>
    <w:rsid w:val="00D119BB"/>
    <w:rsid w:val="00D13BAA"/>
    <w:rsid w:val="00D250BF"/>
    <w:rsid w:val="00D261A2"/>
    <w:rsid w:val="00D32A03"/>
    <w:rsid w:val="00D35253"/>
    <w:rsid w:val="00D41C47"/>
    <w:rsid w:val="00D43DD7"/>
    <w:rsid w:val="00D576B5"/>
    <w:rsid w:val="00D616D2"/>
    <w:rsid w:val="00D63B5F"/>
    <w:rsid w:val="00D64203"/>
    <w:rsid w:val="00D65A63"/>
    <w:rsid w:val="00D70EF7"/>
    <w:rsid w:val="00D7679B"/>
    <w:rsid w:val="00D8397C"/>
    <w:rsid w:val="00D85008"/>
    <w:rsid w:val="00D850A5"/>
    <w:rsid w:val="00D85773"/>
    <w:rsid w:val="00D86CBE"/>
    <w:rsid w:val="00D94EED"/>
    <w:rsid w:val="00D96026"/>
    <w:rsid w:val="00DA7C1C"/>
    <w:rsid w:val="00DB147A"/>
    <w:rsid w:val="00DB1B7A"/>
    <w:rsid w:val="00DB3C29"/>
    <w:rsid w:val="00DB74B4"/>
    <w:rsid w:val="00DC6708"/>
    <w:rsid w:val="00DC7C75"/>
    <w:rsid w:val="00DD5938"/>
    <w:rsid w:val="00DE2732"/>
    <w:rsid w:val="00E01436"/>
    <w:rsid w:val="00E045BD"/>
    <w:rsid w:val="00E04C81"/>
    <w:rsid w:val="00E13F56"/>
    <w:rsid w:val="00E17B77"/>
    <w:rsid w:val="00E222A7"/>
    <w:rsid w:val="00E232C8"/>
    <w:rsid w:val="00E23337"/>
    <w:rsid w:val="00E259EA"/>
    <w:rsid w:val="00E32061"/>
    <w:rsid w:val="00E32177"/>
    <w:rsid w:val="00E33E6A"/>
    <w:rsid w:val="00E42FF9"/>
    <w:rsid w:val="00E45200"/>
    <w:rsid w:val="00E4714C"/>
    <w:rsid w:val="00E51AEB"/>
    <w:rsid w:val="00E522A7"/>
    <w:rsid w:val="00E54452"/>
    <w:rsid w:val="00E56D98"/>
    <w:rsid w:val="00E61F95"/>
    <w:rsid w:val="00E63135"/>
    <w:rsid w:val="00E641B9"/>
    <w:rsid w:val="00E65293"/>
    <w:rsid w:val="00E655FF"/>
    <w:rsid w:val="00E664C5"/>
    <w:rsid w:val="00E671A2"/>
    <w:rsid w:val="00E70777"/>
    <w:rsid w:val="00E76D26"/>
    <w:rsid w:val="00E8522A"/>
    <w:rsid w:val="00E91278"/>
    <w:rsid w:val="00E91540"/>
    <w:rsid w:val="00E946F4"/>
    <w:rsid w:val="00EA59CC"/>
    <w:rsid w:val="00EB1390"/>
    <w:rsid w:val="00EB2C71"/>
    <w:rsid w:val="00EB3D0C"/>
    <w:rsid w:val="00EB4340"/>
    <w:rsid w:val="00EB556D"/>
    <w:rsid w:val="00EB5A7D"/>
    <w:rsid w:val="00EB7A2A"/>
    <w:rsid w:val="00EC3322"/>
    <w:rsid w:val="00EC3825"/>
    <w:rsid w:val="00EC5186"/>
    <w:rsid w:val="00ED14A4"/>
    <w:rsid w:val="00ED55C0"/>
    <w:rsid w:val="00ED682B"/>
    <w:rsid w:val="00ED7CB9"/>
    <w:rsid w:val="00EE41D5"/>
    <w:rsid w:val="00EE4B0E"/>
    <w:rsid w:val="00EF0154"/>
    <w:rsid w:val="00EF0CF8"/>
    <w:rsid w:val="00F020CB"/>
    <w:rsid w:val="00F037A4"/>
    <w:rsid w:val="00F23C36"/>
    <w:rsid w:val="00F24A80"/>
    <w:rsid w:val="00F27C8F"/>
    <w:rsid w:val="00F31D93"/>
    <w:rsid w:val="00F32749"/>
    <w:rsid w:val="00F37172"/>
    <w:rsid w:val="00F40486"/>
    <w:rsid w:val="00F41EBA"/>
    <w:rsid w:val="00F42EBC"/>
    <w:rsid w:val="00F44001"/>
    <w:rsid w:val="00F4477E"/>
    <w:rsid w:val="00F45677"/>
    <w:rsid w:val="00F45CD4"/>
    <w:rsid w:val="00F50B85"/>
    <w:rsid w:val="00F511E2"/>
    <w:rsid w:val="00F520FE"/>
    <w:rsid w:val="00F53C7B"/>
    <w:rsid w:val="00F54E23"/>
    <w:rsid w:val="00F670E8"/>
    <w:rsid w:val="00F67D8F"/>
    <w:rsid w:val="00F70052"/>
    <w:rsid w:val="00F71ADD"/>
    <w:rsid w:val="00F72927"/>
    <w:rsid w:val="00F7626B"/>
    <w:rsid w:val="00F802BE"/>
    <w:rsid w:val="00F817AC"/>
    <w:rsid w:val="00F86024"/>
    <w:rsid w:val="00F8611A"/>
    <w:rsid w:val="00F86A2D"/>
    <w:rsid w:val="00F86B4A"/>
    <w:rsid w:val="00F90530"/>
    <w:rsid w:val="00FA28B9"/>
    <w:rsid w:val="00FA5128"/>
    <w:rsid w:val="00FB42D4"/>
    <w:rsid w:val="00FB5906"/>
    <w:rsid w:val="00FB762F"/>
    <w:rsid w:val="00FC2AED"/>
    <w:rsid w:val="00FC363C"/>
    <w:rsid w:val="00FC4833"/>
    <w:rsid w:val="00FC7724"/>
    <w:rsid w:val="00FD57CD"/>
    <w:rsid w:val="00FD5EA7"/>
    <w:rsid w:val="00FD67C9"/>
    <w:rsid w:val="00FF5CC1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EB43F-8B82-42BD-B8E9-75B546B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uiPriority w:val="99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uiPriority w:val="99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uiPriority w:val="99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uiPriority w:val="99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uiPriority w:val="99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FD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B37142"/>
  </w:style>
  <w:style w:type="character" w:styleId="UyteHipercze">
    <w:name w:val="FollowedHyperlink"/>
    <w:basedOn w:val="Domylnaczcionkaakapitu"/>
    <w:uiPriority w:val="99"/>
    <w:semiHidden/>
    <w:unhideWhenUsed/>
    <w:rsid w:val="00EB3D0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7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3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3E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753E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topics/industry-construction-fixed-assets/construction/construction-results-in-2017,1,11.html" TargetMode="External"/><Relationship Id="rId39" Type="http://schemas.openxmlformats.org/officeDocument/2006/relationships/hyperlink" Target="http://stat.gov.pl/en/metainformations/glossary/terms-used-in-official-statistics/329,term.htm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://swaid.stat.gov.pl/en/SitePagesDBW/Budownictwo.aspx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Z.Kurlej@stat.gov.p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stat.gov.pl/en/metainformations/glossary/terms-used-in-official-statistics/26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32" Type="http://schemas.openxmlformats.org/officeDocument/2006/relationships/hyperlink" Target="http://stat.gov.pl/en/metainformations/glossary/terms-used-in-official-statistics/329,term.html" TargetMode="External"/><Relationship Id="rId37" Type="http://schemas.openxmlformats.org/officeDocument/2006/relationships/hyperlink" Target="http://stat.gov.pl/en/metainformations/glossary/terms-used-in-official-statistics/3176,term.html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stat.gov.pl/en/metainformations/glossary/terms-used-in-official-statistics/26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://stat.gov.pl/en/metainformations/glossary/terms-used-in-official-statistics/1743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hyperlink" Target="http://swaid.stat.gov.pl/en/SitePagesDBW/Budownictwo.aspx" TargetMode="External"/><Relationship Id="rId30" Type="http://schemas.openxmlformats.org/officeDocument/2006/relationships/hyperlink" Target="http://stat.gov.pl/en/metainformations/glossary/terms-used-in-official-statistics/3176,term.html" TargetMode="External"/><Relationship Id="rId35" Type="http://schemas.openxmlformats.org/officeDocument/2006/relationships/hyperlink" Target="https://bdl.stat.gov.pl/BDL/start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yperlink" Target="mailto:rzecznik@stat.gov.pl" TargetMode="External"/><Relationship Id="rId25" Type="http://schemas.openxmlformats.org/officeDocument/2006/relationships/footer" Target="footer2.xml"/><Relationship Id="rId33" Type="http://schemas.openxmlformats.org/officeDocument/2006/relationships/hyperlink" Target="http://stat.gov.pl/en/topics/industry-construction-fixed-assets/construction/construction-results-in-2017,1,11.html" TargetMode="External"/><Relationship Id="rId38" Type="http://schemas.openxmlformats.org/officeDocument/2006/relationships/hyperlink" Target="http://stat.gov.pl/en/metainformations/glossary/terms-used-in-official-statistics/1743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FD7F-DCD8-4BA2-895B-D63B0091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99F63C1A-14F3-4325-B3E2-2C30505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2018-10-03T10:02:00Z</cp:lastPrinted>
  <dcterms:created xsi:type="dcterms:W3CDTF">2018-12-07T07:47:00Z</dcterms:created>
  <dcterms:modified xsi:type="dcterms:W3CDTF">2018-12-07T07:47:00Z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