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9D" w:rsidRPr="009B23A5" w:rsidRDefault="006C099D" w:rsidP="006C099D">
      <w:pPr>
        <w:pStyle w:val="tytuinformacji"/>
        <w:rPr>
          <w:sz w:val="32"/>
          <w:szCs w:val="32"/>
          <w:shd w:val="clear" w:color="auto" w:fill="FFFFFF"/>
          <w:lang w:val="en-GB"/>
        </w:rPr>
      </w:pPr>
      <w:r w:rsidRPr="009B23A5">
        <w:rPr>
          <w:sz w:val="32"/>
          <w:szCs w:val="32"/>
          <w:shd w:val="clear" w:color="auto" w:fill="FFFFFF"/>
          <w:lang w:val="en-GB"/>
        </w:rPr>
        <w:t xml:space="preserve">Non-residential construction </w:t>
      </w:r>
      <w:r w:rsidR="00644B1F" w:rsidRPr="009B23A5">
        <w:rPr>
          <w:sz w:val="32"/>
          <w:szCs w:val="32"/>
          <w:shd w:val="clear" w:color="auto" w:fill="FFFFFF"/>
          <w:lang w:val="en-GB"/>
        </w:rPr>
        <w:t>in</w:t>
      </w:r>
      <w:r w:rsidR="00E91278" w:rsidRPr="009B23A5">
        <w:rPr>
          <w:sz w:val="32"/>
          <w:szCs w:val="32"/>
          <w:shd w:val="clear" w:color="auto" w:fill="FFFFFF"/>
          <w:lang w:val="en-GB"/>
        </w:rPr>
        <w:t xml:space="preserve"> the </w:t>
      </w:r>
      <w:r w:rsidR="005E5EDB" w:rsidRPr="009B23A5">
        <w:rPr>
          <w:sz w:val="32"/>
          <w:szCs w:val="32"/>
          <w:shd w:val="clear" w:color="auto" w:fill="FFFFFF"/>
          <w:lang w:val="en-GB"/>
        </w:rPr>
        <w:t>first</w:t>
      </w:r>
      <w:r w:rsidR="00181D3A">
        <w:rPr>
          <w:sz w:val="32"/>
          <w:szCs w:val="32"/>
          <w:shd w:val="clear" w:color="auto" w:fill="FFFFFF"/>
          <w:lang w:val="en-GB"/>
        </w:rPr>
        <w:t xml:space="preserve"> </w:t>
      </w:r>
      <w:r w:rsidR="008136CC">
        <w:rPr>
          <w:sz w:val="32"/>
          <w:szCs w:val="32"/>
          <w:shd w:val="clear" w:color="auto" w:fill="FFFFFF"/>
          <w:lang w:val="en-GB"/>
        </w:rPr>
        <w:t>half</w:t>
      </w:r>
      <w:r w:rsidR="00181D3A">
        <w:rPr>
          <w:sz w:val="32"/>
          <w:szCs w:val="32"/>
          <w:shd w:val="clear" w:color="auto" w:fill="FFFFFF"/>
          <w:lang w:val="en-GB"/>
        </w:rPr>
        <w:t xml:space="preserve"> </w:t>
      </w:r>
      <w:r w:rsidR="00A976A2" w:rsidRPr="009B23A5">
        <w:rPr>
          <w:sz w:val="32"/>
          <w:szCs w:val="32"/>
          <w:shd w:val="clear" w:color="auto" w:fill="FFFFFF"/>
          <w:lang w:val="en-GB"/>
        </w:rPr>
        <w:t>of</w:t>
      </w:r>
      <w:r w:rsidRPr="009B23A5">
        <w:rPr>
          <w:sz w:val="32"/>
          <w:szCs w:val="32"/>
          <w:shd w:val="clear" w:color="auto" w:fill="FFFFFF"/>
          <w:lang w:val="en-GB"/>
        </w:rPr>
        <w:t xml:space="preserve"> 201</w:t>
      </w:r>
      <w:r w:rsidR="00A976A2" w:rsidRPr="009B23A5">
        <w:rPr>
          <w:sz w:val="32"/>
          <w:szCs w:val="32"/>
          <w:shd w:val="clear" w:color="auto" w:fill="FFFFFF"/>
          <w:lang w:val="en-GB"/>
        </w:rPr>
        <w:t xml:space="preserve">8 </w:t>
      </w:r>
    </w:p>
    <w:p w:rsidR="00393761" w:rsidRPr="009B23A5" w:rsidRDefault="00393761" w:rsidP="00074DD8">
      <w:pPr>
        <w:pStyle w:val="tytuinformacji"/>
        <w:rPr>
          <w:sz w:val="32"/>
          <w:lang w:val="en-GB"/>
        </w:rPr>
      </w:pPr>
    </w:p>
    <w:p w:rsidR="00250A15" w:rsidRDefault="00F23C36" w:rsidP="008136CC">
      <w:pPr>
        <w:pStyle w:val="LID"/>
        <w:ind w:left="2977"/>
        <w:jc w:val="both"/>
        <w:rPr>
          <w:rFonts w:cs="Arial"/>
          <w:lang w:val="en-US"/>
        </w:rPr>
      </w:pPr>
      <w:r w:rsidRPr="00ED7CB9">
        <w:rPr>
          <w:rFonts w:eastAsia="Fira Sans Light" w:cs="Times New Roman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48485" cy="1330960"/>
                <wp:effectExtent l="0" t="0" r="0" b="25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485" cy="1331406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EC1" w:rsidRPr="009B23A5" w:rsidRDefault="00FD57CD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</w:pPr>
                            <w:r w:rsidRPr="002A5BE1">
                              <w:rPr>
                                <w:rFonts w:ascii="Fira Sans Light" w:hAnsi="Fira Sans Light"/>
                                <w:b/>
                                <w:noProof/>
                                <w:color w:val="002060"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42900" cy="342900"/>
                                  <wp:effectExtent l="38100" t="38100" r="0" b="38100"/>
                                  <wp:docPr id="12" name="Obraz 3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 r="-372" b="-227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scene3d>
                                            <a:camera prst="orthographicFront">
                                              <a:rot lat="1200000" lon="21000000" rev="10800000"/>
                                            </a:camera>
                                            <a:lightRig rig="threePt" dir="t"/>
                                          </a:scene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136CC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  <w:t>101</w:t>
                            </w:r>
                            <w:r w:rsidR="00F40486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  <w:t>.</w:t>
                            </w:r>
                            <w:r w:rsidR="00176FD7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  <w:t>7</w:t>
                            </w:r>
                          </w:p>
                          <w:p w:rsidR="006C099D" w:rsidRPr="00ED7CB9" w:rsidRDefault="00830475" w:rsidP="006C099D">
                            <w:pPr>
                              <w:pStyle w:val="tekstnaniebieskimtle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The index of </w:t>
                            </w:r>
                            <w:r w:rsidR="003A5070">
                              <w:rPr>
                                <w:lang w:val="en-GB"/>
                              </w:rPr>
                              <w:t xml:space="preserve">the size of </w:t>
                            </w:r>
                            <w:r w:rsidR="00022036" w:rsidRPr="009B23A5">
                              <w:rPr>
                                <w:lang w:val="en-GB"/>
                              </w:rPr>
                              <w:t>u</w:t>
                            </w:r>
                            <w:r w:rsidR="006C099D" w:rsidRPr="009B23A5">
                              <w:rPr>
                                <w:lang w:val="en-GB"/>
                              </w:rPr>
                              <w:t xml:space="preserve">seful floor area of non-residential buildings completed </w:t>
                            </w:r>
                          </w:p>
                          <w:p w:rsidR="00933EC1" w:rsidRPr="009B23A5" w:rsidRDefault="00933EC1" w:rsidP="006C099D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6.55pt;width:145.55pt;height:104.8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" fillcolor="#001d77" stroked="f">
                <v:textbox>
                  <w:txbxContent>
                    <w:p w:rsidR="00933EC1" w:rsidRPr="009B23A5" w:rsidRDefault="00FD57CD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</w:pPr>
                      <w:r w:rsidRPr="002A5BE1">
                        <w:rPr>
                          <w:rFonts w:ascii="Fira Sans Light" w:hAnsi="Fira Sans Light"/>
                          <w:b/>
                          <w:noProof/>
                          <w:color w:val="002060"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42900" cy="342900"/>
                            <wp:effectExtent l="38100" t="38100" r="0" b="38100"/>
                            <wp:docPr id="12" name="Obraz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 r="-372" b="-227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scene3d>
                                      <a:camera prst="orthographicFront">
                                        <a:rot lat="1200000" lon="21000000" rev="10800000"/>
                                      </a:camera>
                                      <a:lightRig rig="threePt" dir="t"/>
                                    </a:scene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136CC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  <w:t>101</w:t>
                      </w:r>
                      <w:r w:rsidR="00F40486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  <w:t>.</w:t>
                      </w:r>
                      <w:r w:rsidR="00176FD7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  <w:t>7</w:t>
                      </w:r>
                    </w:p>
                    <w:p w:rsidR="006C099D" w:rsidRPr="00ED7CB9" w:rsidRDefault="00830475" w:rsidP="006C099D">
                      <w:pPr>
                        <w:pStyle w:val="tekstnaniebieskimtle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The index of </w:t>
                      </w:r>
                      <w:r w:rsidR="003A5070">
                        <w:rPr>
                          <w:lang w:val="en-GB"/>
                        </w:rPr>
                        <w:t xml:space="preserve">the size of </w:t>
                      </w:r>
                      <w:r w:rsidR="00022036" w:rsidRPr="009B23A5">
                        <w:rPr>
                          <w:lang w:val="en-GB"/>
                        </w:rPr>
                        <w:t>u</w:t>
                      </w:r>
                      <w:r w:rsidR="006C099D" w:rsidRPr="009B23A5">
                        <w:rPr>
                          <w:lang w:val="en-GB"/>
                        </w:rPr>
                        <w:t xml:space="preserve">seful floor area of non-residential buildings completed </w:t>
                      </w:r>
                    </w:p>
                    <w:p w:rsidR="00933EC1" w:rsidRPr="009B23A5" w:rsidRDefault="00933EC1" w:rsidP="006C099D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099D" w:rsidRPr="00ED7CB9">
        <w:rPr>
          <w:rFonts w:eastAsia="Fira Sans Light" w:cs="Times New Roman"/>
          <w:lang w:val="en-US"/>
        </w:rPr>
        <w:t xml:space="preserve">In </w:t>
      </w:r>
      <w:r w:rsidR="00A976A2" w:rsidRPr="00ED7CB9">
        <w:rPr>
          <w:rFonts w:eastAsia="Fira Sans Light" w:cs="Times New Roman"/>
          <w:lang w:val="en-US"/>
        </w:rPr>
        <w:t xml:space="preserve">the </w:t>
      </w:r>
      <w:r w:rsidR="005E5EDB" w:rsidRPr="00ED7CB9">
        <w:rPr>
          <w:rFonts w:eastAsia="Fira Sans Light" w:cs="Times New Roman"/>
          <w:lang w:val="en-US"/>
        </w:rPr>
        <w:t xml:space="preserve">first </w:t>
      </w:r>
      <w:r w:rsidR="008136CC" w:rsidRPr="00ED7CB9">
        <w:rPr>
          <w:rFonts w:eastAsia="Fira Sans Light" w:cs="Times New Roman"/>
          <w:lang w:val="en-US"/>
        </w:rPr>
        <w:t>half</w:t>
      </w:r>
      <w:r w:rsidR="00941AB6" w:rsidRPr="00ED7CB9">
        <w:rPr>
          <w:rFonts w:eastAsia="Fira Sans Light" w:cs="Times New Roman"/>
          <w:lang w:val="en-US"/>
        </w:rPr>
        <w:t xml:space="preserve"> </w:t>
      </w:r>
      <w:r w:rsidR="00A976A2" w:rsidRPr="00ED7CB9">
        <w:rPr>
          <w:rFonts w:eastAsia="Fira Sans Light" w:cs="Times New Roman"/>
          <w:lang w:val="en-US"/>
        </w:rPr>
        <w:t>of 2018</w:t>
      </w:r>
      <w:r w:rsidR="006C099D" w:rsidRPr="00ED7CB9">
        <w:rPr>
          <w:rFonts w:eastAsia="Fira Sans Light" w:cs="Times New Roman"/>
          <w:lang w:val="en-US"/>
        </w:rPr>
        <w:t xml:space="preserve"> the number of new non-residential buildings completed </w:t>
      </w:r>
      <w:r w:rsidR="005E5EDB" w:rsidRPr="00ED7CB9">
        <w:rPr>
          <w:rFonts w:eastAsia="Fira Sans Light" w:cs="Times New Roman"/>
          <w:lang w:val="en-US"/>
        </w:rPr>
        <w:t xml:space="preserve">decreased </w:t>
      </w:r>
      <w:r w:rsidR="007C368F" w:rsidRPr="00ED7CB9">
        <w:rPr>
          <w:rFonts w:eastAsia="Fira Sans Light" w:cs="Times New Roman"/>
          <w:lang w:val="en-US"/>
        </w:rPr>
        <w:t>comp</w:t>
      </w:r>
      <w:r w:rsidR="00B95616" w:rsidRPr="00ED7CB9">
        <w:rPr>
          <w:rFonts w:eastAsia="Fira Sans Light" w:cs="Times New Roman"/>
          <w:lang w:val="en-US"/>
        </w:rPr>
        <w:t>ared</w:t>
      </w:r>
      <w:r w:rsidR="00941AB6" w:rsidRPr="00ED7CB9">
        <w:rPr>
          <w:rFonts w:eastAsia="Fira Sans Light" w:cs="Times New Roman"/>
          <w:lang w:val="en-US"/>
        </w:rPr>
        <w:t xml:space="preserve"> t</w:t>
      </w:r>
      <w:r w:rsidR="00B95616" w:rsidRPr="00ED7CB9">
        <w:rPr>
          <w:rFonts w:eastAsia="Fira Sans Light" w:cs="Times New Roman"/>
          <w:lang w:val="en-US"/>
        </w:rPr>
        <w:t xml:space="preserve">o </w:t>
      </w:r>
      <w:r w:rsidR="0065437F" w:rsidRPr="00ED7CB9">
        <w:rPr>
          <w:rFonts w:eastAsia="Fira Sans Light" w:cs="Times New Roman"/>
          <w:lang w:val="en-US"/>
        </w:rPr>
        <w:t xml:space="preserve">the </w:t>
      </w:r>
      <w:r w:rsidR="000D46A5" w:rsidRPr="00ED7CB9">
        <w:rPr>
          <w:rFonts w:eastAsia="Fira Sans Light" w:cs="Times New Roman"/>
          <w:lang w:val="en-US"/>
        </w:rPr>
        <w:t>corresponding period of</w:t>
      </w:r>
      <w:r w:rsidR="0050031E" w:rsidRPr="00ED7CB9">
        <w:rPr>
          <w:rFonts w:eastAsia="Fira Sans Light" w:cs="Times New Roman"/>
          <w:lang w:val="en-US"/>
        </w:rPr>
        <w:t xml:space="preserve"> the</w:t>
      </w:r>
      <w:r w:rsidR="000D46A5" w:rsidRPr="00ED7CB9">
        <w:rPr>
          <w:rFonts w:eastAsia="Fira Sans Light" w:cs="Times New Roman"/>
          <w:lang w:val="en-US"/>
        </w:rPr>
        <w:t xml:space="preserve"> previous year</w:t>
      </w:r>
      <w:r w:rsidR="008136CC" w:rsidRPr="00ED7CB9">
        <w:rPr>
          <w:rFonts w:eastAsia="Fira Sans Light" w:cs="Times New Roman"/>
          <w:lang w:val="en-US"/>
        </w:rPr>
        <w:t xml:space="preserve"> however an increase of their </w:t>
      </w:r>
      <w:r w:rsidR="001E5838" w:rsidRPr="00ED7CB9">
        <w:rPr>
          <w:rFonts w:eastAsia="Fira Sans Light" w:cs="Times New Roman"/>
          <w:lang w:val="en-US"/>
        </w:rPr>
        <w:t xml:space="preserve">total </w:t>
      </w:r>
      <w:r w:rsidR="008136CC" w:rsidRPr="00ED7CB9">
        <w:rPr>
          <w:rFonts w:eastAsia="Fira Sans Light" w:cs="Times New Roman"/>
          <w:lang w:val="en-US"/>
        </w:rPr>
        <w:t>useful floor area was recorded</w:t>
      </w:r>
      <w:r w:rsidR="00ED7CB9">
        <w:rPr>
          <w:rStyle w:val="Odwoanieprzypisudolnego"/>
        </w:rPr>
        <w:footnoteReference w:id="1"/>
      </w:r>
      <w:r w:rsidR="00A61DDA" w:rsidRPr="00ED7CB9">
        <w:rPr>
          <w:rFonts w:eastAsia="Fira Sans Light" w:cs="Times New Roman"/>
          <w:lang w:val="en-US"/>
        </w:rPr>
        <w:t>.</w:t>
      </w:r>
      <w:r w:rsidR="000D46A5" w:rsidRPr="00ED7CB9">
        <w:rPr>
          <w:rFonts w:eastAsia="Fira Sans Light" w:cs="Times New Roman"/>
          <w:lang w:val="en-US"/>
        </w:rPr>
        <w:t xml:space="preserve">The </w:t>
      </w:r>
      <w:r w:rsidR="006C099D" w:rsidRPr="00ED7CB9">
        <w:rPr>
          <w:rFonts w:eastAsia="Fira Sans Light" w:cs="Times New Roman"/>
          <w:lang w:val="en-US"/>
        </w:rPr>
        <w:t xml:space="preserve">number of </w:t>
      </w:r>
      <w:r w:rsidR="003F2104" w:rsidRPr="00ED7CB9">
        <w:rPr>
          <w:rFonts w:eastAsia="Fira Sans Light" w:cs="Times New Roman"/>
          <w:lang w:val="en-US"/>
        </w:rPr>
        <w:t xml:space="preserve">new </w:t>
      </w:r>
      <w:r w:rsidR="006C099D" w:rsidRPr="00ED7CB9">
        <w:rPr>
          <w:rFonts w:eastAsia="Fira Sans Light" w:cs="Times New Roman"/>
          <w:lang w:val="en-US"/>
        </w:rPr>
        <w:t>non-residential buildings for which permits have been granted or which have been registered with a construction project</w:t>
      </w:r>
      <w:r w:rsidR="000D46A5" w:rsidRPr="00ED7CB9">
        <w:rPr>
          <w:rFonts w:eastAsia="Fira Sans Light" w:cs="Times New Roman"/>
          <w:lang w:val="en-US"/>
        </w:rPr>
        <w:t xml:space="preserve"> also decreased however an increase </w:t>
      </w:r>
      <w:r w:rsidR="00A060E7" w:rsidRPr="00ED7CB9">
        <w:rPr>
          <w:rFonts w:eastAsia="Fira Sans Light" w:cs="Times New Roman"/>
          <w:lang w:val="en-US"/>
        </w:rPr>
        <w:t>of their useful floor</w:t>
      </w:r>
      <w:r w:rsidR="009B23A5" w:rsidRPr="00ED7CB9">
        <w:rPr>
          <w:rFonts w:eastAsia="Fira Sans Light" w:cs="Times New Roman"/>
          <w:lang w:val="en-US"/>
        </w:rPr>
        <w:t xml:space="preserve"> area </w:t>
      </w:r>
      <w:r w:rsidR="00CC3AB6" w:rsidRPr="00ED7CB9">
        <w:rPr>
          <w:rFonts w:eastAsia="Fira Sans Light" w:cs="Times New Roman"/>
          <w:lang w:val="en-US"/>
        </w:rPr>
        <w:t xml:space="preserve">was </w:t>
      </w:r>
      <w:r w:rsidR="00025986" w:rsidRPr="00ED7CB9">
        <w:rPr>
          <w:rFonts w:eastAsia="Fira Sans Light" w:cs="Times New Roman"/>
          <w:lang w:val="en-US"/>
        </w:rPr>
        <w:t>recorded</w:t>
      </w:r>
      <w:r w:rsidR="000D46A5" w:rsidRPr="00ED7CB9">
        <w:rPr>
          <w:rFonts w:eastAsia="Fira Sans Light" w:cs="Times New Roman"/>
          <w:lang w:val="en-US"/>
        </w:rPr>
        <w:t>.</w:t>
      </w:r>
    </w:p>
    <w:p w:rsidR="008136CC" w:rsidRPr="00A34AB7" w:rsidRDefault="008136CC" w:rsidP="008136CC">
      <w:pPr>
        <w:pStyle w:val="LID"/>
        <w:ind w:left="2977"/>
        <w:jc w:val="both"/>
        <w:rPr>
          <w:rFonts w:cs="Arial"/>
          <w:lang w:val="en-US"/>
        </w:rPr>
      </w:pPr>
    </w:p>
    <w:p w:rsidR="001E5838" w:rsidRPr="00ED7CB9" w:rsidRDefault="003907EF" w:rsidP="001E5838">
      <w:pPr>
        <w:pStyle w:val="Nagwek1"/>
        <w:ind w:right="-84"/>
        <w:jc w:val="both"/>
        <w:rPr>
          <w:sz w:val="24"/>
          <w:shd w:val="clear" w:color="auto" w:fill="FFFFFF"/>
          <w:lang w:val="en-US"/>
        </w:rPr>
      </w:pPr>
      <w:r w:rsidRPr="00ED7CB9">
        <w:rPr>
          <w:rFonts w:eastAsia="Fira Sans Light"/>
          <w:bCs w:val="0"/>
          <w:noProof/>
          <w:szCs w:val="19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39136" behindDoc="1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391160</wp:posOffset>
                </wp:positionV>
                <wp:extent cx="1677670" cy="1066800"/>
                <wp:effectExtent l="0" t="0" r="0" b="0"/>
                <wp:wrapTight wrapText="bothSides">
                  <wp:wrapPolygon edited="0">
                    <wp:start x="736" y="0"/>
                    <wp:lineTo x="736" y="21214"/>
                    <wp:lineTo x="20848" y="21214"/>
                    <wp:lineTo x="20848" y="0"/>
                    <wp:lineTo x="736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3B8" w:rsidRPr="004C2358" w:rsidRDefault="003907EF" w:rsidP="003A5070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 w:rsidRPr="004C2358">
                              <w:rPr>
                                <w:lang w:val="en-US"/>
                              </w:rPr>
                              <w:t>The largest share (44.</w:t>
                            </w:r>
                            <w:r w:rsidR="0009559B" w:rsidRPr="004C2358">
                              <w:rPr>
                                <w:lang w:val="en-US"/>
                              </w:rPr>
                              <w:t>9%) i</w:t>
                            </w:r>
                            <w:r w:rsidRPr="004C2358">
                              <w:rPr>
                                <w:lang w:val="en-US"/>
                              </w:rPr>
                              <w:t>n usefu</w:t>
                            </w:r>
                            <w:r w:rsidR="0009559B" w:rsidRPr="004C2358">
                              <w:rPr>
                                <w:lang w:val="en-US"/>
                              </w:rPr>
                              <w:t xml:space="preserve">l floor area </w:t>
                            </w:r>
                            <w:r w:rsidRPr="004C2358">
                              <w:rPr>
                                <w:lang w:val="en-US"/>
                              </w:rPr>
                              <w:t xml:space="preserve">of non-residential buildings completed </w:t>
                            </w:r>
                            <w:r w:rsidR="0009559B" w:rsidRPr="004C2358">
                              <w:rPr>
                                <w:lang w:val="en-US"/>
                              </w:rPr>
                              <w:t>was held by industrial buildings and warehouses.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7" type="#_x0000_t202" style="position:absolute;left:0;text-align:left;margin-left:417.75pt;margin-top:30.8pt;width:132.1pt;height:84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" filled="f" stroked="f">
                <v:textbox>
                  <w:txbxContent>
                    <w:p w:rsidR="006613B8" w:rsidRPr="004C2358" w:rsidRDefault="003907EF" w:rsidP="003A5070">
                      <w:pPr>
                        <w:pStyle w:val="tekstzboku"/>
                        <w:rPr>
                          <w:lang w:val="en-US"/>
                        </w:rPr>
                      </w:pPr>
                      <w:r w:rsidRPr="004C2358">
                        <w:rPr>
                          <w:lang w:val="en-US"/>
                        </w:rPr>
                        <w:t>The largest share (44.</w:t>
                      </w:r>
                      <w:r w:rsidR="0009559B" w:rsidRPr="004C2358">
                        <w:rPr>
                          <w:lang w:val="en-US"/>
                        </w:rPr>
                        <w:t>9%) i</w:t>
                      </w:r>
                      <w:r w:rsidRPr="004C2358">
                        <w:rPr>
                          <w:lang w:val="en-US"/>
                        </w:rPr>
                        <w:t>n usefu</w:t>
                      </w:r>
                      <w:r w:rsidR="0009559B" w:rsidRPr="004C2358">
                        <w:rPr>
                          <w:lang w:val="en-US"/>
                        </w:rPr>
                        <w:t xml:space="preserve">l floor area </w:t>
                      </w:r>
                      <w:r w:rsidRPr="004C2358">
                        <w:rPr>
                          <w:lang w:val="en-US"/>
                        </w:rPr>
                        <w:t xml:space="preserve">of non-residential buildings completed </w:t>
                      </w:r>
                      <w:r w:rsidR="0009559B" w:rsidRPr="004C2358">
                        <w:rPr>
                          <w:lang w:val="en-US"/>
                        </w:rPr>
                        <w:t>was held by industrial buildings and warehouses.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E5838" w:rsidRPr="00ED7CB9">
        <w:rPr>
          <w:sz w:val="24"/>
          <w:shd w:val="clear" w:color="auto" w:fill="FFFFFF"/>
          <w:lang w:val="en-US"/>
        </w:rPr>
        <w:t>Material effects of non-residential buildings</w:t>
      </w:r>
      <w:r w:rsidR="0065437F" w:rsidRPr="00ED7CB9">
        <w:rPr>
          <w:sz w:val="24"/>
          <w:shd w:val="clear" w:color="auto" w:fill="FFFFFF"/>
          <w:lang w:val="en-US"/>
        </w:rPr>
        <w:t xml:space="preserve"> construction</w:t>
      </w:r>
    </w:p>
    <w:p w:rsidR="008D23FC" w:rsidRPr="003A5070" w:rsidRDefault="0074323A" w:rsidP="00ED7CB9">
      <w:pPr>
        <w:jc w:val="both"/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</w:pPr>
      <w:r w:rsidRPr="006218C2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In the first half of 2018</w:t>
      </w:r>
      <w:r w:rsidR="00B44F02" w:rsidRPr="006218C2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, </w:t>
      </w:r>
      <w:r w:rsidR="00941AB6" w:rsidRPr="006218C2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11</w:t>
      </w:r>
      <w:r w:rsidR="004B064D" w:rsidRPr="006218C2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,</w:t>
      </w:r>
      <w:r w:rsidR="000B41CB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204</w:t>
      </w:r>
      <w:r w:rsidRPr="006218C2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 new non-residential buildings</w:t>
      </w:r>
      <w:r w:rsidR="00941AB6" w:rsidRPr="006218C2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 </w:t>
      </w:r>
      <w:r w:rsidR="00C331D4" w:rsidRPr="006218C2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were </w:t>
      </w:r>
      <w:r w:rsidRPr="006218C2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completed</w:t>
      </w:r>
      <w:r w:rsidR="00941AB6" w:rsidRPr="006218C2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 and 1</w:t>
      </w:r>
      <w:r w:rsidR="004B064D" w:rsidRPr="006218C2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,</w:t>
      </w:r>
      <w:r w:rsidRPr="006218C2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780 </w:t>
      </w:r>
      <w:r w:rsidR="00C331D4" w:rsidRPr="006218C2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were </w:t>
      </w:r>
      <w:r w:rsidRPr="006218C2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expanded (respectively by 3.3% and 0.4% less than in the corresponding period of the previous year). </w:t>
      </w:r>
      <w:r w:rsidRPr="000B41CB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The total useful floor area of new and expanded non-residential buildings</w:t>
      </w:r>
      <w:r w:rsidR="00941AB6" w:rsidRPr="000B41CB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 </w:t>
      </w:r>
      <w:r w:rsidRPr="000B41CB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completed</w:t>
      </w:r>
      <w:r w:rsidR="00941AB6" w:rsidRPr="000B41CB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 amounted to 7</w:t>
      </w:r>
      <w:r w:rsidR="004B064D" w:rsidRPr="000B41CB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,</w:t>
      </w:r>
      <w:r w:rsidRPr="000B41CB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714.1 </w:t>
      </w:r>
      <w:proofErr w:type="spellStart"/>
      <w:r w:rsidRPr="000B41CB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thous</w:t>
      </w:r>
      <w:proofErr w:type="spellEnd"/>
      <w:r w:rsidRPr="000B41CB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. </w:t>
      </w:r>
      <w:proofErr w:type="spellStart"/>
      <w:r w:rsidRPr="000B41CB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sq</w:t>
      </w:r>
      <w:proofErr w:type="spellEnd"/>
      <w:r w:rsidRPr="000B41CB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 m</w:t>
      </w:r>
      <w:r w:rsidR="0065437F" w:rsidRPr="000B41CB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, 1.7% more than</w:t>
      </w:r>
      <w:r w:rsidRPr="000B41CB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 </w:t>
      </w:r>
      <w:r w:rsidR="00C331D4" w:rsidRPr="000B41CB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a</w:t>
      </w:r>
      <w:r w:rsidRPr="000B41CB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 year</w:t>
      </w:r>
      <w:r w:rsidR="00C331D4" w:rsidRPr="000B41CB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 before</w:t>
      </w:r>
      <w:r w:rsidRPr="003A5070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. The largest increases in the </w:t>
      </w:r>
      <w:r w:rsidR="009541B0" w:rsidRPr="003A5070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useful </w:t>
      </w:r>
      <w:r w:rsidRPr="003A5070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floor area</w:t>
      </w:r>
      <w:r w:rsidR="00941AB6" w:rsidRPr="003A5070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 </w:t>
      </w:r>
      <w:r w:rsidRPr="003A5070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were recorded for </w:t>
      </w:r>
      <w:r w:rsidR="00CF18B4" w:rsidRPr="003A5070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office buildings (94.6%) and wholesale and retail trade buildings (33.5%).</w:t>
      </w:r>
      <w:r w:rsidRPr="003A5070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 In terms of the </w:t>
      </w:r>
      <w:r w:rsidR="0065437F" w:rsidRPr="003A5070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useful </w:t>
      </w:r>
      <w:r w:rsidRPr="003A5070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floor area of non-residential buildings in the first half of 2018, predominated</w:t>
      </w:r>
      <w:r w:rsidR="0065437F" w:rsidRPr="003A5070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 </w:t>
      </w:r>
      <w:r w:rsidR="004C2358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(44.</w:t>
      </w:r>
      <w:r w:rsidR="00A6004B" w:rsidRPr="003A5070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9</w:t>
      </w:r>
      <w:r w:rsidRPr="003A5070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% of the</w:t>
      </w:r>
      <w:r w:rsidR="0065437F" w:rsidRPr="003A5070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 useful</w:t>
      </w:r>
      <w:r w:rsidRPr="003A5070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 </w:t>
      </w:r>
      <w:r w:rsidR="005B50FB" w:rsidRPr="003A5070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floor </w:t>
      </w:r>
      <w:r w:rsidRPr="003A5070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area) </w:t>
      </w:r>
      <w:r w:rsidR="004C2358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industrial buildings </w:t>
      </w:r>
      <w:r w:rsidRPr="003A5070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and warehouses. Significant shares were also held by </w:t>
      </w:r>
      <w:r w:rsidR="00CF18B4" w:rsidRPr="003A5070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other non-residential buildings (21.8%) and </w:t>
      </w:r>
      <w:r w:rsidRPr="003A5070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wholesale and retail</w:t>
      </w:r>
      <w:r w:rsidR="00941AB6" w:rsidRPr="003A5070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 xml:space="preserve"> </w:t>
      </w:r>
      <w:r w:rsidRPr="003A5070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trade buildings (14</w:t>
      </w:r>
      <w:r w:rsidR="00CF18B4" w:rsidRPr="003A5070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.5%)</w:t>
      </w:r>
      <w:r w:rsidRPr="003A5070">
        <w:rPr>
          <w:rFonts w:eastAsia="Fira Sans Light" w:cs="Times New Roman"/>
          <w:bCs/>
          <w:szCs w:val="19"/>
          <w:shd w:val="clear" w:color="auto" w:fill="FFFFFF"/>
          <w:lang w:val="en-US" w:eastAsia="pl-PL"/>
        </w:rPr>
        <w:t>.</w:t>
      </w:r>
    </w:p>
    <w:p w:rsidR="0073731F" w:rsidRDefault="00CF18B4" w:rsidP="0073731F">
      <w:pPr>
        <w:pStyle w:val="tytuwykresu"/>
        <w:ind w:left="709" w:hanging="709"/>
        <w:rPr>
          <w:szCs w:val="18"/>
          <w:shd w:val="clear" w:color="auto" w:fill="FFFFFF"/>
          <w:lang w:val="en-GB"/>
        </w:rPr>
      </w:pPr>
      <w:r>
        <w:rPr>
          <w:noProof/>
          <w:shd w:val="clear" w:color="auto" w:fill="FFFFFF"/>
          <w:lang w:eastAsia="pl-PL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306963</wp:posOffset>
            </wp:positionV>
            <wp:extent cx="5119370" cy="2235835"/>
            <wp:effectExtent l="0" t="0" r="5080" b="0"/>
            <wp:wrapTopAndBottom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370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31F" w:rsidRPr="009B23A5">
        <w:rPr>
          <w:lang w:val="en-GB"/>
        </w:rPr>
        <w:t>Chart 1.</w:t>
      </w:r>
      <w:r w:rsidR="008136CC">
        <w:rPr>
          <w:shd w:val="clear" w:color="auto" w:fill="FFFFFF"/>
          <w:lang w:val="en-GB"/>
        </w:rPr>
        <w:tab/>
      </w:r>
      <w:r w:rsidR="0074323A" w:rsidRPr="00A85E59">
        <w:rPr>
          <w:szCs w:val="18"/>
          <w:shd w:val="clear" w:color="auto" w:fill="FFFFFF"/>
          <w:lang w:val="en-GB"/>
        </w:rPr>
        <w:t>The structure of</w:t>
      </w:r>
      <w:r w:rsidR="00181D3A" w:rsidRPr="00A85E59">
        <w:rPr>
          <w:szCs w:val="18"/>
          <w:shd w:val="clear" w:color="auto" w:fill="FFFFFF"/>
          <w:lang w:val="en-GB"/>
        </w:rPr>
        <w:t xml:space="preserve"> </w:t>
      </w:r>
      <w:r w:rsidR="0074323A" w:rsidRPr="00A85E59">
        <w:rPr>
          <w:shd w:val="clear" w:color="auto" w:fill="FFFFFF"/>
          <w:lang w:val="en-GB"/>
        </w:rPr>
        <w:t>u</w:t>
      </w:r>
      <w:r w:rsidR="0073731F" w:rsidRPr="00A85E59">
        <w:rPr>
          <w:shd w:val="clear" w:color="auto" w:fill="FFFFFF"/>
          <w:lang w:val="en-GB"/>
        </w:rPr>
        <w:t xml:space="preserve">seful floor area of </w:t>
      </w:r>
      <w:r w:rsidR="003B0B72">
        <w:rPr>
          <w:shd w:val="clear" w:color="auto" w:fill="FFFFFF"/>
          <w:lang w:val="en-GB"/>
        </w:rPr>
        <w:t>non</w:t>
      </w:r>
      <w:r w:rsidR="0073731F" w:rsidRPr="00A85E59">
        <w:rPr>
          <w:shd w:val="clear" w:color="auto" w:fill="FFFFFF"/>
          <w:lang w:val="en-GB"/>
        </w:rPr>
        <w:t>-residential buildings com</w:t>
      </w:r>
      <w:r w:rsidR="00E32177" w:rsidRPr="00A85E59">
        <w:rPr>
          <w:shd w:val="clear" w:color="auto" w:fill="FFFFFF"/>
          <w:lang w:val="en-GB"/>
        </w:rPr>
        <w:t xml:space="preserve">pleted </w:t>
      </w:r>
      <w:r w:rsidR="009541B0" w:rsidRPr="00A85E59">
        <w:rPr>
          <w:szCs w:val="18"/>
          <w:shd w:val="clear" w:color="auto" w:fill="FFFFFF"/>
          <w:lang w:val="en-GB"/>
        </w:rPr>
        <w:t>in the first half of</w:t>
      </w:r>
      <w:r>
        <w:rPr>
          <w:szCs w:val="18"/>
          <w:shd w:val="clear" w:color="auto" w:fill="FFFFFF"/>
          <w:lang w:val="en-GB"/>
        </w:rPr>
        <w:t> </w:t>
      </w:r>
      <w:r w:rsidR="009541B0" w:rsidRPr="00A85E59">
        <w:rPr>
          <w:szCs w:val="18"/>
          <w:shd w:val="clear" w:color="auto" w:fill="FFFFFF"/>
          <w:lang w:val="en-GB"/>
        </w:rPr>
        <w:t xml:space="preserve">2018 </w:t>
      </w:r>
    </w:p>
    <w:p w:rsidR="00CF18B4" w:rsidRDefault="00CF18B4" w:rsidP="00CF18B4">
      <w:pPr>
        <w:pStyle w:val="tytuwykresu"/>
        <w:ind w:left="709"/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</w:pPr>
      <w:r w:rsidRPr="00CF18B4">
        <w:rPr>
          <w:rFonts w:eastAsia="Fira Sans Light" w:cs="Times New Roman"/>
          <w:b w:val="0"/>
          <w:bCs/>
          <w:noProof/>
          <w:spacing w:val="0"/>
          <w:sz w:val="19"/>
          <w:szCs w:val="19"/>
          <w:shd w:val="clear" w:color="auto" w:fill="FFFFFF"/>
          <w:lang w:eastAsia="pl-PL"/>
        </w:rPr>
        <mc:AlternateContent>
          <mc:Choice Requires="wps">
            <w:drawing>
              <wp:anchor distT="45720" distB="45720" distL="114300" distR="114300" simplePos="0" relativeHeight="251794432" behindDoc="1" locked="0" layoutInCell="1" allowOverlap="1">
                <wp:simplePos x="0" y="0"/>
                <wp:positionH relativeFrom="column">
                  <wp:posOffset>5233726</wp:posOffset>
                </wp:positionH>
                <wp:positionV relativeFrom="paragraph">
                  <wp:posOffset>2394264</wp:posOffset>
                </wp:positionV>
                <wp:extent cx="1772285" cy="1216660"/>
                <wp:effectExtent l="0" t="0" r="0" b="2540"/>
                <wp:wrapTight wrapText="bothSides">
                  <wp:wrapPolygon edited="0">
                    <wp:start x="697" y="0"/>
                    <wp:lineTo x="697" y="21307"/>
                    <wp:lineTo x="20664" y="21307"/>
                    <wp:lineTo x="20664" y="0"/>
                    <wp:lineTo x="697" y="0"/>
                  </wp:wrapPolygon>
                </wp:wrapTight>
                <wp:docPr id="1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1216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CB9" w:rsidRPr="006218C2" w:rsidRDefault="006218C2" w:rsidP="00ED7CB9">
                            <w:pPr>
                              <w:pStyle w:val="tekstzboku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218C2"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The useful floor area of non-residential buildings completed in voivodships: </w:t>
                            </w:r>
                            <w:proofErr w:type="spellStart"/>
                            <w:r w:rsidRPr="006218C2">
                              <w:rPr>
                                <w:sz w:val="19"/>
                                <w:szCs w:val="19"/>
                                <w:lang w:val="en-US"/>
                              </w:rPr>
                              <w:t>mazowieckie</w:t>
                            </w:r>
                            <w:proofErr w:type="spellEnd"/>
                            <w:r w:rsidRPr="006218C2"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6218C2">
                              <w:rPr>
                                <w:sz w:val="19"/>
                                <w:szCs w:val="19"/>
                                <w:lang w:val="en-US"/>
                              </w:rPr>
                              <w:t>wielkopolskie</w:t>
                            </w:r>
                            <w:proofErr w:type="spellEnd"/>
                            <w:r w:rsidRPr="006218C2"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 and </w:t>
                            </w:r>
                            <w:proofErr w:type="spellStart"/>
                            <w:r w:rsidRPr="006218C2">
                              <w:rPr>
                                <w:sz w:val="19"/>
                                <w:szCs w:val="19"/>
                                <w:lang w:val="en-US"/>
                              </w:rPr>
                              <w:t>śląskie</w:t>
                            </w:r>
                            <w:proofErr w:type="spellEnd"/>
                            <w:r w:rsidRPr="006218C2"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 accounted for over 41% of the total useful </w:t>
                            </w:r>
                            <w:r w:rsidR="003B0B72"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floor </w:t>
                            </w:r>
                            <w:r w:rsidRPr="006218C2"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area </w:t>
                            </w:r>
                            <w:r w:rsidR="000B41CB">
                              <w:rPr>
                                <w:sz w:val="19"/>
                                <w:szCs w:val="19"/>
                                <w:lang w:val="en-US"/>
                              </w:rPr>
                              <w:t>in the country</w:t>
                            </w:r>
                          </w:p>
                        </w:txbxContent>
                      </wps:txbx>
                      <wps:bodyPr rot="0" vert="horz" wrap="square" lIns="90000" tIns="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left:0;text-align:left;margin-left:412.1pt;margin-top:188.5pt;width:139.55pt;height:95.8pt;z-index:-251522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" filled="f" stroked="f">
                <v:textbox inset="2.5mm,0">
                  <w:txbxContent>
                    <w:p w:rsidR="00ED7CB9" w:rsidRPr="006218C2" w:rsidRDefault="006218C2" w:rsidP="00ED7CB9">
                      <w:pPr>
                        <w:pStyle w:val="tekstzboku"/>
                        <w:rPr>
                          <w:sz w:val="19"/>
                          <w:szCs w:val="19"/>
                          <w:lang w:val="en-US"/>
                        </w:rPr>
                      </w:pPr>
                      <w:r w:rsidRPr="006218C2">
                        <w:rPr>
                          <w:sz w:val="19"/>
                          <w:szCs w:val="19"/>
                          <w:lang w:val="en-US"/>
                        </w:rPr>
                        <w:t xml:space="preserve">The useful floor area of non-residential buildings completed in voivodships: </w:t>
                      </w:r>
                      <w:proofErr w:type="spellStart"/>
                      <w:r w:rsidRPr="006218C2">
                        <w:rPr>
                          <w:sz w:val="19"/>
                          <w:szCs w:val="19"/>
                          <w:lang w:val="en-US"/>
                        </w:rPr>
                        <w:t>mazowieckie</w:t>
                      </w:r>
                      <w:proofErr w:type="spellEnd"/>
                      <w:r w:rsidRPr="006218C2">
                        <w:rPr>
                          <w:sz w:val="19"/>
                          <w:szCs w:val="19"/>
                          <w:lang w:val="en-US"/>
                        </w:rPr>
                        <w:t xml:space="preserve">, </w:t>
                      </w:r>
                      <w:proofErr w:type="spellStart"/>
                      <w:r w:rsidRPr="006218C2">
                        <w:rPr>
                          <w:sz w:val="19"/>
                          <w:szCs w:val="19"/>
                          <w:lang w:val="en-US"/>
                        </w:rPr>
                        <w:t>wielkopolskie</w:t>
                      </w:r>
                      <w:proofErr w:type="spellEnd"/>
                      <w:r w:rsidRPr="006218C2">
                        <w:rPr>
                          <w:sz w:val="19"/>
                          <w:szCs w:val="19"/>
                          <w:lang w:val="en-US"/>
                        </w:rPr>
                        <w:t xml:space="preserve"> and </w:t>
                      </w:r>
                      <w:proofErr w:type="spellStart"/>
                      <w:r w:rsidRPr="006218C2">
                        <w:rPr>
                          <w:sz w:val="19"/>
                          <w:szCs w:val="19"/>
                          <w:lang w:val="en-US"/>
                        </w:rPr>
                        <w:t>śląskie</w:t>
                      </w:r>
                      <w:proofErr w:type="spellEnd"/>
                      <w:r w:rsidRPr="006218C2">
                        <w:rPr>
                          <w:sz w:val="19"/>
                          <w:szCs w:val="19"/>
                          <w:lang w:val="en-US"/>
                        </w:rPr>
                        <w:t xml:space="preserve"> accounted for over 41% of the total useful </w:t>
                      </w:r>
                      <w:r w:rsidR="003B0B72">
                        <w:rPr>
                          <w:sz w:val="19"/>
                          <w:szCs w:val="19"/>
                          <w:lang w:val="en-US"/>
                        </w:rPr>
                        <w:t xml:space="preserve">floor </w:t>
                      </w:r>
                      <w:r w:rsidRPr="006218C2">
                        <w:rPr>
                          <w:sz w:val="19"/>
                          <w:szCs w:val="19"/>
                          <w:lang w:val="en-US"/>
                        </w:rPr>
                        <w:t xml:space="preserve">area </w:t>
                      </w:r>
                      <w:r w:rsidR="000B41CB">
                        <w:rPr>
                          <w:sz w:val="19"/>
                          <w:szCs w:val="19"/>
                          <w:lang w:val="en-US"/>
                        </w:rPr>
                        <w:t>in the country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D5938" w:rsidRPr="00CF18B4" w:rsidRDefault="00E65293" w:rsidP="00CF18B4">
      <w:pPr>
        <w:pStyle w:val="tytuwykresu"/>
        <w:jc w:val="both"/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</w:pPr>
      <w:r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>The largest useful</w:t>
      </w:r>
      <w:r w:rsidR="008F42D6"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 xml:space="preserve"> </w:t>
      </w:r>
      <w:r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>floor area of non-residential buildings</w:t>
      </w:r>
      <w:r w:rsidR="0011084C"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 xml:space="preserve"> </w:t>
      </w:r>
      <w:r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 xml:space="preserve">in the first half of 2018 </w:t>
      </w:r>
      <w:r w:rsidR="009541B0"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 xml:space="preserve">was completed </w:t>
      </w:r>
      <w:r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 xml:space="preserve">in the following </w:t>
      </w:r>
      <w:r w:rsidR="0011084C"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>voivodships</w:t>
      </w:r>
      <w:r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 xml:space="preserve">: </w:t>
      </w:r>
      <w:proofErr w:type="spellStart"/>
      <w:r w:rsidR="0011084C"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>m</w:t>
      </w:r>
      <w:r w:rsidR="008F42D6"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>azowieckie</w:t>
      </w:r>
      <w:proofErr w:type="spellEnd"/>
      <w:r w:rsidR="008F42D6"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 xml:space="preserve"> (1</w:t>
      </w:r>
      <w:r w:rsidR="004B064D"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>,</w:t>
      </w:r>
      <w:r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 xml:space="preserve">244.3 thousand </w:t>
      </w:r>
      <w:proofErr w:type="spellStart"/>
      <w:r w:rsidR="0011084C"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>sq</w:t>
      </w:r>
      <w:proofErr w:type="spellEnd"/>
      <w:r w:rsidR="0011084C"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 xml:space="preserve"> m</w:t>
      </w:r>
      <w:r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 xml:space="preserve">), </w:t>
      </w:r>
      <w:proofErr w:type="spellStart"/>
      <w:r w:rsidR="0011084C"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>w</w:t>
      </w:r>
      <w:r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>ielkopolskie</w:t>
      </w:r>
      <w:proofErr w:type="spellEnd"/>
      <w:r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 xml:space="preserve"> (991.5 thousand </w:t>
      </w:r>
      <w:proofErr w:type="spellStart"/>
      <w:r w:rsidR="0011084C"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>sq</w:t>
      </w:r>
      <w:proofErr w:type="spellEnd"/>
      <w:r w:rsidR="0011084C"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 xml:space="preserve"> m</w:t>
      </w:r>
      <w:r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 xml:space="preserve">) and </w:t>
      </w:r>
      <w:proofErr w:type="spellStart"/>
      <w:r w:rsidR="0011084C"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>ś</w:t>
      </w:r>
      <w:r w:rsidR="00141743"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>ląskie</w:t>
      </w:r>
      <w:proofErr w:type="spellEnd"/>
      <w:r w:rsidR="00141743"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 xml:space="preserve"> (956.8 thousand</w:t>
      </w:r>
      <w:r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 xml:space="preserve"> </w:t>
      </w:r>
      <w:proofErr w:type="spellStart"/>
      <w:r w:rsidR="0011084C"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>sq</w:t>
      </w:r>
      <w:proofErr w:type="spellEnd"/>
      <w:r w:rsidR="0011084C"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 xml:space="preserve"> m</w:t>
      </w:r>
      <w:r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 xml:space="preserve">), the smallest in </w:t>
      </w:r>
      <w:proofErr w:type="spellStart"/>
      <w:r w:rsidR="0011084C"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>l</w:t>
      </w:r>
      <w:r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>ubuskie</w:t>
      </w:r>
      <w:proofErr w:type="spellEnd"/>
      <w:r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 xml:space="preserve"> (147.8 thousand </w:t>
      </w:r>
      <w:proofErr w:type="spellStart"/>
      <w:r w:rsidR="0011084C"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>sq</w:t>
      </w:r>
      <w:proofErr w:type="spellEnd"/>
      <w:r w:rsidR="0011084C"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 xml:space="preserve"> m</w:t>
      </w:r>
      <w:r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 xml:space="preserve">), </w:t>
      </w:r>
      <w:proofErr w:type="spellStart"/>
      <w:r w:rsidR="0011084C"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>o</w:t>
      </w:r>
      <w:r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>pol</w:t>
      </w:r>
      <w:r w:rsidR="0011084C"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>skie</w:t>
      </w:r>
      <w:proofErr w:type="spellEnd"/>
      <w:r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 xml:space="preserve"> (183.4 thousand </w:t>
      </w:r>
      <w:proofErr w:type="spellStart"/>
      <w:r w:rsidR="0011084C"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>sq</w:t>
      </w:r>
      <w:proofErr w:type="spellEnd"/>
      <w:r w:rsidR="0011084C"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 xml:space="preserve"> m</w:t>
      </w:r>
      <w:r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 xml:space="preserve">) and </w:t>
      </w:r>
      <w:proofErr w:type="spellStart"/>
      <w:r w:rsidR="0011084C"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>ś</w:t>
      </w:r>
      <w:r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>więtokrzyskie</w:t>
      </w:r>
      <w:proofErr w:type="spellEnd"/>
      <w:r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 xml:space="preserve"> (208.1 thousand </w:t>
      </w:r>
      <w:proofErr w:type="spellStart"/>
      <w:r w:rsidR="0011084C"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>sq</w:t>
      </w:r>
      <w:proofErr w:type="spellEnd"/>
      <w:r w:rsidR="0011084C"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 xml:space="preserve"> m</w:t>
      </w:r>
      <w:r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>). The</w:t>
      </w:r>
      <w:r w:rsidR="006218C2"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> </w:t>
      </w:r>
      <w:r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>largest increase in area in relation to the same period of the previous year was recorded in the</w:t>
      </w:r>
      <w:r w:rsidR="008F42D6"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 xml:space="preserve"> </w:t>
      </w:r>
      <w:r w:rsidR="0011084C"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>v</w:t>
      </w:r>
      <w:r w:rsidR="0035723B"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>oi</w:t>
      </w:r>
      <w:r w:rsidR="0011084C"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 xml:space="preserve">vodships: </w:t>
      </w:r>
      <w:proofErr w:type="spellStart"/>
      <w:r w:rsidR="0011084C"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>ś</w:t>
      </w:r>
      <w:r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>więtokrzyskie</w:t>
      </w:r>
      <w:proofErr w:type="spellEnd"/>
      <w:r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 xml:space="preserve"> (increase by 70.4%), </w:t>
      </w:r>
      <w:proofErr w:type="spellStart"/>
      <w:r w:rsidR="0011084C"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>ś</w:t>
      </w:r>
      <w:r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>ląskie</w:t>
      </w:r>
      <w:proofErr w:type="spellEnd"/>
      <w:r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 xml:space="preserve"> (38.3%), </w:t>
      </w:r>
      <w:proofErr w:type="spellStart"/>
      <w:r w:rsidR="0011084C"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>pomorskie</w:t>
      </w:r>
      <w:proofErr w:type="spellEnd"/>
      <w:r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 xml:space="preserve"> (30.2%) and </w:t>
      </w:r>
      <w:proofErr w:type="spellStart"/>
      <w:r w:rsidR="0011084C"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>m</w:t>
      </w:r>
      <w:r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>ałopolskie</w:t>
      </w:r>
      <w:proofErr w:type="spellEnd"/>
      <w:r w:rsidRPr="00CF18B4">
        <w:rPr>
          <w:rFonts w:eastAsia="Fira Sans Light" w:cs="Times New Roman"/>
          <w:b w:val="0"/>
          <w:bCs/>
          <w:spacing w:val="0"/>
          <w:sz w:val="19"/>
          <w:szCs w:val="19"/>
          <w:shd w:val="clear" w:color="auto" w:fill="FFFFFF"/>
          <w:lang w:val="en-US" w:eastAsia="pl-PL"/>
        </w:rPr>
        <w:t xml:space="preserve"> (27.1%).</w:t>
      </w:r>
    </w:p>
    <w:p w:rsidR="00A61624" w:rsidRDefault="00D41C47" w:rsidP="00A61624">
      <w:pPr>
        <w:pStyle w:val="tytuwykresu"/>
        <w:ind w:left="709" w:hanging="709"/>
        <w:rPr>
          <w:shd w:val="clear" w:color="auto" w:fill="FFFFFF"/>
          <w:lang w:val="en-GB"/>
        </w:rPr>
      </w:pPr>
      <w:r>
        <w:rPr>
          <w:noProof/>
          <w:shd w:val="clear" w:color="auto" w:fill="FFFFFF"/>
          <w:lang w:eastAsia="pl-PL"/>
        </w:rPr>
        <w:lastRenderedPageBreak/>
        <w:drawing>
          <wp:anchor distT="0" distB="0" distL="114300" distR="114300" simplePos="0" relativeHeight="251795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334835</wp:posOffset>
            </wp:positionV>
            <wp:extent cx="5118100" cy="3681095"/>
            <wp:effectExtent l="0" t="0" r="6350" b="0"/>
            <wp:wrapTopAndBottom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68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1624" w:rsidRPr="009B23A5">
        <w:rPr>
          <w:lang w:val="en-GB"/>
        </w:rPr>
        <w:t>Chart 2.</w:t>
      </w:r>
      <w:r w:rsidR="006769F9">
        <w:rPr>
          <w:shd w:val="clear" w:color="auto" w:fill="FFFFFF"/>
          <w:lang w:val="en-GB"/>
        </w:rPr>
        <w:tab/>
      </w:r>
      <w:r w:rsidR="00A61624" w:rsidRPr="009B23A5">
        <w:rPr>
          <w:shd w:val="clear" w:color="auto" w:fill="FFFFFF"/>
          <w:lang w:val="en-GB"/>
        </w:rPr>
        <w:t>Useful floor area of non-residential bui</w:t>
      </w:r>
      <w:r w:rsidR="00E32177">
        <w:rPr>
          <w:shd w:val="clear" w:color="auto" w:fill="FFFFFF"/>
          <w:lang w:val="en-GB"/>
        </w:rPr>
        <w:t>ldings completed</w:t>
      </w:r>
      <w:r w:rsidR="001F6D3E">
        <w:rPr>
          <w:shd w:val="clear" w:color="auto" w:fill="FFFFFF"/>
          <w:lang w:val="en-GB"/>
        </w:rPr>
        <w:t xml:space="preserve"> in the first half of 2018</w:t>
      </w:r>
      <w:r w:rsidR="00E32177">
        <w:rPr>
          <w:shd w:val="clear" w:color="auto" w:fill="FFFFFF"/>
          <w:lang w:val="en-GB"/>
        </w:rPr>
        <w:t xml:space="preserve"> by voivodships</w:t>
      </w:r>
    </w:p>
    <w:p w:rsidR="004F457C" w:rsidRPr="0035723B" w:rsidRDefault="0035723B" w:rsidP="004F457C">
      <w:pPr>
        <w:pStyle w:val="tytuwykresu"/>
        <w:rPr>
          <w:b w:val="0"/>
          <w:spacing w:val="0"/>
          <w:sz w:val="19"/>
          <w:szCs w:val="19"/>
          <w:shd w:val="clear" w:color="auto" w:fill="FFFFFF"/>
          <w:lang w:val="en-GB"/>
        </w:rPr>
      </w:pPr>
      <w:r w:rsidRPr="004C2358">
        <w:rPr>
          <w:rFonts w:ascii="Fira Sans SemiBold" w:eastAsia="Times New Roman" w:hAnsi="Fira Sans SemiBold" w:cs="Times New Roman"/>
          <w:b w:val="0"/>
          <w:bCs/>
          <w:color w:val="001D77"/>
          <w:spacing w:val="0"/>
          <w:sz w:val="24"/>
          <w:szCs w:val="24"/>
          <w:shd w:val="clear" w:color="auto" w:fill="FFFFFF"/>
          <w:lang w:val="en-US" w:eastAsia="pl-PL"/>
        </w:rPr>
        <w:t xml:space="preserve">Building permits of </w:t>
      </w:r>
      <w:r w:rsidR="003B0B72" w:rsidRPr="004C2358">
        <w:rPr>
          <w:rFonts w:ascii="Fira Sans SemiBold" w:eastAsia="Times New Roman" w:hAnsi="Fira Sans SemiBold" w:cs="Times New Roman"/>
          <w:b w:val="0"/>
          <w:bCs/>
          <w:color w:val="001D77"/>
          <w:spacing w:val="0"/>
          <w:sz w:val="24"/>
          <w:szCs w:val="24"/>
          <w:shd w:val="clear" w:color="auto" w:fill="FFFFFF"/>
          <w:lang w:val="en-US" w:eastAsia="pl-PL"/>
        </w:rPr>
        <w:t xml:space="preserve">new </w:t>
      </w:r>
      <w:r w:rsidRPr="004C2358">
        <w:rPr>
          <w:rFonts w:ascii="Fira Sans SemiBold" w:eastAsia="Times New Roman" w:hAnsi="Fira Sans SemiBold" w:cs="Times New Roman"/>
          <w:b w:val="0"/>
          <w:bCs/>
          <w:color w:val="001D77"/>
          <w:spacing w:val="0"/>
          <w:sz w:val="24"/>
          <w:szCs w:val="24"/>
          <w:shd w:val="clear" w:color="auto" w:fill="FFFFFF"/>
          <w:lang w:val="en-US" w:eastAsia="pl-PL"/>
        </w:rPr>
        <w:t>non-residential buildings</w:t>
      </w:r>
    </w:p>
    <w:p w:rsidR="00A628F7" w:rsidRPr="000B41CB" w:rsidRDefault="004C2358" w:rsidP="00036BE6">
      <w:pPr>
        <w:jc w:val="both"/>
        <w:rPr>
          <w:rFonts w:eastAsia="Fira Sans Light" w:cs="Times New Roman"/>
          <w:szCs w:val="19"/>
          <w:shd w:val="clear" w:color="auto" w:fill="FFFFFF"/>
          <w:lang w:val="en-US"/>
        </w:rPr>
      </w:pPr>
      <w:r>
        <w:rPr>
          <w:b/>
          <w:noProof/>
          <w:szCs w:val="19"/>
          <w:shd w:val="clear" w:color="auto" w:fill="FFFFFF"/>
          <w:lang w:eastAsia="pl-PL"/>
        </w:rPr>
        <mc:AlternateContent>
          <mc:Choice Requires="wps">
            <w:drawing>
              <wp:anchor distT="45720" distB="45720" distL="114300" distR="114300" simplePos="0" relativeHeight="251759616" behindDoc="1" locked="0" layoutInCell="1" allowOverlap="1">
                <wp:simplePos x="0" y="0"/>
                <wp:positionH relativeFrom="column">
                  <wp:posOffset>5241813</wp:posOffset>
                </wp:positionH>
                <wp:positionV relativeFrom="paragraph">
                  <wp:posOffset>112653</wp:posOffset>
                </wp:positionV>
                <wp:extent cx="1703070" cy="1076325"/>
                <wp:effectExtent l="0" t="0" r="0" b="0"/>
                <wp:wrapTight wrapText="bothSides">
                  <wp:wrapPolygon edited="0">
                    <wp:start x="725" y="0"/>
                    <wp:lineTo x="725" y="21027"/>
                    <wp:lineTo x="20779" y="21027"/>
                    <wp:lineTo x="20779" y="0"/>
                    <wp:lineTo x="725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3B8" w:rsidRPr="009B23A5" w:rsidRDefault="005D31D0" w:rsidP="006613B8">
                            <w:pPr>
                              <w:pStyle w:val="tekstzboku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More than 43</w:t>
                            </w:r>
                            <w:r w:rsidR="00941D2E">
                              <w:rPr>
                                <w:lang w:val="en-GB"/>
                              </w:rPr>
                              <w:t>%</w:t>
                            </w:r>
                            <w:r w:rsidR="003905A3">
                              <w:rPr>
                                <w:lang w:val="en-GB"/>
                              </w:rPr>
                              <w:t xml:space="preserve"> of the </w:t>
                            </w:r>
                            <w:r w:rsidR="00034A5C">
                              <w:rPr>
                                <w:lang w:val="en-GB"/>
                              </w:rPr>
                              <w:t>useful</w:t>
                            </w:r>
                            <w:r w:rsidR="006613B8" w:rsidRPr="009B23A5">
                              <w:rPr>
                                <w:lang w:val="en-GB"/>
                              </w:rPr>
                              <w:t xml:space="preserve"> floor area of new non-residential buildings for which permits have been granted </w:t>
                            </w:r>
                            <w:r w:rsidR="003F05A8">
                              <w:rPr>
                                <w:lang w:val="en-GB"/>
                              </w:rPr>
                              <w:t xml:space="preserve">concerned </w:t>
                            </w:r>
                            <w:r w:rsidR="003F05A8" w:rsidRPr="009B23A5">
                              <w:rPr>
                                <w:szCs w:val="19"/>
                                <w:lang w:val="en-GB"/>
                              </w:rPr>
                              <w:t>industrial buildings and warehouses</w:t>
                            </w:r>
                          </w:p>
                          <w:p w:rsidR="006613B8" w:rsidRPr="006C575B" w:rsidRDefault="006613B8" w:rsidP="006613B8">
                            <w:pPr>
                              <w:pStyle w:val="tekstzboku"/>
                              <w:spacing w:before="0"/>
                              <w:ind w:left="-142"/>
                              <w:rPr>
                                <w:bCs w:val="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6" o:spid="_x0000_s1029" type="#_x0000_t202" style="position:absolute;left:0;text-align:left;margin-left:412.75pt;margin-top:8.85pt;width:134.1pt;height:84.75pt;z-index:-251556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" filled="f" stroked="f">
                <v:textbox>
                  <w:txbxContent>
                    <w:p w:rsidR="006613B8" w:rsidRPr="009B23A5" w:rsidRDefault="005D31D0" w:rsidP="006613B8">
                      <w:pPr>
                        <w:pStyle w:val="tekstzboku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More than 43</w:t>
                      </w:r>
                      <w:r w:rsidR="00941D2E">
                        <w:rPr>
                          <w:lang w:val="en-GB"/>
                        </w:rPr>
                        <w:t>%</w:t>
                      </w:r>
                      <w:r w:rsidR="003905A3">
                        <w:rPr>
                          <w:lang w:val="en-GB"/>
                        </w:rPr>
                        <w:t xml:space="preserve"> of the </w:t>
                      </w:r>
                      <w:r w:rsidR="00034A5C">
                        <w:rPr>
                          <w:lang w:val="en-GB"/>
                        </w:rPr>
                        <w:t>useful</w:t>
                      </w:r>
                      <w:r w:rsidR="006613B8" w:rsidRPr="009B23A5">
                        <w:rPr>
                          <w:lang w:val="en-GB"/>
                        </w:rPr>
                        <w:t xml:space="preserve"> floor area of new non-residential buildings for which permits have been granted </w:t>
                      </w:r>
                      <w:r w:rsidR="003F05A8">
                        <w:rPr>
                          <w:lang w:val="en-GB"/>
                        </w:rPr>
                        <w:t xml:space="preserve">concerned </w:t>
                      </w:r>
                      <w:r w:rsidR="003F05A8" w:rsidRPr="009B23A5">
                        <w:rPr>
                          <w:szCs w:val="19"/>
                          <w:lang w:val="en-GB"/>
                        </w:rPr>
                        <w:t>industrial buildings and warehouses</w:t>
                      </w:r>
                    </w:p>
                    <w:p w:rsidR="006613B8" w:rsidRPr="006C575B" w:rsidRDefault="006613B8" w:rsidP="006613B8">
                      <w:pPr>
                        <w:pStyle w:val="tekstzboku"/>
                        <w:spacing w:before="0"/>
                        <w:ind w:left="-142"/>
                        <w:rPr>
                          <w:bCs w:val="0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F1EB3" w:rsidRPr="00EB3D0C">
        <w:rPr>
          <w:rFonts w:eastAsia="Fira Sans Light" w:cs="Times New Roman"/>
          <w:szCs w:val="19"/>
          <w:shd w:val="clear" w:color="auto" w:fill="FFFFFF"/>
          <w:lang w:val="en-US"/>
        </w:rPr>
        <w:t xml:space="preserve">In </w:t>
      </w:r>
      <w:r w:rsidR="004577F3" w:rsidRPr="00EB3D0C">
        <w:rPr>
          <w:rFonts w:eastAsia="Fira Sans Light" w:cs="Times New Roman"/>
          <w:szCs w:val="19"/>
          <w:shd w:val="clear" w:color="auto" w:fill="FFFFFF"/>
          <w:lang w:val="en-US"/>
        </w:rPr>
        <w:t xml:space="preserve">the first </w:t>
      </w:r>
      <w:r w:rsidR="00036BE6" w:rsidRPr="00EB3D0C">
        <w:rPr>
          <w:rFonts w:eastAsia="Fira Sans Light" w:cs="Times New Roman"/>
          <w:szCs w:val="19"/>
          <w:shd w:val="clear" w:color="auto" w:fill="FFFFFF"/>
          <w:lang w:val="en-US"/>
        </w:rPr>
        <w:t>half</w:t>
      </w:r>
      <w:r w:rsidR="004577F3" w:rsidRPr="00EB3D0C">
        <w:rPr>
          <w:rFonts w:eastAsia="Fira Sans Light" w:cs="Times New Roman"/>
          <w:szCs w:val="19"/>
          <w:shd w:val="clear" w:color="auto" w:fill="FFFFFF"/>
          <w:lang w:val="en-US"/>
        </w:rPr>
        <w:t xml:space="preserve"> of </w:t>
      </w:r>
      <w:r w:rsidR="00AF1EB3" w:rsidRPr="00EB3D0C">
        <w:rPr>
          <w:rFonts w:eastAsia="Fira Sans Light" w:cs="Times New Roman"/>
          <w:szCs w:val="19"/>
          <w:shd w:val="clear" w:color="auto" w:fill="FFFFFF"/>
          <w:lang w:val="en-US"/>
        </w:rPr>
        <w:t>201</w:t>
      </w:r>
      <w:r w:rsidR="004577F3" w:rsidRPr="00EB3D0C">
        <w:rPr>
          <w:rFonts w:eastAsia="Fira Sans Light" w:cs="Times New Roman"/>
          <w:szCs w:val="19"/>
          <w:shd w:val="clear" w:color="auto" w:fill="FFFFFF"/>
          <w:lang w:val="en-US"/>
        </w:rPr>
        <w:t>8</w:t>
      </w:r>
      <w:r w:rsidR="003A65D5" w:rsidRPr="00EB3D0C">
        <w:rPr>
          <w:rFonts w:eastAsia="Fira Sans Light" w:cs="Times New Roman"/>
          <w:szCs w:val="19"/>
          <w:shd w:val="clear" w:color="auto" w:fill="FFFFFF"/>
          <w:lang w:val="en-US"/>
        </w:rPr>
        <w:t xml:space="preserve"> </w:t>
      </w:r>
      <w:r w:rsidR="00A628F7" w:rsidRPr="00EB3D0C">
        <w:rPr>
          <w:rFonts w:eastAsia="Fira Sans Light" w:cs="Times New Roman"/>
          <w:szCs w:val="19"/>
          <w:shd w:val="clear" w:color="auto" w:fill="FFFFFF"/>
          <w:lang w:val="en-US"/>
        </w:rPr>
        <w:t xml:space="preserve">building </w:t>
      </w:r>
      <w:r w:rsidR="008A7F42" w:rsidRPr="00EB3D0C">
        <w:rPr>
          <w:rFonts w:eastAsia="Fira Sans Light" w:cs="Times New Roman"/>
          <w:szCs w:val="19"/>
          <w:shd w:val="clear" w:color="auto" w:fill="FFFFFF"/>
          <w:lang w:val="en-US"/>
        </w:rPr>
        <w:t xml:space="preserve">permits </w:t>
      </w:r>
      <w:r w:rsidR="00A85E59" w:rsidRPr="00EB3D0C">
        <w:rPr>
          <w:rFonts w:eastAsia="Fira Sans Light" w:cs="Times New Roman"/>
          <w:szCs w:val="19"/>
          <w:shd w:val="clear" w:color="auto" w:fill="FFFFFF"/>
          <w:lang w:val="en-US"/>
        </w:rPr>
        <w:t>have been granted</w:t>
      </w:r>
      <w:r w:rsidR="003A65D5" w:rsidRPr="00EB3D0C">
        <w:rPr>
          <w:rFonts w:eastAsia="Fira Sans Light" w:cs="Times New Roman"/>
          <w:szCs w:val="19"/>
          <w:shd w:val="clear" w:color="auto" w:fill="FFFFFF"/>
          <w:lang w:val="en-US"/>
        </w:rPr>
        <w:t xml:space="preserve"> </w:t>
      </w:r>
      <w:r w:rsidR="004B064D" w:rsidRPr="00EB3D0C">
        <w:rPr>
          <w:rFonts w:eastAsia="Fira Sans Light" w:cs="Times New Roman"/>
          <w:szCs w:val="19"/>
          <w:shd w:val="clear" w:color="auto" w:fill="FFFFFF"/>
          <w:lang w:val="en-US"/>
        </w:rPr>
        <w:t>for 17,</w:t>
      </w:r>
      <w:r w:rsidR="008A7F42" w:rsidRPr="00EB3D0C">
        <w:rPr>
          <w:rFonts w:eastAsia="Fira Sans Light" w:cs="Times New Roman"/>
          <w:szCs w:val="19"/>
          <w:shd w:val="clear" w:color="auto" w:fill="FFFFFF"/>
          <w:lang w:val="en-US"/>
        </w:rPr>
        <w:t>474</w:t>
      </w:r>
      <w:r w:rsidR="00A628F7" w:rsidRPr="00EB3D0C">
        <w:rPr>
          <w:rFonts w:eastAsia="Fira Sans Light" w:cs="Times New Roman"/>
          <w:szCs w:val="19"/>
          <w:shd w:val="clear" w:color="auto" w:fill="FFFFFF"/>
          <w:lang w:val="en-US"/>
        </w:rPr>
        <w:t xml:space="preserve"> of new non-residential buildings</w:t>
      </w:r>
      <w:r w:rsidR="003A65D5" w:rsidRPr="00EB3D0C">
        <w:rPr>
          <w:rFonts w:eastAsia="Fira Sans Light" w:cs="Times New Roman"/>
          <w:szCs w:val="19"/>
          <w:shd w:val="clear" w:color="auto" w:fill="FFFFFF"/>
          <w:lang w:val="en-US"/>
        </w:rPr>
        <w:t xml:space="preserve"> </w:t>
      </w:r>
      <w:r w:rsidR="00A628F7" w:rsidRPr="00EB3D0C">
        <w:rPr>
          <w:rFonts w:eastAsia="Fira Sans Light" w:cs="Times New Roman"/>
          <w:szCs w:val="19"/>
          <w:shd w:val="clear" w:color="auto" w:fill="FFFFFF"/>
          <w:lang w:val="en-US"/>
        </w:rPr>
        <w:t>with a total us</w:t>
      </w:r>
      <w:r w:rsidR="00A357B9" w:rsidRPr="00EB3D0C">
        <w:rPr>
          <w:rFonts w:eastAsia="Fira Sans Light" w:cs="Times New Roman"/>
          <w:szCs w:val="19"/>
          <w:shd w:val="clear" w:color="auto" w:fill="FFFFFF"/>
          <w:lang w:val="en-US"/>
        </w:rPr>
        <w:t>eful</w:t>
      </w:r>
      <w:r w:rsidR="004B064D" w:rsidRPr="00EB3D0C">
        <w:rPr>
          <w:rFonts w:eastAsia="Fira Sans Light" w:cs="Times New Roman"/>
          <w:szCs w:val="19"/>
          <w:shd w:val="clear" w:color="auto" w:fill="FFFFFF"/>
          <w:lang w:val="en-US"/>
        </w:rPr>
        <w:t xml:space="preserve"> floor area of 11,</w:t>
      </w:r>
      <w:r w:rsidR="003B0B72">
        <w:rPr>
          <w:rFonts w:eastAsia="Fira Sans Light" w:cs="Times New Roman"/>
          <w:szCs w:val="19"/>
          <w:shd w:val="clear" w:color="auto" w:fill="FFFFFF"/>
          <w:lang w:val="en-US"/>
        </w:rPr>
        <w:t>02</w:t>
      </w:r>
      <w:r w:rsidR="00A628F7" w:rsidRPr="00EB3D0C">
        <w:rPr>
          <w:rFonts w:eastAsia="Fira Sans Light" w:cs="Times New Roman"/>
          <w:szCs w:val="19"/>
          <w:shd w:val="clear" w:color="auto" w:fill="FFFFFF"/>
          <w:lang w:val="en-US"/>
        </w:rPr>
        <w:t xml:space="preserve">9.3 </w:t>
      </w:r>
      <w:proofErr w:type="spellStart"/>
      <w:r w:rsidR="00A628F7" w:rsidRPr="00EB3D0C">
        <w:rPr>
          <w:rFonts w:eastAsia="Fira Sans Light" w:cs="Times New Roman"/>
          <w:szCs w:val="19"/>
          <w:shd w:val="clear" w:color="auto" w:fill="FFFFFF"/>
          <w:lang w:val="en-US"/>
        </w:rPr>
        <w:t>thous</w:t>
      </w:r>
      <w:proofErr w:type="spellEnd"/>
      <w:r w:rsidR="00A628F7" w:rsidRPr="00EB3D0C">
        <w:rPr>
          <w:rFonts w:eastAsia="Fira Sans Light" w:cs="Times New Roman"/>
          <w:szCs w:val="19"/>
          <w:shd w:val="clear" w:color="auto" w:fill="FFFFFF"/>
          <w:lang w:val="en-US"/>
        </w:rPr>
        <w:t xml:space="preserve">. </w:t>
      </w:r>
      <w:proofErr w:type="spellStart"/>
      <w:r w:rsidR="00A357B9" w:rsidRPr="00EB3D0C">
        <w:rPr>
          <w:rFonts w:eastAsia="Fira Sans Light" w:cs="Times New Roman"/>
          <w:szCs w:val="19"/>
          <w:shd w:val="clear" w:color="auto" w:fill="FFFFFF"/>
          <w:lang w:val="en-US"/>
        </w:rPr>
        <w:t>sq</w:t>
      </w:r>
      <w:proofErr w:type="spellEnd"/>
      <w:r w:rsidR="00A357B9" w:rsidRPr="00EB3D0C">
        <w:rPr>
          <w:rFonts w:eastAsia="Fira Sans Light" w:cs="Times New Roman"/>
          <w:szCs w:val="19"/>
          <w:shd w:val="clear" w:color="auto" w:fill="FFFFFF"/>
          <w:lang w:val="en-US"/>
        </w:rPr>
        <w:t xml:space="preserve"> m</w:t>
      </w:r>
      <w:r w:rsidR="00A628F7" w:rsidRPr="00EB3D0C">
        <w:rPr>
          <w:rFonts w:eastAsia="Fira Sans Light" w:cs="Times New Roman"/>
          <w:szCs w:val="19"/>
          <w:shd w:val="clear" w:color="auto" w:fill="FFFFFF"/>
          <w:lang w:val="en-US"/>
        </w:rPr>
        <w:t>.</w:t>
      </w:r>
      <w:r w:rsidR="00EE4B0E" w:rsidRPr="00EB3D0C">
        <w:rPr>
          <w:rFonts w:eastAsia="Fira Sans Light" w:cs="Times New Roman"/>
          <w:szCs w:val="19"/>
          <w:shd w:val="clear" w:color="auto" w:fill="FFFFFF"/>
          <w:lang w:val="en-US"/>
        </w:rPr>
        <w:t xml:space="preserve"> </w:t>
      </w:r>
      <w:r w:rsidR="00A357B9" w:rsidRPr="00EB3D0C">
        <w:rPr>
          <w:rFonts w:eastAsia="Fira Sans Light" w:cs="Times New Roman"/>
          <w:szCs w:val="19"/>
          <w:shd w:val="clear" w:color="auto" w:fill="FFFFFF"/>
          <w:lang w:val="en-US"/>
        </w:rPr>
        <w:t>In comparison to the s</w:t>
      </w:r>
      <w:r w:rsidR="003A65D5" w:rsidRPr="00EB3D0C">
        <w:rPr>
          <w:rFonts w:eastAsia="Fira Sans Light" w:cs="Times New Roman"/>
          <w:szCs w:val="19"/>
          <w:shd w:val="clear" w:color="auto" w:fill="FFFFFF"/>
          <w:lang w:val="en-US"/>
        </w:rPr>
        <w:t>ame period of the previous year for the number of buildings there was a decrease of</w:t>
      </w:r>
      <w:r w:rsidR="00ED7CB9" w:rsidRPr="00EB3D0C">
        <w:rPr>
          <w:rFonts w:eastAsia="Fira Sans Light" w:cs="Times New Roman"/>
          <w:szCs w:val="19"/>
          <w:shd w:val="clear" w:color="auto" w:fill="FFFFFF"/>
          <w:lang w:val="en-US"/>
        </w:rPr>
        <w:t xml:space="preserve"> 7.6</w:t>
      </w:r>
      <w:r w:rsidR="003A65D5" w:rsidRPr="00EB3D0C">
        <w:rPr>
          <w:rFonts w:eastAsia="Fira Sans Light" w:cs="Times New Roman"/>
          <w:szCs w:val="19"/>
          <w:shd w:val="clear" w:color="auto" w:fill="FFFFFF"/>
          <w:lang w:val="en-US"/>
        </w:rPr>
        <w:t>%, while for the useful floor area - an increase of</w:t>
      </w:r>
      <w:r w:rsidR="00CD33FF" w:rsidRPr="00EB3D0C">
        <w:rPr>
          <w:rFonts w:eastAsia="Fira Sans Light" w:cs="Times New Roman"/>
          <w:szCs w:val="19"/>
          <w:shd w:val="clear" w:color="auto" w:fill="FFFFFF"/>
          <w:lang w:val="en-US"/>
        </w:rPr>
        <w:t xml:space="preserve"> </w:t>
      </w:r>
      <w:r w:rsidR="003A65D5" w:rsidRPr="00EB3D0C">
        <w:rPr>
          <w:rFonts w:eastAsia="Fira Sans Light" w:cs="Times New Roman"/>
          <w:szCs w:val="19"/>
          <w:shd w:val="clear" w:color="auto" w:fill="FFFFFF"/>
          <w:lang w:val="en-US"/>
        </w:rPr>
        <w:t>7.2%.</w:t>
      </w:r>
      <w:r w:rsidR="00A357B9" w:rsidRPr="00EB3D0C">
        <w:rPr>
          <w:rFonts w:eastAsia="Fira Sans Light" w:cs="Times New Roman"/>
          <w:szCs w:val="19"/>
          <w:shd w:val="clear" w:color="auto" w:fill="FFFFFF"/>
          <w:lang w:val="en-US"/>
        </w:rPr>
        <w:t xml:space="preserve"> The increase</w:t>
      </w:r>
      <w:r w:rsidR="003A65D5" w:rsidRPr="00EB3D0C">
        <w:rPr>
          <w:rFonts w:eastAsia="Fira Sans Light" w:cs="Times New Roman"/>
          <w:szCs w:val="19"/>
          <w:shd w:val="clear" w:color="auto" w:fill="FFFFFF"/>
          <w:lang w:val="en-US"/>
        </w:rPr>
        <w:t xml:space="preserve"> in the </w:t>
      </w:r>
      <w:r w:rsidR="002D021D" w:rsidRPr="00EB3D0C">
        <w:rPr>
          <w:rFonts w:eastAsia="Fira Sans Light" w:cs="Times New Roman"/>
          <w:szCs w:val="19"/>
          <w:shd w:val="clear" w:color="auto" w:fill="FFFFFF"/>
          <w:lang w:val="en-US"/>
        </w:rPr>
        <w:t xml:space="preserve">planned </w:t>
      </w:r>
      <w:r w:rsidR="003A65D5" w:rsidRPr="00EB3D0C">
        <w:rPr>
          <w:rFonts w:eastAsia="Fira Sans Light" w:cs="Times New Roman"/>
          <w:szCs w:val="19"/>
          <w:shd w:val="clear" w:color="auto" w:fill="FFFFFF"/>
          <w:lang w:val="en-US"/>
        </w:rPr>
        <w:t>useful floor area of</w:t>
      </w:r>
      <w:r w:rsidR="00A357B9" w:rsidRPr="00EB3D0C">
        <w:rPr>
          <w:rFonts w:eastAsia="Fira Sans Light" w:cs="Times New Roman"/>
          <w:szCs w:val="19"/>
          <w:shd w:val="clear" w:color="auto" w:fill="FFFFFF"/>
          <w:lang w:val="en-US"/>
        </w:rPr>
        <w:t xml:space="preserve"> </w:t>
      </w:r>
      <w:r w:rsidR="003B0B72">
        <w:rPr>
          <w:rFonts w:eastAsia="Fira Sans Light" w:cs="Times New Roman"/>
          <w:szCs w:val="19"/>
          <w:shd w:val="clear" w:color="auto" w:fill="FFFFFF"/>
          <w:lang w:val="en-US"/>
        </w:rPr>
        <w:t xml:space="preserve">new </w:t>
      </w:r>
      <w:r w:rsidR="00A357B9" w:rsidRPr="00EB3D0C">
        <w:rPr>
          <w:rFonts w:eastAsia="Fira Sans Light" w:cs="Times New Roman"/>
          <w:szCs w:val="19"/>
          <w:shd w:val="clear" w:color="auto" w:fill="FFFFFF"/>
          <w:lang w:val="en-US"/>
        </w:rPr>
        <w:t>non-residential buildings</w:t>
      </w:r>
      <w:r w:rsidR="00F90530" w:rsidRPr="004C2358">
        <w:rPr>
          <w:rFonts w:eastAsia="Fira Sans Light" w:cs="Times New Roman"/>
          <w:vertAlign w:val="superscript"/>
          <w:lang w:val="en-US"/>
        </w:rPr>
        <w:t xml:space="preserve"> </w:t>
      </w:r>
      <w:r w:rsidR="00A357B9" w:rsidRPr="00EB3D0C">
        <w:rPr>
          <w:rFonts w:eastAsia="Fira Sans Light" w:cs="Times New Roman"/>
          <w:szCs w:val="19"/>
          <w:shd w:val="clear" w:color="auto" w:fill="FFFFFF"/>
          <w:lang w:val="en-US"/>
        </w:rPr>
        <w:t xml:space="preserve">was recorded for hotels and </w:t>
      </w:r>
      <w:r w:rsidR="003A65D5" w:rsidRPr="00EB3D0C">
        <w:rPr>
          <w:rFonts w:eastAsia="Fira Sans Light" w:cs="Times New Roman"/>
          <w:szCs w:val="19"/>
          <w:shd w:val="clear" w:color="auto" w:fill="FFFFFF"/>
          <w:lang w:val="en-US"/>
        </w:rPr>
        <w:t>similar</w:t>
      </w:r>
      <w:r w:rsidR="00A357B9" w:rsidRPr="00EB3D0C">
        <w:rPr>
          <w:rFonts w:eastAsia="Fira Sans Light" w:cs="Times New Roman"/>
          <w:szCs w:val="19"/>
          <w:shd w:val="clear" w:color="auto" w:fill="FFFFFF"/>
          <w:lang w:val="en-US"/>
        </w:rPr>
        <w:t xml:space="preserve"> buildings (more by 79.8%), industrial </w:t>
      </w:r>
      <w:r w:rsidR="003A65D5" w:rsidRPr="00EB3D0C">
        <w:rPr>
          <w:rFonts w:eastAsia="Fira Sans Light" w:cs="Times New Roman"/>
          <w:szCs w:val="19"/>
          <w:shd w:val="clear" w:color="auto" w:fill="FFFFFF"/>
          <w:lang w:val="en-US"/>
        </w:rPr>
        <w:t xml:space="preserve">buildings </w:t>
      </w:r>
      <w:r w:rsidR="00A357B9" w:rsidRPr="00EB3D0C">
        <w:rPr>
          <w:rFonts w:eastAsia="Fira Sans Light" w:cs="Times New Roman"/>
          <w:szCs w:val="19"/>
          <w:shd w:val="clear" w:color="auto" w:fill="FFFFFF"/>
          <w:lang w:val="en-US"/>
        </w:rPr>
        <w:t>and warehouse</w:t>
      </w:r>
      <w:r w:rsidR="003A65D5" w:rsidRPr="00EB3D0C">
        <w:rPr>
          <w:rFonts w:eastAsia="Fira Sans Light" w:cs="Times New Roman"/>
          <w:szCs w:val="19"/>
          <w:shd w:val="clear" w:color="auto" w:fill="FFFFFF"/>
          <w:lang w:val="en-US"/>
        </w:rPr>
        <w:t>s</w:t>
      </w:r>
      <w:r w:rsidR="00A357B9" w:rsidRPr="00EB3D0C">
        <w:rPr>
          <w:rFonts w:eastAsia="Fira Sans Light" w:cs="Times New Roman"/>
          <w:szCs w:val="19"/>
          <w:shd w:val="clear" w:color="auto" w:fill="FFFFFF"/>
          <w:lang w:val="en-US"/>
        </w:rPr>
        <w:t xml:space="preserve"> (22.4%), </w:t>
      </w:r>
      <w:r w:rsidR="003A65D5" w:rsidRPr="00EB3D0C">
        <w:rPr>
          <w:rFonts w:eastAsia="Fira Sans Light" w:cs="Times New Roman"/>
          <w:szCs w:val="19"/>
          <w:shd w:val="clear" w:color="auto" w:fill="FFFFFF"/>
          <w:lang w:val="en-US"/>
        </w:rPr>
        <w:t>wholesale and retail trade</w:t>
      </w:r>
      <w:r w:rsidR="00A357B9" w:rsidRPr="00EB3D0C">
        <w:rPr>
          <w:rFonts w:eastAsia="Fira Sans Light" w:cs="Times New Roman"/>
          <w:szCs w:val="19"/>
          <w:shd w:val="clear" w:color="auto" w:fill="FFFFFF"/>
          <w:lang w:val="en-US"/>
        </w:rPr>
        <w:t xml:space="preserve"> buildings (11.7%) and </w:t>
      </w:r>
      <w:r w:rsidR="003A65D5" w:rsidRPr="00EB3D0C">
        <w:rPr>
          <w:rFonts w:eastAsia="Fira Sans Light" w:cs="Times New Roman"/>
          <w:szCs w:val="19"/>
          <w:shd w:val="clear" w:color="auto" w:fill="FFFFFF"/>
          <w:lang w:val="en-US"/>
        </w:rPr>
        <w:t xml:space="preserve">buildings for </w:t>
      </w:r>
      <w:r w:rsidR="00A357B9" w:rsidRPr="00EB3D0C">
        <w:rPr>
          <w:rFonts w:eastAsia="Fira Sans Light" w:cs="Times New Roman"/>
          <w:szCs w:val="19"/>
          <w:shd w:val="clear" w:color="auto" w:fill="FFFFFF"/>
          <w:lang w:val="en-US"/>
        </w:rPr>
        <w:t>public</w:t>
      </w:r>
      <w:r w:rsidR="003A65D5" w:rsidRPr="00EB3D0C">
        <w:rPr>
          <w:rFonts w:eastAsia="Fira Sans Light" w:cs="Times New Roman"/>
          <w:szCs w:val="19"/>
          <w:shd w:val="clear" w:color="auto" w:fill="FFFFFF"/>
          <w:lang w:val="en-US"/>
        </w:rPr>
        <w:t xml:space="preserve"> entertainment, </w:t>
      </w:r>
      <w:r w:rsidR="00A357B9" w:rsidRPr="00EB3D0C">
        <w:rPr>
          <w:rFonts w:eastAsia="Fira Sans Light" w:cs="Times New Roman"/>
          <w:szCs w:val="19"/>
          <w:shd w:val="clear" w:color="auto" w:fill="FFFFFF"/>
          <w:lang w:val="en-US"/>
        </w:rPr>
        <w:t xml:space="preserve">education, hospital </w:t>
      </w:r>
      <w:r w:rsidR="003A65D5" w:rsidRPr="00EB3D0C">
        <w:rPr>
          <w:rFonts w:eastAsia="Fira Sans Light" w:cs="Times New Roman"/>
          <w:szCs w:val="19"/>
          <w:shd w:val="clear" w:color="auto" w:fill="FFFFFF"/>
          <w:lang w:val="en-US"/>
        </w:rPr>
        <w:t xml:space="preserve"> and institutional care and sport halls</w:t>
      </w:r>
      <w:r w:rsidR="00A357B9" w:rsidRPr="00EB3D0C">
        <w:rPr>
          <w:rFonts w:eastAsia="Fira Sans Light" w:cs="Times New Roman"/>
          <w:szCs w:val="19"/>
          <w:shd w:val="clear" w:color="auto" w:fill="FFFFFF"/>
          <w:lang w:val="en-US"/>
        </w:rPr>
        <w:t xml:space="preserve"> (4.1%). </w:t>
      </w:r>
      <w:r w:rsidR="00A357B9" w:rsidRPr="000B41CB">
        <w:rPr>
          <w:rFonts w:eastAsia="Fira Sans Light" w:cs="Times New Roman"/>
          <w:szCs w:val="19"/>
          <w:shd w:val="clear" w:color="auto" w:fill="FFFFFF"/>
          <w:lang w:val="en-US"/>
        </w:rPr>
        <w:t>In the structure of the us</w:t>
      </w:r>
      <w:r w:rsidR="003A65D5" w:rsidRPr="000B41CB">
        <w:rPr>
          <w:rFonts w:eastAsia="Fira Sans Light" w:cs="Times New Roman"/>
          <w:szCs w:val="19"/>
          <w:shd w:val="clear" w:color="auto" w:fill="FFFFFF"/>
          <w:lang w:val="en-US"/>
        </w:rPr>
        <w:t>eful</w:t>
      </w:r>
      <w:r w:rsidR="00A357B9" w:rsidRPr="000B41CB">
        <w:rPr>
          <w:rFonts w:eastAsia="Fira Sans Light" w:cs="Times New Roman"/>
          <w:szCs w:val="19"/>
          <w:shd w:val="clear" w:color="auto" w:fill="FFFFFF"/>
          <w:lang w:val="en-US"/>
        </w:rPr>
        <w:t xml:space="preserve"> </w:t>
      </w:r>
      <w:r w:rsidR="003B0B72">
        <w:rPr>
          <w:rFonts w:eastAsia="Fira Sans Light" w:cs="Times New Roman"/>
          <w:szCs w:val="19"/>
          <w:shd w:val="clear" w:color="auto" w:fill="FFFFFF"/>
          <w:lang w:val="en-US"/>
        </w:rPr>
        <w:t xml:space="preserve">floor </w:t>
      </w:r>
      <w:r w:rsidR="00A357B9" w:rsidRPr="000B41CB">
        <w:rPr>
          <w:rFonts w:eastAsia="Fira Sans Light" w:cs="Times New Roman"/>
          <w:szCs w:val="19"/>
          <w:shd w:val="clear" w:color="auto" w:fill="FFFFFF"/>
          <w:lang w:val="en-US"/>
        </w:rPr>
        <w:t>area of new</w:t>
      </w:r>
      <w:r w:rsidR="003A65D5" w:rsidRPr="000B41CB">
        <w:rPr>
          <w:rFonts w:eastAsia="Fira Sans Light" w:cs="Times New Roman"/>
          <w:szCs w:val="19"/>
          <w:shd w:val="clear" w:color="auto" w:fill="FFFFFF"/>
          <w:lang w:val="en-US"/>
        </w:rPr>
        <w:t xml:space="preserve"> non-residential</w:t>
      </w:r>
      <w:r w:rsidR="00A357B9" w:rsidRPr="000B41CB">
        <w:rPr>
          <w:rFonts w:eastAsia="Fira Sans Light" w:cs="Times New Roman"/>
          <w:szCs w:val="19"/>
          <w:shd w:val="clear" w:color="auto" w:fill="FFFFFF"/>
          <w:lang w:val="en-US"/>
        </w:rPr>
        <w:t xml:space="preserve"> buildings, for which building perm</w:t>
      </w:r>
      <w:r w:rsidR="003A65D5" w:rsidRPr="000B41CB">
        <w:rPr>
          <w:rFonts w:eastAsia="Fira Sans Light" w:cs="Times New Roman"/>
          <w:szCs w:val="19"/>
          <w:shd w:val="clear" w:color="auto" w:fill="FFFFFF"/>
          <w:lang w:val="en-US"/>
        </w:rPr>
        <w:t xml:space="preserve">its </w:t>
      </w:r>
      <w:r w:rsidR="00FC363C" w:rsidRPr="000B41CB">
        <w:rPr>
          <w:rFonts w:eastAsia="Fira Sans Light" w:cs="Times New Roman"/>
          <w:szCs w:val="19"/>
          <w:shd w:val="clear" w:color="auto" w:fill="FFFFFF"/>
          <w:lang w:val="en-US"/>
        </w:rPr>
        <w:t xml:space="preserve">have been granted </w:t>
      </w:r>
      <w:r w:rsidR="003A65D5" w:rsidRPr="000B41CB">
        <w:rPr>
          <w:rFonts w:eastAsia="Fira Sans Light" w:cs="Times New Roman"/>
          <w:szCs w:val="19"/>
          <w:shd w:val="clear" w:color="auto" w:fill="FFFFFF"/>
          <w:lang w:val="en-US"/>
        </w:rPr>
        <w:t>dominate</w:t>
      </w:r>
      <w:r w:rsidR="00A357B9" w:rsidRPr="000B41CB">
        <w:rPr>
          <w:rFonts w:eastAsia="Fira Sans Light" w:cs="Times New Roman"/>
          <w:szCs w:val="19"/>
          <w:shd w:val="clear" w:color="auto" w:fill="FFFFFF"/>
          <w:lang w:val="en-US"/>
        </w:rPr>
        <w:t xml:space="preserve">d </w:t>
      </w:r>
      <w:r w:rsidR="003A65D5" w:rsidRPr="000B41CB">
        <w:rPr>
          <w:rFonts w:eastAsia="Fira Sans Light" w:cs="Times New Roman"/>
          <w:szCs w:val="19"/>
          <w:shd w:val="clear" w:color="auto" w:fill="FFFFFF"/>
          <w:lang w:val="en-US"/>
        </w:rPr>
        <w:t>industrial buildings and warehouses</w:t>
      </w:r>
      <w:r w:rsidR="00A357B9" w:rsidRPr="000B41CB">
        <w:rPr>
          <w:rFonts w:eastAsia="Fira Sans Light" w:cs="Times New Roman"/>
          <w:szCs w:val="19"/>
          <w:shd w:val="clear" w:color="auto" w:fill="FFFFFF"/>
          <w:lang w:val="en-US"/>
        </w:rPr>
        <w:t xml:space="preserve"> (43.3%) and other non-residential buildings (21.9%).</w:t>
      </w:r>
    </w:p>
    <w:p w:rsidR="000E5C7E" w:rsidRDefault="004C2358" w:rsidP="000E5C7E">
      <w:pPr>
        <w:pStyle w:val="tytuwykresu"/>
        <w:ind w:left="709" w:hanging="709"/>
        <w:rPr>
          <w:shd w:val="clear" w:color="auto" w:fill="FFFFFF"/>
          <w:lang w:val="en-GB"/>
        </w:rPr>
      </w:pPr>
      <w:r>
        <w:rPr>
          <w:strike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57568" behindDoc="1" locked="0" layoutInCell="1" allowOverlap="1">
                <wp:simplePos x="0" y="0"/>
                <wp:positionH relativeFrom="column">
                  <wp:posOffset>5246259</wp:posOffset>
                </wp:positionH>
                <wp:positionV relativeFrom="paragraph">
                  <wp:posOffset>2221928</wp:posOffset>
                </wp:positionV>
                <wp:extent cx="1703070" cy="1537335"/>
                <wp:effectExtent l="0" t="0" r="0" b="5715"/>
                <wp:wrapTight wrapText="bothSides">
                  <wp:wrapPolygon edited="0">
                    <wp:start x="725" y="0"/>
                    <wp:lineTo x="725" y="21413"/>
                    <wp:lineTo x="20779" y="21413"/>
                    <wp:lineTo x="20779" y="0"/>
                    <wp:lineTo x="725" y="0"/>
                  </wp:wrapPolygon>
                </wp:wrapTight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153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3B8" w:rsidRPr="009B23A5" w:rsidRDefault="006613B8" w:rsidP="006613B8">
                            <w:pPr>
                              <w:pStyle w:val="tekstzboku"/>
                              <w:rPr>
                                <w:lang w:val="en-GB"/>
                              </w:rPr>
                            </w:pPr>
                            <w:r w:rsidRPr="009B23A5">
                              <w:rPr>
                                <w:lang w:val="en-GB"/>
                              </w:rPr>
                              <w:t xml:space="preserve">Useful floor area of new non-residential buildings for which permits have been granted </w:t>
                            </w:r>
                            <w:r w:rsidR="00394058">
                              <w:rPr>
                                <w:lang w:val="en-GB"/>
                              </w:rPr>
                              <w:t xml:space="preserve">in </w:t>
                            </w:r>
                            <w:proofErr w:type="spellStart"/>
                            <w:r w:rsidR="00394058">
                              <w:rPr>
                                <w:lang w:val="en-GB"/>
                              </w:rPr>
                              <w:t>mazowieckie</w:t>
                            </w:r>
                            <w:proofErr w:type="spellEnd"/>
                            <w:r w:rsidR="00394058">
                              <w:rPr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="00394058">
                              <w:rPr>
                                <w:lang w:val="en-GB"/>
                              </w:rPr>
                              <w:t>wielkopolskie</w:t>
                            </w:r>
                            <w:proofErr w:type="spellEnd"/>
                            <w:r w:rsidR="00394058">
                              <w:rPr>
                                <w:lang w:val="en-GB"/>
                              </w:rPr>
                              <w:t xml:space="preserve"> and </w:t>
                            </w:r>
                            <w:proofErr w:type="spellStart"/>
                            <w:r w:rsidR="00941D2E">
                              <w:rPr>
                                <w:lang w:val="en-GB"/>
                              </w:rPr>
                              <w:t>łódzkie</w:t>
                            </w:r>
                            <w:proofErr w:type="spellEnd"/>
                            <w:r w:rsidR="00941D2E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9B23A5">
                              <w:rPr>
                                <w:lang w:val="en-GB"/>
                              </w:rPr>
                              <w:t>voivodships</w:t>
                            </w:r>
                            <w:r w:rsidR="00394058">
                              <w:rPr>
                                <w:lang w:val="en-GB"/>
                              </w:rPr>
                              <w:t xml:space="preserve"> amounted </w:t>
                            </w:r>
                            <w:r w:rsidR="00034A5C">
                              <w:rPr>
                                <w:lang w:val="en-GB"/>
                              </w:rPr>
                              <w:t xml:space="preserve">to </w:t>
                            </w:r>
                            <w:r w:rsidR="00394058">
                              <w:rPr>
                                <w:lang w:val="en-GB"/>
                              </w:rPr>
                              <w:t>nearly 4</w:t>
                            </w:r>
                            <w:r w:rsidR="00941D2E">
                              <w:rPr>
                                <w:lang w:val="en-GB"/>
                              </w:rPr>
                              <w:t>2</w:t>
                            </w:r>
                            <w:r w:rsidR="00394058">
                              <w:rPr>
                                <w:lang w:val="en-GB"/>
                              </w:rPr>
                              <w:t xml:space="preserve">% of the total </w:t>
                            </w:r>
                            <w:r w:rsidR="007B7915">
                              <w:rPr>
                                <w:lang w:val="en-GB"/>
                              </w:rPr>
                              <w:t xml:space="preserve">useful floor area </w:t>
                            </w:r>
                            <w:r w:rsidR="00394058">
                              <w:rPr>
                                <w:lang w:val="en-GB"/>
                              </w:rPr>
                              <w:t xml:space="preserve">planned </w:t>
                            </w:r>
                            <w:r w:rsidR="007B7915">
                              <w:rPr>
                                <w:lang w:val="en-GB"/>
                              </w:rPr>
                              <w:t>for construction</w:t>
                            </w:r>
                          </w:p>
                          <w:p w:rsidR="006613B8" w:rsidRPr="006C575B" w:rsidRDefault="006613B8" w:rsidP="006613B8">
                            <w:pPr>
                              <w:pStyle w:val="tekstzboku"/>
                              <w:spacing w:before="0"/>
                              <w:ind w:left="-142"/>
                              <w:rPr>
                                <w:bCs w:val="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" o:spid="_x0000_s1030" type="#_x0000_t202" style="position:absolute;left:0;text-align:left;margin-left:413.1pt;margin-top:174.95pt;width:134.1pt;height:121.05pt;z-index:-251558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" filled="f" stroked="f">
                <v:textbox>
                  <w:txbxContent>
                    <w:p w:rsidR="006613B8" w:rsidRPr="009B23A5" w:rsidRDefault="006613B8" w:rsidP="006613B8">
                      <w:pPr>
                        <w:pStyle w:val="tekstzboku"/>
                        <w:rPr>
                          <w:lang w:val="en-GB"/>
                        </w:rPr>
                      </w:pPr>
                      <w:r w:rsidRPr="009B23A5">
                        <w:rPr>
                          <w:lang w:val="en-GB"/>
                        </w:rPr>
                        <w:t xml:space="preserve">Useful floor area of new non-residential buildings for which permits have been granted </w:t>
                      </w:r>
                      <w:r w:rsidR="00394058">
                        <w:rPr>
                          <w:lang w:val="en-GB"/>
                        </w:rPr>
                        <w:t xml:space="preserve">in </w:t>
                      </w:r>
                      <w:proofErr w:type="spellStart"/>
                      <w:r w:rsidR="00394058">
                        <w:rPr>
                          <w:lang w:val="en-GB"/>
                        </w:rPr>
                        <w:t>mazowieckie</w:t>
                      </w:r>
                      <w:proofErr w:type="spellEnd"/>
                      <w:r w:rsidR="00394058">
                        <w:rPr>
                          <w:lang w:val="en-GB"/>
                        </w:rPr>
                        <w:t xml:space="preserve">, </w:t>
                      </w:r>
                      <w:proofErr w:type="spellStart"/>
                      <w:r w:rsidR="00394058">
                        <w:rPr>
                          <w:lang w:val="en-GB"/>
                        </w:rPr>
                        <w:t>wielkopolskie</w:t>
                      </w:r>
                      <w:proofErr w:type="spellEnd"/>
                      <w:r w:rsidR="00394058">
                        <w:rPr>
                          <w:lang w:val="en-GB"/>
                        </w:rPr>
                        <w:t xml:space="preserve"> and </w:t>
                      </w:r>
                      <w:proofErr w:type="spellStart"/>
                      <w:r w:rsidR="00941D2E">
                        <w:rPr>
                          <w:lang w:val="en-GB"/>
                        </w:rPr>
                        <w:t>łódzkie</w:t>
                      </w:r>
                      <w:proofErr w:type="spellEnd"/>
                      <w:r w:rsidR="00941D2E">
                        <w:rPr>
                          <w:lang w:val="en-GB"/>
                        </w:rPr>
                        <w:t xml:space="preserve"> </w:t>
                      </w:r>
                      <w:r w:rsidRPr="009B23A5">
                        <w:rPr>
                          <w:lang w:val="en-GB"/>
                        </w:rPr>
                        <w:t>voivodships</w:t>
                      </w:r>
                      <w:r w:rsidR="00394058">
                        <w:rPr>
                          <w:lang w:val="en-GB"/>
                        </w:rPr>
                        <w:t xml:space="preserve"> amounted </w:t>
                      </w:r>
                      <w:r w:rsidR="00034A5C">
                        <w:rPr>
                          <w:lang w:val="en-GB"/>
                        </w:rPr>
                        <w:t xml:space="preserve">to </w:t>
                      </w:r>
                      <w:r w:rsidR="00394058">
                        <w:rPr>
                          <w:lang w:val="en-GB"/>
                        </w:rPr>
                        <w:t>nearly 4</w:t>
                      </w:r>
                      <w:r w:rsidR="00941D2E">
                        <w:rPr>
                          <w:lang w:val="en-GB"/>
                        </w:rPr>
                        <w:t>2</w:t>
                      </w:r>
                      <w:r w:rsidR="00394058">
                        <w:rPr>
                          <w:lang w:val="en-GB"/>
                        </w:rPr>
                        <w:t xml:space="preserve">% of the total </w:t>
                      </w:r>
                      <w:r w:rsidR="007B7915">
                        <w:rPr>
                          <w:lang w:val="en-GB"/>
                        </w:rPr>
                        <w:t xml:space="preserve">useful floor area </w:t>
                      </w:r>
                      <w:r w:rsidR="00394058">
                        <w:rPr>
                          <w:lang w:val="en-GB"/>
                        </w:rPr>
                        <w:t xml:space="preserve">planned </w:t>
                      </w:r>
                      <w:r w:rsidR="007B7915">
                        <w:rPr>
                          <w:lang w:val="en-GB"/>
                        </w:rPr>
                        <w:t>for construction</w:t>
                      </w:r>
                    </w:p>
                    <w:p w:rsidR="006613B8" w:rsidRPr="006C575B" w:rsidRDefault="006613B8" w:rsidP="006613B8">
                      <w:pPr>
                        <w:pStyle w:val="tekstzboku"/>
                        <w:spacing w:before="0"/>
                        <w:ind w:left="-142"/>
                        <w:rPr>
                          <w:bCs w:val="0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F18B4">
        <w:rPr>
          <w:noProof/>
          <w:shd w:val="clear" w:color="auto" w:fill="FFFFFF"/>
          <w:lang w:eastAsia="pl-PL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359410</wp:posOffset>
            </wp:positionV>
            <wp:extent cx="5121910" cy="2266315"/>
            <wp:effectExtent l="0" t="0" r="2540" b="635"/>
            <wp:wrapTopAndBottom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910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3C36">
        <w:rPr>
          <w:b w:val="0"/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41184" behindDoc="1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0</wp:posOffset>
                </wp:positionV>
                <wp:extent cx="933450" cy="2057400"/>
                <wp:effectExtent l="0" t="0" r="0" b="0"/>
                <wp:wrapTight wrapText="bothSides">
                  <wp:wrapPolygon edited="0">
                    <wp:start x="1322" y="0"/>
                    <wp:lineTo x="1322" y="21400"/>
                    <wp:lineTo x="19837" y="21400"/>
                    <wp:lineTo x="19837" y="0"/>
                    <wp:lineTo x="1322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05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3B8" w:rsidRDefault="006613B8" w:rsidP="006613B8">
                            <w:pPr>
                              <w:jc w:val="both"/>
                              <w:rPr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A61624" w:rsidRPr="00D616D2" w:rsidRDefault="00A61624" w:rsidP="00A61624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30" type="#_x0000_t202" style="position:absolute;left:0;text-align:left;margin-left:445.5pt;margin-top:0;width:73.5pt;height:162pt;z-index:-251575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" filled="f" stroked="f">
                <v:textbox>
                  <w:txbxContent>
                    <w:p w:rsidR="006613B8" w:rsidRDefault="006613B8" w:rsidP="006613B8">
                      <w:pPr>
                        <w:jc w:val="both"/>
                        <w:rPr>
                          <w:shd w:val="clear" w:color="auto" w:fill="FFFFFF"/>
                          <w:lang w:val="en-US"/>
                        </w:rPr>
                      </w:pPr>
                    </w:p>
                    <w:p w:rsidR="00A61624" w:rsidRPr="00D616D2" w:rsidRDefault="00A61624" w:rsidP="00A61624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E5C7E" w:rsidRPr="009B23A5">
        <w:rPr>
          <w:lang w:val="en-GB"/>
        </w:rPr>
        <w:t>Chart 3.</w:t>
      </w:r>
      <w:r w:rsidR="005D31D0">
        <w:rPr>
          <w:shd w:val="clear" w:color="auto" w:fill="FFFFFF"/>
          <w:lang w:val="en-GB"/>
        </w:rPr>
        <w:tab/>
      </w:r>
      <w:r w:rsidR="00D576B5">
        <w:rPr>
          <w:shd w:val="clear" w:color="auto" w:fill="FFFFFF"/>
          <w:lang w:val="en-GB"/>
        </w:rPr>
        <w:t>The structure of the u</w:t>
      </w:r>
      <w:r w:rsidR="000E5C7E" w:rsidRPr="009B23A5">
        <w:rPr>
          <w:shd w:val="clear" w:color="auto" w:fill="FFFFFF"/>
          <w:lang w:val="en-GB"/>
        </w:rPr>
        <w:t xml:space="preserve">seful floor area of new non-residential buildings for </w:t>
      </w:r>
      <w:r w:rsidR="00EF0154" w:rsidRPr="009B23A5">
        <w:rPr>
          <w:shd w:val="clear" w:color="auto" w:fill="FFFFFF"/>
          <w:lang w:val="en-GB"/>
        </w:rPr>
        <w:t>which permits have been granted</w:t>
      </w:r>
      <w:r w:rsidR="000E5C7E" w:rsidRPr="009B23A5">
        <w:rPr>
          <w:shd w:val="clear" w:color="auto" w:fill="FFFFFF"/>
          <w:lang w:val="en-GB"/>
        </w:rPr>
        <w:t xml:space="preserve"> </w:t>
      </w:r>
      <w:r w:rsidR="004211D9" w:rsidRPr="003A5070">
        <w:rPr>
          <w:shd w:val="clear" w:color="auto" w:fill="FFFFFF"/>
          <w:lang w:val="en-GB"/>
        </w:rPr>
        <w:t>in the first half of 2018</w:t>
      </w:r>
    </w:p>
    <w:p w:rsidR="00D576B5" w:rsidRPr="000B41CB" w:rsidRDefault="00D576B5" w:rsidP="00F511E2">
      <w:pPr>
        <w:pStyle w:val="Nagwek1"/>
        <w:jc w:val="both"/>
        <w:rPr>
          <w:rFonts w:ascii="Fira Sans" w:eastAsia="Fira Sans Light" w:hAnsi="Fira Sans"/>
          <w:bCs w:val="0"/>
          <w:color w:val="auto"/>
          <w:szCs w:val="19"/>
          <w:shd w:val="clear" w:color="auto" w:fill="FFFFFF"/>
          <w:lang w:val="en-US" w:eastAsia="en-US"/>
        </w:rPr>
      </w:pPr>
      <w:r w:rsidRPr="00EB3D0C">
        <w:rPr>
          <w:rFonts w:ascii="Fira Sans" w:eastAsia="Fira Sans Light" w:hAnsi="Fira Sans"/>
          <w:bCs w:val="0"/>
          <w:color w:val="auto"/>
          <w:szCs w:val="19"/>
          <w:shd w:val="clear" w:color="auto" w:fill="FFFFFF"/>
          <w:lang w:val="en-US" w:eastAsia="en-US"/>
        </w:rPr>
        <w:t xml:space="preserve">According to building permits </w:t>
      </w:r>
      <w:r w:rsidR="00BC3CEE">
        <w:rPr>
          <w:rFonts w:ascii="Fira Sans" w:eastAsia="Fira Sans Light" w:hAnsi="Fira Sans"/>
          <w:bCs w:val="0"/>
          <w:color w:val="auto"/>
          <w:szCs w:val="19"/>
          <w:shd w:val="clear" w:color="auto" w:fill="FFFFFF"/>
          <w:lang w:val="en-US" w:eastAsia="en-US"/>
        </w:rPr>
        <w:t xml:space="preserve">which </w:t>
      </w:r>
      <w:r w:rsidR="002922B2" w:rsidRPr="00EB3D0C">
        <w:rPr>
          <w:rFonts w:ascii="Fira Sans" w:eastAsia="Fira Sans Light" w:hAnsi="Fira Sans"/>
          <w:bCs w:val="0"/>
          <w:color w:val="auto"/>
          <w:szCs w:val="19"/>
          <w:shd w:val="clear" w:color="auto" w:fill="FFFFFF"/>
          <w:lang w:val="en-US" w:eastAsia="en-US"/>
        </w:rPr>
        <w:t xml:space="preserve">have been granted for construction </w:t>
      </w:r>
      <w:r w:rsidRPr="00EB3D0C">
        <w:rPr>
          <w:rFonts w:ascii="Fira Sans" w:eastAsia="Fira Sans Light" w:hAnsi="Fira Sans"/>
          <w:bCs w:val="0"/>
          <w:color w:val="auto"/>
          <w:szCs w:val="19"/>
          <w:shd w:val="clear" w:color="auto" w:fill="FFFFFF"/>
          <w:lang w:val="en-US" w:eastAsia="en-US"/>
        </w:rPr>
        <w:t xml:space="preserve">in the first half of 2018, the largest </w:t>
      </w:r>
      <w:r w:rsidR="002922B2" w:rsidRPr="00EB3D0C">
        <w:rPr>
          <w:rFonts w:ascii="Fira Sans" w:eastAsia="Fira Sans Light" w:hAnsi="Fira Sans"/>
          <w:bCs w:val="0"/>
          <w:color w:val="auto"/>
          <w:szCs w:val="19"/>
          <w:shd w:val="clear" w:color="auto" w:fill="FFFFFF"/>
          <w:lang w:val="en-US" w:eastAsia="en-US"/>
        </w:rPr>
        <w:t xml:space="preserve">useful </w:t>
      </w:r>
      <w:r w:rsidR="00BC3CEE">
        <w:rPr>
          <w:rFonts w:ascii="Fira Sans" w:eastAsia="Fira Sans Light" w:hAnsi="Fira Sans"/>
          <w:bCs w:val="0"/>
          <w:color w:val="auto"/>
          <w:szCs w:val="19"/>
          <w:shd w:val="clear" w:color="auto" w:fill="FFFFFF"/>
          <w:lang w:val="en-US" w:eastAsia="en-US"/>
        </w:rPr>
        <w:t xml:space="preserve">floor </w:t>
      </w:r>
      <w:r w:rsidRPr="00EB3D0C">
        <w:rPr>
          <w:rFonts w:ascii="Fira Sans" w:eastAsia="Fira Sans Light" w:hAnsi="Fira Sans"/>
          <w:bCs w:val="0"/>
          <w:color w:val="auto"/>
          <w:szCs w:val="19"/>
          <w:shd w:val="clear" w:color="auto" w:fill="FFFFFF"/>
          <w:lang w:val="en-US" w:eastAsia="en-US"/>
        </w:rPr>
        <w:t xml:space="preserve">area of new non-residential buildings is planned to be built in the following voivodships: </w:t>
      </w:r>
      <w:proofErr w:type="spellStart"/>
      <w:r w:rsidRPr="00EB3D0C">
        <w:rPr>
          <w:rFonts w:ascii="Fira Sans" w:eastAsia="Fira Sans Light" w:hAnsi="Fira Sans"/>
          <w:bCs w:val="0"/>
          <w:color w:val="auto"/>
          <w:szCs w:val="19"/>
          <w:shd w:val="clear" w:color="auto" w:fill="FFFFFF"/>
          <w:lang w:val="en-US" w:eastAsia="en-US"/>
        </w:rPr>
        <w:t>mazowieckie</w:t>
      </w:r>
      <w:proofErr w:type="spellEnd"/>
      <w:r w:rsidRPr="00EB3D0C">
        <w:rPr>
          <w:rFonts w:ascii="Fira Sans" w:eastAsia="Fira Sans Light" w:hAnsi="Fira Sans"/>
          <w:bCs w:val="0"/>
          <w:color w:val="auto"/>
          <w:szCs w:val="19"/>
          <w:shd w:val="clear" w:color="auto" w:fill="FFFFFF"/>
          <w:lang w:val="en-US" w:eastAsia="en-US"/>
        </w:rPr>
        <w:t xml:space="preserve"> (1</w:t>
      </w:r>
      <w:r w:rsidR="00EE4B0E" w:rsidRPr="00EB3D0C">
        <w:rPr>
          <w:rFonts w:ascii="Fira Sans" w:eastAsia="Fira Sans Light" w:hAnsi="Fira Sans"/>
          <w:bCs w:val="0"/>
          <w:color w:val="auto"/>
          <w:szCs w:val="19"/>
          <w:shd w:val="clear" w:color="auto" w:fill="FFFFFF"/>
          <w:lang w:val="en-US" w:eastAsia="en-US"/>
        </w:rPr>
        <w:t>,</w:t>
      </w:r>
      <w:r w:rsidRPr="00EB3D0C">
        <w:rPr>
          <w:rFonts w:ascii="Fira Sans" w:eastAsia="Fira Sans Light" w:hAnsi="Fira Sans"/>
          <w:bCs w:val="0"/>
          <w:color w:val="auto"/>
          <w:szCs w:val="19"/>
          <w:shd w:val="clear" w:color="auto" w:fill="FFFFFF"/>
          <w:lang w:val="en-US" w:eastAsia="en-US"/>
        </w:rPr>
        <w:t>833.</w:t>
      </w:r>
      <w:r w:rsidR="003479FA" w:rsidRPr="00EB3D0C">
        <w:rPr>
          <w:rFonts w:ascii="Fira Sans" w:eastAsia="Fira Sans Light" w:hAnsi="Fira Sans"/>
          <w:bCs w:val="0"/>
          <w:color w:val="auto"/>
          <w:szCs w:val="19"/>
          <w:shd w:val="clear" w:color="auto" w:fill="FFFFFF"/>
          <w:lang w:val="en-US" w:eastAsia="en-US"/>
        </w:rPr>
        <w:t>8 thousand</w:t>
      </w:r>
      <w:r w:rsidRPr="00EB3D0C">
        <w:rPr>
          <w:rFonts w:ascii="Fira Sans" w:eastAsia="Fira Sans Light" w:hAnsi="Fira Sans"/>
          <w:bCs w:val="0"/>
          <w:color w:val="auto"/>
          <w:szCs w:val="19"/>
          <w:shd w:val="clear" w:color="auto" w:fill="FFFFFF"/>
          <w:lang w:val="en-US" w:eastAsia="en-US"/>
        </w:rPr>
        <w:t xml:space="preserve"> </w:t>
      </w:r>
      <w:proofErr w:type="spellStart"/>
      <w:r w:rsidRPr="00EB3D0C">
        <w:rPr>
          <w:rFonts w:ascii="Fira Sans" w:eastAsia="Fira Sans Light" w:hAnsi="Fira Sans"/>
          <w:bCs w:val="0"/>
          <w:color w:val="auto"/>
          <w:szCs w:val="19"/>
          <w:shd w:val="clear" w:color="auto" w:fill="FFFFFF"/>
          <w:lang w:val="en-US" w:eastAsia="en-US"/>
        </w:rPr>
        <w:t>sq</w:t>
      </w:r>
      <w:proofErr w:type="spellEnd"/>
      <w:r w:rsidRPr="00EB3D0C">
        <w:rPr>
          <w:rFonts w:ascii="Fira Sans" w:eastAsia="Fira Sans Light" w:hAnsi="Fira Sans"/>
          <w:bCs w:val="0"/>
          <w:color w:val="auto"/>
          <w:szCs w:val="19"/>
          <w:shd w:val="clear" w:color="auto" w:fill="FFFFFF"/>
          <w:lang w:val="en-US" w:eastAsia="en-US"/>
        </w:rPr>
        <w:t xml:space="preserve"> m), </w:t>
      </w:r>
      <w:proofErr w:type="spellStart"/>
      <w:r w:rsidRPr="00EB3D0C">
        <w:rPr>
          <w:rFonts w:ascii="Fira Sans" w:eastAsia="Fira Sans Light" w:hAnsi="Fira Sans"/>
          <w:bCs w:val="0"/>
          <w:color w:val="auto"/>
          <w:szCs w:val="19"/>
          <w:shd w:val="clear" w:color="auto" w:fill="FFFFFF"/>
          <w:lang w:val="en-US" w:eastAsia="en-US"/>
        </w:rPr>
        <w:t>wielkopolskie</w:t>
      </w:r>
      <w:proofErr w:type="spellEnd"/>
      <w:r w:rsidRPr="00EB3D0C">
        <w:rPr>
          <w:rFonts w:ascii="Fira Sans" w:eastAsia="Fira Sans Light" w:hAnsi="Fira Sans"/>
          <w:bCs w:val="0"/>
          <w:color w:val="auto"/>
          <w:szCs w:val="19"/>
          <w:shd w:val="clear" w:color="auto" w:fill="FFFFFF"/>
          <w:lang w:val="en-US" w:eastAsia="en-US"/>
        </w:rPr>
        <w:t xml:space="preserve"> (1</w:t>
      </w:r>
      <w:r w:rsidR="004B064D" w:rsidRPr="00EB3D0C">
        <w:rPr>
          <w:rFonts w:ascii="Fira Sans" w:eastAsia="Fira Sans Light" w:hAnsi="Fira Sans"/>
          <w:bCs w:val="0"/>
          <w:color w:val="auto"/>
          <w:szCs w:val="19"/>
          <w:shd w:val="clear" w:color="auto" w:fill="FFFFFF"/>
          <w:lang w:val="en-US" w:eastAsia="en-US"/>
        </w:rPr>
        <w:t>,</w:t>
      </w:r>
      <w:r w:rsidRPr="00EB3D0C">
        <w:rPr>
          <w:rFonts w:ascii="Fira Sans" w:eastAsia="Fira Sans Light" w:hAnsi="Fira Sans"/>
          <w:bCs w:val="0"/>
          <w:color w:val="auto"/>
          <w:szCs w:val="19"/>
          <w:shd w:val="clear" w:color="auto" w:fill="FFFFFF"/>
          <w:lang w:val="en-US" w:eastAsia="en-US"/>
        </w:rPr>
        <w:t>675.</w:t>
      </w:r>
      <w:r w:rsidR="003479FA" w:rsidRPr="00EB3D0C">
        <w:rPr>
          <w:rFonts w:ascii="Fira Sans" w:eastAsia="Fira Sans Light" w:hAnsi="Fira Sans"/>
          <w:bCs w:val="0"/>
          <w:color w:val="auto"/>
          <w:szCs w:val="19"/>
          <w:shd w:val="clear" w:color="auto" w:fill="FFFFFF"/>
          <w:lang w:val="en-US" w:eastAsia="en-US"/>
        </w:rPr>
        <w:t>7</w:t>
      </w:r>
      <w:r w:rsidR="00EB3D0C">
        <w:rPr>
          <w:rFonts w:ascii="Fira Sans" w:eastAsia="Fira Sans Light" w:hAnsi="Fira Sans"/>
          <w:bCs w:val="0"/>
          <w:color w:val="auto"/>
          <w:szCs w:val="19"/>
          <w:shd w:val="clear" w:color="auto" w:fill="FFFFFF"/>
          <w:lang w:val="en-US" w:eastAsia="en-US"/>
        </w:rPr>
        <w:t> </w:t>
      </w:r>
      <w:r w:rsidR="003479FA" w:rsidRPr="00EB3D0C">
        <w:rPr>
          <w:rFonts w:ascii="Fira Sans" w:eastAsia="Fira Sans Light" w:hAnsi="Fira Sans"/>
          <w:bCs w:val="0"/>
          <w:color w:val="auto"/>
          <w:szCs w:val="19"/>
          <w:shd w:val="clear" w:color="auto" w:fill="FFFFFF"/>
          <w:lang w:val="en-US" w:eastAsia="en-US"/>
        </w:rPr>
        <w:t>thousand</w:t>
      </w:r>
      <w:r w:rsidR="00EB3D0C">
        <w:rPr>
          <w:rFonts w:ascii="Fira Sans" w:eastAsia="Fira Sans Light" w:hAnsi="Fira Sans"/>
          <w:bCs w:val="0"/>
          <w:color w:val="auto"/>
          <w:szCs w:val="19"/>
          <w:shd w:val="clear" w:color="auto" w:fill="FFFFFF"/>
          <w:lang w:val="en-US" w:eastAsia="en-US"/>
        </w:rPr>
        <w:t> </w:t>
      </w:r>
      <w:proofErr w:type="spellStart"/>
      <w:r w:rsidRPr="00EB3D0C">
        <w:rPr>
          <w:rFonts w:ascii="Fira Sans" w:eastAsia="Fira Sans Light" w:hAnsi="Fira Sans"/>
          <w:bCs w:val="0"/>
          <w:color w:val="auto"/>
          <w:szCs w:val="19"/>
          <w:shd w:val="clear" w:color="auto" w:fill="FFFFFF"/>
          <w:lang w:val="en-US" w:eastAsia="en-US"/>
        </w:rPr>
        <w:t>sq</w:t>
      </w:r>
      <w:proofErr w:type="spellEnd"/>
      <w:r w:rsidRPr="00EB3D0C">
        <w:rPr>
          <w:rFonts w:ascii="Fira Sans" w:eastAsia="Fira Sans Light" w:hAnsi="Fira Sans"/>
          <w:bCs w:val="0"/>
          <w:color w:val="auto"/>
          <w:szCs w:val="19"/>
          <w:shd w:val="clear" w:color="auto" w:fill="FFFFFF"/>
          <w:lang w:val="en-US" w:eastAsia="en-US"/>
        </w:rPr>
        <w:t xml:space="preserve"> m) and </w:t>
      </w:r>
      <w:proofErr w:type="spellStart"/>
      <w:r w:rsidRPr="00EB3D0C">
        <w:rPr>
          <w:rFonts w:ascii="Fira Sans" w:eastAsia="Fira Sans Light" w:hAnsi="Fira Sans"/>
          <w:bCs w:val="0"/>
          <w:color w:val="auto"/>
          <w:szCs w:val="19"/>
          <w:shd w:val="clear" w:color="auto" w:fill="FFFFFF"/>
          <w:lang w:val="en-US" w:eastAsia="en-US"/>
        </w:rPr>
        <w:t>łódzkie</w:t>
      </w:r>
      <w:proofErr w:type="spellEnd"/>
      <w:r w:rsidRPr="00EB3D0C">
        <w:rPr>
          <w:rFonts w:ascii="Fira Sans" w:eastAsia="Fira Sans Light" w:hAnsi="Fira Sans"/>
          <w:bCs w:val="0"/>
          <w:color w:val="auto"/>
          <w:szCs w:val="19"/>
          <w:shd w:val="clear" w:color="auto" w:fill="FFFFFF"/>
          <w:lang w:val="en-US" w:eastAsia="en-US"/>
        </w:rPr>
        <w:t xml:space="preserve"> (1</w:t>
      </w:r>
      <w:r w:rsidR="004B064D" w:rsidRPr="00EB3D0C">
        <w:rPr>
          <w:rFonts w:ascii="Fira Sans" w:eastAsia="Fira Sans Light" w:hAnsi="Fira Sans"/>
          <w:bCs w:val="0"/>
          <w:color w:val="auto"/>
          <w:szCs w:val="19"/>
          <w:shd w:val="clear" w:color="auto" w:fill="FFFFFF"/>
          <w:lang w:val="en-US" w:eastAsia="en-US"/>
        </w:rPr>
        <w:t>,</w:t>
      </w:r>
      <w:r w:rsidRPr="00EB3D0C">
        <w:rPr>
          <w:rFonts w:ascii="Fira Sans" w:eastAsia="Fira Sans Light" w:hAnsi="Fira Sans"/>
          <w:bCs w:val="0"/>
          <w:color w:val="auto"/>
          <w:szCs w:val="19"/>
          <w:shd w:val="clear" w:color="auto" w:fill="FFFFFF"/>
          <w:lang w:val="en-US" w:eastAsia="en-US"/>
        </w:rPr>
        <w:t xml:space="preserve">102.1 thousand </w:t>
      </w:r>
      <w:proofErr w:type="spellStart"/>
      <w:r w:rsidRPr="00EB3D0C">
        <w:rPr>
          <w:rFonts w:ascii="Fira Sans" w:eastAsia="Fira Sans Light" w:hAnsi="Fira Sans"/>
          <w:bCs w:val="0"/>
          <w:color w:val="auto"/>
          <w:szCs w:val="19"/>
          <w:shd w:val="clear" w:color="auto" w:fill="FFFFFF"/>
          <w:lang w:val="en-US" w:eastAsia="en-US"/>
        </w:rPr>
        <w:t>sq</w:t>
      </w:r>
      <w:proofErr w:type="spellEnd"/>
      <w:r w:rsidRPr="00EB3D0C">
        <w:rPr>
          <w:rFonts w:ascii="Fira Sans" w:eastAsia="Fira Sans Light" w:hAnsi="Fira Sans"/>
          <w:bCs w:val="0"/>
          <w:color w:val="auto"/>
          <w:szCs w:val="19"/>
          <w:shd w:val="clear" w:color="auto" w:fill="FFFFFF"/>
          <w:lang w:val="en-US" w:eastAsia="en-US"/>
        </w:rPr>
        <w:t xml:space="preserve"> m), and the smallest in </w:t>
      </w:r>
      <w:proofErr w:type="spellStart"/>
      <w:r w:rsidRPr="00EB3D0C">
        <w:rPr>
          <w:rFonts w:ascii="Fira Sans" w:eastAsia="Fira Sans Light" w:hAnsi="Fira Sans"/>
          <w:bCs w:val="0"/>
          <w:color w:val="auto"/>
          <w:szCs w:val="19"/>
          <w:shd w:val="clear" w:color="auto" w:fill="FFFFFF"/>
          <w:lang w:val="en-US" w:eastAsia="en-US"/>
        </w:rPr>
        <w:t>opolskie</w:t>
      </w:r>
      <w:proofErr w:type="spellEnd"/>
      <w:r w:rsidRPr="00EB3D0C">
        <w:rPr>
          <w:rFonts w:ascii="Fira Sans" w:eastAsia="Fira Sans Light" w:hAnsi="Fira Sans"/>
          <w:bCs w:val="0"/>
          <w:color w:val="auto"/>
          <w:szCs w:val="19"/>
          <w:shd w:val="clear" w:color="auto" w:fill="FFFFFF"/>
          <w:lang w:val="en-US" w:eastAsia="en-US"/>
        </w:rPr>
        <w:t xml:space="preserve"> (158.3</w:t>
      </w:r>
      <w:r w:rsidR="00EB3D0C">
        <w:rPr>
          <w:rFonts w:ascii="Fira Sans" w:eastAsia="Fira Sans Light" w:hAnsi="Fira Sans"/>
          <w:bCs w:val="0"/>
          <w:color w:val="auto"/>
          <w:szCs w:val="19"/>
          <w:shd w:val="clear" w:color="auto" w:fill="FFFFFF"/>
          <w:lang w:val="en-US" w:eastAsia="en-US"/>
        </w:rPr>
        <w:t> </w:t>
      </w:r>
      <w:r w:rsidRPr="00EB3D0C">
        <w:rPr>
          <w:rFonts w:ascii="Fira Sans" w:eastAsia="Fira Sans Light" w:hAnsi="Fira Sans"/>
          <w:bCs w:val="0"/>
          <w:color w:val="auto"/>
          <w:szCs w:val="19"/>
          <w:shd w:val="clear" w:color="auto" w:fill="FFFFFF"/>
          <w:lang w:val="en-US" w:eastAsia="en-US"/>
        </w:rPr>
        <w:t xml:space="preserve">thousand </w:t>
      </w:r>
      <w:proofErr w:type="spellStart"/>
      <w:r w:rsidRPr="00EB3D0C">
        <w:rPr>
          <w:rFonts w:ascii="Fira Sans" w:eastAsia="Fira Sans Light" w:hAnsi="Fira Sans"/>
          <w:bCs w:val="0"/>
          <w:color w:val="auto"/>
          <w:szCs w:val="19"/>
          <w:shd w:val="clear" w:color="auto" w:fill="FFFFFF"/>
          <w:lang w:val="en-US" w:eastAsia="en-US"/>
        </w:rPr>
        <w:t>sq</w:t>
      </w:r>
      <w:proofErr w:type="spellEnd"/>
      <w:r w:rsidRPr="00EB3D0C">
        <w:rPr>
          <w:rFonts w:ascii="Fira Sans" w:eastAsia="Fira Sans Light" w:hAnsi="Fira Sans"/>
          <w:bCs w:val="0"/>
          <w:color w:val="auto"/>
          <w:szCs w:val="19"/>
          <w:shd w:val="clear" w:color="auto" w:fill="FFFFFF"/>
          <w:lang w:val="en-US" w:eastAsia="en-US"/>
        </w:rPr>
        <w:t xml:space="preserve"> m), </w:t>
      </w:r>
      <w:proofErr w:type="spellStart"/>
      <w:r w:rsidRPr="00EB3D0C">
        <w:rPr>
          <w:rFonts w:ascii="Fira Sans" w:eastAsia="Fira Sans Light" w:hAnsi="Fira Sans"/>
          <w:bCs w:val="0"/>
          <w:color w:val="auto"/>
          <w:szCs w:val="19"/>
          <w:shd w:val="clear" w:color="auto" w:fill="FFFFFF"/>
          <w:lang w:val="en-US" w:eastAsia="en-US"/>
        </w:rPr>
        <w:t>lubuskie</w:t>
      </w:r>
      <w:proofErr w:type="spellEnd"/>
      <w:r w:rsidRPr="00EB3D0C">
        <w:rPr>
          <w:rFonts w:ascii="Fira Sans" w:eastAsia="Fira Sans Light" w:hAnsi="Fira Sans"/>
          <w:bCs w:val="0"/>
          <w:color w:val="auto"/>
          <w:szCs w:val="19"/>
          <w:shd w:val="clear" w:color="auto" w:fill="FFFFFF"/>
          <w:lang w:val="en-US" w:eastAsia="en-US"/>
        </w:rPr>
        <w:t xml:space="preserve"> (258.8 thousand </w:t>
      </w:r>
      <w:proofErr w:type="spellStart"/>
      <w:r w:rsidR="00EB3D0C">
        <w:rPr>
          <w:rFonts w:ascii="Fira Sans" w:eastAsia="Fira Sans Light" w:hAnsi="Fira Sans"/>
          <w:bCs w:val="0"/>
          <w:color w:val="auto"/>
          <w:szCs w:val="19"/>
          <w:shd w:val="clear" w:color="auto" w:fill="FFFFFF"/>
          <w:lang w:val="en-US" w:eastAsia="en-US"/>
        </w:rPr>
        <w:t>sq</w:t>
      </w:r>
      <w:proofErr w:type="spellEnd"/>
      <w:r w:rsidR="00EB3D0C">
        <w:rPr>
          <w:rFonts w:ascii="Fira Sans" w:eastAsia="Fira Sans Light" w:hAnsi="Fira Sans"/>
          <w:bCs w:val="0"/>
          <w:color w:val="auto"/>
          <w:szCs w:val="19"/>
          <w:shd w:val="clear" w:color="auto" w:fill="FFFFFF"/>
          <w:lang w:val="en-US" w:eastAsia="en-US"/>
        </w:rPr>
        <w:t xml:space="preserve"> m) and </w:t>
      </w:r>
      <w:proofErr w:type="spellStart"/>
      <w:r w:rsidR="00EB3D0C">
        <w:rPr>
          <w:rFonts w:ascii="Fira Sans" w:eastAsia="Fira Sans Light" w:hAnsi="Fira Sans"/>
          <w:bCs w:val="0"/>
          <w:color w:val="auto"/>
          <w:szCs w:val="19"/>
          <w:shd w:val="clear" w:color="auto" w:fill="FFFFFF"/>
          <w:lang w:val="en-US" w:eastAsia="en-US"/>
        </w:rPr>
        <w:t>świętokrzyskie</w:t>
      </w:r>
      <w:proofErr w:type="spellEnd"/>
      <w:r w:rsidR="00EB3D0C">
        <w:rPr>
          <w:rFonts w:ascii="Fira Sans" w:eastAsia="Fira Sans Light" w:hAnsi="Fira Sans"/>
          <w:bCs w:val="0"/>
          <w:color w:val="auto"/>
          <w:szCs w:val="19"/>
          <w:shd w:val="clear" w:color="auto" w:fill="FFFFFF"/>
          <w:lang w:val="en-US" w:eastAsia="en-US"/>
        </w:rPr>
        <w:t xml:space="preserve"> (263.5</w:t>
      </w:r>
      <w:r w:rsidRPr="00EB3D0C">
        <w:rPr>
          <w:rFonts w:ascii="Fira Sans" w:eastAsia="Fira Sans Light" w:hAnsi="Fira Sans"/>
          <w:bCs w:val="0"/>
          <w:color w:val="auto"/>
          <w:szCs w:val="19"/>
          <w:shd w:val="clear" w:color="auto" w:fill="FFFFFF"/>
          <w:lang w:val="en-US" w:eastAsia="en-US"/>
        </w:rPr>
        <w:t xml:space="preserve"> </w:t>
      </w:r>
      <w:proofErr w:type="spellStart"/>
      <w:r w:rsidRPr="00EB3D0C">
        <w:rPr>
          <w:rFonts w:ascii="Fira Sans" w:eastAsia="Fira Sans Light" w:hAnsi="Fira Sans"/>
          <w:bCs w:val="0"/>
          <w:color w:val="auto"/>
          <w:szCs w:val="19"/>
          <w:shd w:val="clear" w:color="auto" w:fill="FFFFFF"/>
          <w:lang w:val="en-US" w:eastAsia="en-US"/>
        </w:rPr>
        <w:t>sq</w:t>
      </w:r>
      <w:proofErr w:type="spellEnd"/>
      <w:r w:rsidRPr="00EB3D0C">
        <w:rPr>
          <w:rFonts w:ascii="Fira Sans" w:eastAsia="Fira Sans Light" w:hAnsi="Fira Sans"/>
          <w:bCs w:val="0"/>
          <w:color w:val="auto"/>
          <w:szCs w:val="19"/>
          <w:shd w:val="clear" w:color="auto" w:fill="FFFFFF"/>
          <w:lang w:val="en-US" w:eastAsia="en-US"/>
        </w:rPr>
        <w:t xml:space="preserve"> m). </w:t>
      </w:r>
      <w:r w:rsidRPr="000B41CB">
        <w:rPr>
          <w:rFonts w:ascii="Fira Sans" w:eastAsia="Fira Sans Light" w:hAnsi="Fira Sans"/>
          <w:bCs w:val="0"/>
          <w:color w:val="auto"/>
          <w:szCs w:val="19"/>
          <w:shd w:val="clear" w:color="auto" w:fill="FFFFFF"/>
          <w:lang w:val="en-US" w:eastAsia="en-US"/>
        </w:rPr>
        <w:t xml:space="preserve">The largest increase in the planned area to be built compared to the same period of the previous </w:t>
      </w:r>
      <w:r w:rsidRPr="000B41CB">
        <w:rPr>
          <w:rFonts w:ascii="Fira Sans" w:eastAsia="Fira Sans Light" w:hAnsi="Fira Sans"/>
          <w:bCs w:val="0"/>
          <w:color w:val="auto"/>
          <w:szCs w:val="19"/>
          <w:shd w:val="clear" w:color="auto" w:fill="FFFFFF"/>
          <w:lang w:val="en-US" w:eastAsia="en-US"/>
        </w:rPr>
        <w:lastRenderedPageBreak/>
        <w:t xml:space="preserve">year was recorded in voivodships: </w:t>
      </w:r>
      <w:proofErr w:type="spellStart"/>
      <w:r w:rsidRPr="000B41CB">
        <w:rPr>
          <w:rFonts w:ascii="Fira Sans" w:eastAsia="Fira Sans Light" w:hAnsi="Fira Sans"/>
          <w:bCs w:val="0"/>
          <w:color w:val="auto"/>
          <w:szCs w:val="19"/>
          <w:shd w:val="clear" w:color="auto" w:fill="FFFFFF"/>
          <w:lang w:val="en-US" w:eastAsia="en-US"/>
        </w:rPr>
        <w:t>łódzkie</w:t>
      </w:r>
      <w:proofErr w:type="spellEnd"/>
      <w:r w:rsidRPr="000B41CB">
        <w:rPr>
          <w:rFonts w:ascii="Fira Sans" w:eastAsia="Fira Sans Light" w:hAnsi="Fira Sans"/>
          <w:bCs w:val="0"/>
          <w:color w:val="auto"/>
          <w:szCs w:val="19"/>
          <w:shd w:val="clear" w:color="auto" w:fill="FFFFFF"/>
          <w:lang w:val="en-US" w:eastAsia="en-US"/>
        </w:rPr>
        <w:t xml:space="preserve"> (by 62.9%), </w:t>
      </w:r>
      <w:proofErr w:type="spellStart"/>
      <w:r w:rsidRPr="000B41CB">
        <w:rPr>
          <w:rFonts w:ascii="Fira Sans" w:eastAsia="Fira Sans Light" w:hAnsi="Fira Sans"/>
          <w:bCs w:val="0"/>
          <w:color w:val="auto"/>
          <w:szCs w:val="19"/>
          <w:shd w:val="clear" w:color="auto" w:fill="FFFFFF"/>
          <w:lang w:val="en-US" w:eastAsia="en-US"/>
        </w:rPr>
        <w:t>warmińsko-mazurskie</w:t>
      </w:r>
      <w:proofErr w:type="spellEnd"/>
      <w:r w:rsidRPr="000B41CB">
        <w:rPr>
          <w:rFonts w:ascii="Fira Sans" w:eastAsia="Fira Sans Light" w:hAnsi="Fira Sans"/>
          <w:bCs w:val="0"/>
          <w:color w:val="auto"/>
          <w:szCs w:val="19"/>
          <w:shd w:val="clear" w:color="auto" w:fill="FFFFFF"/>
          <w:lang w:val="en-US" w:eastAsia="en-US"/>
        </w:rPr>
        <w:t xml:space="preserve"> (37.0%) and </w:t>
      </w:r>
      <w:proofErr w:type="spellStart"/>
      <w:r w:rsidRPr="000B41CB">
        <w:rPr>
          <w:rFonts w:ascii="Fira Sans" w:eastAsia="Fira Sans Light" w:hAnsi="Fira Sans"/>
          <w:bCs w:val="0"/>
          <w:color w:val="auto"/>
          <w:szCs w:val="19"/>
          <w:shd w:val="clear" w:color="auto" w:fill="FFFFFF"/>
          <w:lang w:val="en-US" w:eastAsia="en-US"/>
        </w:rPr>
        <w:t>podlaskie</w:t>
      </w:r>
      <w:proofErr w:type="spellEnd"/>
      <w:r w:rsidRPr="000B41CB">
        <w:rPr>
          <w:rFonts w:ascii="Fira Sans" w:eastAsia="Fira Sans Light" w:hAnsi="Fira Sans"/>
          <w:bCs w:val="0"/>
          <w:color w:val="auto"/>
          <w:szCs w:val="19"/>
          <w:shd w:val="clear" w:color="auto" w:fill="FFFFFF"/>
          <w:lang w:val="en-US" w:eastAsia="en-US"/>
        </w:rPr>
        <w:t xml:space="preserve"> (by 32.8%).</w:t>
      </w:r>
    </w:p>
    <w:p w:rsidR="00850354" w:rsidRDefault="00D41C47" w:rsidP="00850354">
      <w:pPr>
        <w:pStyle w:val="tytuwykresu"/>
        <w:ind w:left="709" w:hanging="709"/>
        <w:rPr>
          <w:shd w:val="clear" w:color="auto" w:fill="FFFFFF"/>
          <w:lang w:val="en-GB"/>
        </w:rPr>
      </w:pPr>
      <w:r>
        <w:rPr>
          <w:noProof/>
          <w:lang w:eastAsia="pl-PL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53439</wp:posOffset>
            </wp:positionH>
            <wp:positionV relativeFrom="paragraph">
              <wp:posOffset>523660</wp:posOffset>
            </wp:positionV>
            <wp:extent cx="5118100" cy="3443605"/>
            <wp:effectExtent l="0" t="0" r="6350" b="4445"/>
            <wp:wrapTopAndBottom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44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0354" w:rsidRPr="009B23A5">
        <w:rPr>
          <w:lang w:val="en-GB"/>
        </w:rPr>
        <w:t xml:space="preserve">Chart </w:t>
      </w:r>
      <w:r w:rsidR="00D576B5">
        <w:rPr>
          <w:lang w:val="en-GB"/>
        </w:rPr>
        <w:t xml:space="preserve"> 4</w:t>
      </w:r>
      <w:r w:rsidR="00850354" w:rsidRPr="009B23A5">
        <w:rPr>
          <w:lang w:val="en-GB"/>
        </w:rPr>
        <w:t>.</w:t>
      </w:r>
      <w:r w:rsidR="00850354">
        <w:rPr>
          <w:shd w:val="clear" w:color="auto" w:fill="FFFFFF"/>
          <w:lang w:val="en-GB"/>
        </w:rPr>
        <w:tab/>
      </w:r>
      <w:r w:rsidR="00850354" w:rsidRPr="009B23A5">
        <w:rPr>
          <w:shd w:val="clear" w:color="auto" w:fill="FFFFFF"/>
          <w:lang w:val="en-GB"/>
        </w:rPr>
        <w:t>Useful floor area of new non-residential buildings for which permits have been granted</w:t>
      </w:r>
      <w:r w:rsidR="00D576B5">
        <w:rPr>
          <w:shd w:val="clear" w:color="auto" w:fill="FFFFFF"/>
          <w:lang w:val="en-GB"/>
        </w:rPr>
        <w:t xml:space="preserve"> in the first half of 2018 </w:t>
      </w:r>
      <w:r w:rsidR="00850354">
        <w:rPr>
          <w:shd w:val="clear" w:color="auto" w:fill="FFFFFF"/>
          <w:lang w:val="en-GB"/>
        </w:rPr>
        <w:t>by voivodships</w:t>
      </w:r>
    </w:p>
    <w:p w:rsidR="006613B8" w:rsidRPr="009B23A5" w:rsidRDefault="006613B8" w:rsidP="006613B8">
      <w:pPr>
        <w:rPr>
          <w:lang w:val="en-GB" w:eastAsia="pl-PL"/>
        </w:rPr>
      </w:pPr>
    </w:p>
    <w:p w:rsidR="00A6004B" w:rsidRDefault="00D576B5" w:rsidP="00A6004B">
      <w:pPr>
        <w:jc w:val="both"/>
        <w:rPr>
          <w:rFonts w:eastAsia="Fira Sans Light" w:cs="Times New Roman"/>
          <w:szCs w:val="19"/>
          <w:shd w:val="clear" w:color="auto" w:fill="FFFFFF"/>
          <w:lang w:val="en-US"/>
        </w:rPr>
      </w:pPr>
      <w:r w:rsidRPr="00EB3D0C">
        <w:rPr>
          <w:rFonts w:eastAsia="Fira Sans Light" w:cs="Times New Roman"/>
          <w:szCs w:val="19"/>
          <w:shd w:val="clear" w:color="auto" w:fill="FFFFFF"/>
          <w:lang w:val="en-US"/>
        </w:rPr>
        <w:t>Additionally, in the first half of 2018, 23152 permits have been granted or which have been registered with a construction project for the construction of new civil engineering works, which is an increase of 4.7% compared to the first half of 2017.</w:t>
      </w:r>
    </w:p>
    <w:p w:rsidR="0095125E" w:rsidRDefault="0095125E" w:rsidP="00A6004B">
      <w:pPr>
        <w:jc w:val="both"/>
        <w:rPr>
          <w:rFonts w:eastAsia="Fira Sans Light" w:cs="Times New Roman"/>
          <w:szCs w:val="19"/>
          <w:shd w:val="clear" w:color="auto" w:fill="FFFFFF"/>
          <w:lang w:val="en-US"/>
        </w:rPr>
      </w:pPr>
      <w:bookmarkStart w:id="0" w:name="_GoBack"/>
      <w:bookmarkEnd w:id="0"/>
    </w:p>
    <w:p w:rsidR="00A6004B" w:rsidRPr="00A6004B" w:rsidRDefault="00A6004B" w:rsidP="00A6004B">
      <w:pPr>
        <w:jc w:val="both"/>
        <w:rPr>
          <w:rFonts w:eastAsia="Fira Sans Light" w:cs="Times New Roman"/>
          <w:szCs w:val="19"/>
          <w:shd w:val="clear" w:color="auto" w:fill="FFFFFF"/>
          <w:lang w:val="en-US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165"/>
        <w:gridCol w:w="3728"/>
      </w:tblGrid>
      <w:tr w:rsidR="00A6004B" w:rsidRPr="004C2358" w:rsidTr="00394EE5">
        <w:trPr>
          <w:trHeight w:val="1506"/>
        </w:trPr>
        <w:tc>
          <w:tcPr>
            <w:tcW w:w="4165" w:type="dxa"/>
          </w:tcPr>
          <w:p w:rsidR="00A6004B" w:rsidRPr="00ED7CB9" w:rsidRDefault="00A6004B" w:rsidP="00394EE5">
            <w:pPr>
              <w:spacing w:before="0" w:after="0" w:line="276" w:lineRule="auto"/>
              <w:rPr>
                <w:rFonts w:cs="Arial"/>
                <w:color w:val="FF0000"/>
                <w:sz w:val="20"/>
                <w:lang w:val="en-US"/>
              </w:rPr>
            </w:pPr>
            <w:r w:rsidRPr="00ED7CB9">
              <w:rPr>
                <w:rFonts w:cs="Arial"/>
                <w:color w:val="000000" w:themeColor="text1"/>
                <w:sz w:val="20"/>
                <w:lang w:val="en-US"/>
              </w:rPr>
              <w:t xml:space="preserve">Prepared by: </w:t>
            </w:r>
            <w:r w:rsidRPr="00ED7CB9">
              <w:rPr>
                <w:rStyle w:val="Nagwek1Znak"/>
                <w:rFonts w:ascii="Arial" w:eastAsiaTheme="minorHAnsi" w:hAnsi="Arial" w:cs="Arial"/>
                <w:color w:val="222222"/>
                <w:lang w:val="en-US"/>
              </w:rPr>
              <w:t xml:space="preserve"> </w:t>
            </w:r>
          </w:p>
          <w:p w:rsidR="00A6004B" w:rsidRPr="00ED7CB9" w:rsidRDefault="00A6004B" w:rsidP="00394EE5">
            <w:pPr>
              <w:spacing w:before="0" w:after="0" w:line="240" w:lineRule="auto"/>
              <w:rPr>
                <w:rFonts w:cs="Arial"/>
                <w:b/>
                <w:sz w:val="20"/>
                <w:lang w:val="en-US"/>
              </w:rPr>
            </w:pPr>
            <w:r w:rsidRPr="00ED7CB9">
              <w:rPr>
                <w:rFonts w:cs="Arial"/>
                <w:b/>
                <w:sz w:val="20"/>
                <w:lang w:val="en-US"/>
              </w:rPr>
              <w:t>Statistical Office in Lublin</w:t>
            </w:r>
          </w:p>
          <w:p w:rsidR="00A6004B" w:rsidRDefault="00A6004B" w:rsidP="00394EE5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auto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>Zofia Kurlej</w:t>
            </w:r>
          </w:p>
          <w:p w:rsidR="00A6004B" w:rsidRDefault="00A6004B" w:rsidP="00394EE5">
            <w:pPr>
              <w:pStyle w:val="Nagwek3"/>
              <w:spacing w:before="0" w:line="240" w:lineRule="auto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>
              <w:rPr>
                <w:rFonts w:ascii="Fira Sans" w:hAnsi="Fira Sans" w:cs="Arial"/>
                <w:color w:val="auto"/>
                <w:sz w:val="20"/>
                <w:lang w:val="fi-FI"/>
              </w:rPr>
              <w:t>Tel: 81 533 2301</w:t>
            </w:r>
          </w:p>
          <w:p w:rsidR="00A6004B" w:rsidRPr="00ED7CB9" w:rsidRDefault="00A6004B" w:rsidP="00394EE5">
            <w:pPr>
              <w:spacing w:before="0"/>
            </w:pPr>
            <w:r w:rsidRPr="00ED7CB9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e-mail: </w:t>
            </w:r>
            <w:hyperlink r:id="rId17" w:history="1">
              <w:r w:rsidRPr="00ED7CB9">
                <w:rPr>
                  <w:rStyle w:val="Hipercze"/>
                  <w:rFonts w:cs="Arial"/>
                  <w:b/>
                  <w:sz w:val="20"/>
                  <w:szCs w:val="20"/>
                </w:rPr>
                <w:t>Z.Kurlej@stat.gov.pl</w:t>
              </w:r>
            </w:hyperlink>
          </w:p>
        </w:tc>
        <w:tc>
          <w:tcPr>
            <w:tcW w:w="3728" w:type="dxa"/>
          </w:tcPr>
          <w:p w:rsidR="00A6004B" w:rsidRPr="009B23A5" w:rsidRDefault="00A6004B" w:rsidP="00394EE5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9B23A5">
              <w:rPr>
                <w:rFonts w:cs="Arial"/>
                <w:color w:val="000000" w:themeColor="text1"/>
                <w:sz w:val="20"/>
                <w:lang w:val="en-GB"/>
              </w:rPr>
              <w:t>Issued by:</w:t>
            </w:r>
            <w:r w:rsidRPr="009B23A5">
              <w:rPr>
                <w:rFonts w:cs="Arial"/>
                <w:color w:val="000000" w:themeColor="text1"/>
                <w:sz w:val="20"/>
                <w:lang w:val="en-GB"/>
              </w:rPr>
              <w:br/>
            </w:r>
            <w:r w:rsidRPr="009B23A5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The </w:t>
            </w:r>
            <w:proofErr w:type="spellStart"/>
            <w:r w:rsidRPr="009B23A5">
              <w:rPr>
                <w:rFonts w:cs="Arial"/>
                <w:b/>
                <w:color w:val="000000" w:themeColor="text1"/>
                <w:sz w:val="20"/>
                <w:lang w:val="en-GB"/>
              </w:rPr>
              <w:t>Spokeperson</w:t>
            </w:r>
            <w:proofErr w:type="spellEnd"/>
            <w:r w:rsidRPr="009B23A5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 for the President </w:t>
            </w:r>
          </w:p>
          <w:p w:rsidR="00A6004B" w:rsidRPr="009B23A5" w:rsidRDefault="00A6004B" w:rsidP="00394EE5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9B23A5">
              <w:rPr>
                <w:rFonts w:cs="Arial"/>
                <w:b/>
                <w:color w:val="000000" w:themeColor="text1"/>
                <w:sz w:val="20"/>
                <w:lang w:val="en-GB"/>
              </w:rPr>
              <w:t>of the Statistic Poland</w:t>
            </w:r>
          </w:p>
          <w:p w:rsidR="00A6004B" w:rsidRPr="009B23A5" w:rsidRDefault="00A6004B" w:rsidP="00394EE5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b/>
                <w:color w:val="000000" w:themeColor="text1"/>
                <w:sz w:val="20"/>
                <w:szCs w:val="28"/>
                <w:lang w:val="en-GB"/>
              </w:rPr>
            </w:pPr>
            <w:r w:rsidRPr="009B23A5">
              <w:rPr>
                <w:rFonts w:eastAsiaTheme="majorEastAsia" w:cs="Arial"/>
                <w:b/>
                <w:color w:val="000000" w:themeColor="text1"/>
                <w:sz w:val="20"/>
                <w:szCs w:val="28"/>
                <w:lang w:val="en-GB"/>
              </w:rPr>
              <w:t xml:space="preserve">Karolina </w:t>
            </w:r>
            <w:proofErr w:type="spellStart"/>
            <w:r w:rsidRPr="009B23A5">
              <w:rPr>
                <w:rFonts w:eastAsiaTheme="majorEastAsia" w:cs="Arial"/>
                <w:b/>
                <w:color w:val="000000" w:themeColor="text1"/>
                <w:sz w:val="20"/>
                <w:szCs w:val="28"/>
                <w:lang w:val="en-GB"/>
              </w:rPr>
              <w:t>Dawidziuk</w:t>
            </w:r>
            <w:proofErr w:type="spellEnd"/>
          </w:p>
          <w:p w:rsidR="00A6004B" w:rsidRPr="00FD67C9" w:rsidRDefault="00A6004B" w:rsidP="00394EE5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color w:val="000000" w:themeColor="text1"/>
                <w:sz w:val="20"/>
                <w:szCs w:val="24"/>
                <w:lang w:val="fi-FI"/>
              </w:rPr>
            </w:pPr>
            <w:r w:rsidRPr="00FD67C9">
              <w:rPr>
                <w:rFonts w:eastAsiaTheme="majorEastAsia" w:cs="Arial"/>
                <w:color w:val="000000" w:themeColor="text1"/>
                <w:sz w:val="20"/>
                <w:szCs w:val="24"/>
                <w:lang w:val="fi-FI"/>
              </w:rPr>
              <w:t>Tel: +48 22 608 3475, +48 22 608 3009</w:t>
            </w:r>
          </w:p>
          <w:p w:rsidR="00A6004B" w:rsidRPr="00FD67C9" w:rsidRDefault="00A6004B" w:rsidP="00394EE5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color w:val="000000" w:themeColor="text1"/>
                <w:sz w:val="20"/>
                <w:szCs w:val="20"/>
                <w:lang w:val="en-US"/>
              </w:rPr>
            </w:pPr>
            <w:r w:rsidRPr="00FD67C9">
              <w:rPr>
                <w:rFonts w:eastAsiaTheme="majorEastAsia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8" w:history="1">
              <w:r w:rsidRPr="00FD67C9">
                <w:rPr>
                  <w:rFonts w:eastAsiaTheme="majorEastAsia" w:cs="Arial"/>
                  <w:b/>
                  <w:color w:val="000000" w:themeColor="text1"/>
                  <w:sz w:val="20"/>
                  <w:szCs w:val="20"/>
                  <w:u w:val="single"/>
                  <w:lang w:val="en-US"/>
                </w:rPr>
                <w:t>rzecznik@stat.gov.pl</w:t>
              </w:r>
            </w:hyperlink>
          </w:p>
        </w:tc>
      </w:tr>
    </w:tbl>
    <w:tbl>
      <w:tblPr>
        <w:tblStyle w:val="Tabela-Siatka1"/>
        <w:tblpPr w:leftFromText="141" w:rightFromText="141" w:vertAnchor="text" w:horzAnchor="margin" w:tblpXSpec="right" w:tblpY="1949"/>
        <w:tblW w:w="48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01"/>
        <w:gridCol w:w="581"/>
        <w:gridCol w:w="3017"/>
      </w:tblGrid>
      <w:tr w:rsidR="00A6004B" w:rsidRPr="004C2358" w:rsidTr="00F90530">
        <w:trPr>
          <w:trHeight w:val="586"/>
        </w:trPr>
        <w:tc>
          <w:tcPr>
            <w:tcW w:w="2722" w:type="pct"/>
            <w:vMerge w:val="restart"/>
            <w:vAlign w:val="center"/>
          </w:tcPr>
          <w:p w:rsidR="00A6004B" w:rsidRPr="009B23A5" w:rsidRDefault="00A6004B" w:rsidP="003A5070">
            <w:pPr>
              <w:rPr>
                <w:b/>
                <w:sz w:val="20"/>
                <w:lang w:val="en-GB"/>
              </w:rPr>
            </w:pPr>
            <w:r w:rsidRPr="009B23A5">
              <w:rPr>
                <w:b/>
                <w:sz w:val="20"/>
                <w:lang w:val="en-GB"/>
              </w:rPr>
              <w:t>Press Office</w:t>
            </w:r>
          </w:p>
          <w:p w:rsidR="00A6004B" w:rsidRPr="009B23A5" w:rsidRDefault="00A6004B" w:rsidP="003A5070">
            <w:pPr>
              <w:rPr>
                <w:sz w:val="20"/>
                <w:lang w:val="en-GB"/>
              </w:rPr>
            </w:pPr>
            <w:r w:rsidRPr="009B23A5">
              <w:rPr>
                <w:b/>
                <w:sz w:val="20"/>
                <w:lang w:val="en-GB"/>
              </w:rPr>
              <w:t xml:space="preserve">tel.: </w:t>
            </w:r>
            <w:r w:rsidRPr="009B23A5">
              <w:rPr>
                <w:sz w:val="20"/>
                <w:lang w:val="en-GB"/>
              </w:rPr>
              <w:t xml:space="preserve">+48 22 608 34 91, +48 22 608 38 04 </w:t>
            </w:r>
          </w:p>
          <w:p w:rsidR="00A6004B" w:rsidRPr="009B23A5" w:rsidRDefault="00A6004B" w:rsidP="003A5070">
            <w:pPr>
              <w:rPr>
                <w:sz w:val="20"/>
                <w:lang w:val="en-GB"/>
              </w:rPr>
            </w:pPr>
            <w:r w:rsidRPr="009B23A5">
              <w:rPr>
                <w:b/>
                <w:sz w:val="20"/>
                <w:lang w:val="en-GB"/>
              </w:rPr>
              <w:t>fax:</w:t>
            </w:r>
            <w:r w:rsidRPr="009B23A5">
              <w:rPr>
                <w:sz w:val="20"/>
                <w:lang w:val="en-GB"/>
              </w:rPr>
              <w:t xml:space="preserve"> +48 22 608 38 86 </w:t>
            </w:r>
          </w:p>
          <w:p w:rsidR="00A6004B" w:rsidRPr="009B23A5" w:rsidRDefault="00A6004B" w:rsidP="003A5070">
            <w:pPr>
              <w:rPr>
                <w:sz w:val="18"/>
                <w:lang w:val="en-GB"/>
              </w:rPr>
            </w:pPr>
            <w:r w:rsidRPr="009B23A5">
              <w:rPr>
                <w:b/>
                <w:sz w:val="20"/>
                <w:lang w:val="en-GB"/>
              </w:rPr>
              <w:t>e-mail:</w:t>
            </w:r>
            <w:hyperlink r:id="rId19" w:history="1">
              <w:r w:rsidRPr="009B23A5">
                <w:rPr>
                  <w:color w:val="0000FF"/>
                  <w:sz w:val="20"/>
                  <w:u w:val="single"/>
                  <w:lang w:val="en-GB"/>
                </w:rPr>
                <w:t>obslugaprasowa@stat.gov.pl</w:t>
              </w:r>
            </w:hyperlink>
          </w:p>
        </w:tc>
        <w:tc>
          <w:tcPr>
            <w:tcW w:w="368" w:type="pct"/>
            <w:vAlign w:val="center"/>
          </w:tcPr>
          <w:p w:rsidR="00A6004B" w:rsidRPr="009B23A5" w:rsidRDefault="00A6004B" w:rsidP="003A5070">
            <w:pPr>
              <w:rPr>
                <w:sz w:val="18"/>
                <w:lang w:val="en-GB"/>
              </w:rPr>
            </w:pPr>
            <w:r w:rsidRPr="00FD67C9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99552" behindDoc="0" locked="0" layoutInCell="1" allowOverlap="1" wp14:anchorId="15754C99" wp14:editId="500839FC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A6004B" w:rsidRPr="009B23A5" w:rsidRDefault="00A6004B" w:rsidP="003A5070">
            <w:pPr>
              <w:rPr>
                <w:sz w:val="18"/>
                <w:lang w:val="en-GB"/>
              </w:rPr>
            </w:pPr>
            <w:r w:rsidRPr="009B23A5">
              <w:rPr>
                <w:sz w:val="20"/>
                <w:lang w:val="en-GB"/>
              </w:rPr>
              <w:t>www.stat.gov.pl/en/</w:t>
            </w:r>
          </w:p>
        </w:tc>
      </w:tr>
      <w:tr w:rsidR="00A6004B" w:rsidRPr="00FD67C9" w:rsidTr="00F90530">
        <w:trPr>
          <w:trHeight w:val="419"/>
        </w:trPr>
        <w:tc>
          <w:tcPr>
            <w:tcW w:w="2722" w:type="pct"/>
            <w:vMerge/>
            <w:vAlign w:val="center"/>
          </w:tcPr>
          <w:p w:rsidR="00A6004B" w:rsidRPr="009B23A5" w:rsidRDefault="00A6004B" w:rsidP="003A5070">
            <w:pPr>
              <w:rPr>
                <w:sz w:val="18"/>
                <w:lang w:val="en-GB"/>
              </w:rPr>
            </w:pPr>
          </w:p>
        </w:tc>
        <w:tc>
          <w:tcPr>
            <w:tcW w:w="368" w:type="pct"/>
            <w:vAlign w:val="center"/>
          </w:tcPr>
          <w:p w:rsidR="00A6004B" w:rsidRPr="009B23A5" w:rsidRDefault="00A6004B" w:rsidP="003A5070">
            <w:pPr>
              <w:rPr>
                <w:sz w:val="18"/>
                <w:lang w:val="en-GB"/>
              </w:rPr>
            </w:pPr>
            <w:r w:rsidRPr="00FD67C9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01600" behindDoc="0" locked="0" layoutInCell="1" allowOverlap="1" wp14:anchorId="66A55F6C" wp14:editId="714A9B22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A6004B" w:rsidRPr="00FD67C9" w:rsidRDefault="00A6004B" w:rsidP="003A5070">
            <w:pPr>
              <w:rPr>
                <w:sz w:val="18"/>
              </w:rPr>
            </w:pPr>
            <w:r w:rsidRPr="00FD67C9">
              <w:rPr>
                <w:sz w:val="20"/>
              </w:rPr>
              <w:t>@</w:t>
            </w:r>
            <w:proofErr w:type="spellStart"/>
            <w:r w:rsidRPr="00FD67C9">
              <w:rPr>
                <w:sz w:val="20"/>
              </w:rPr>
              <w:t>StatPoland</w:t>
            </w:r>
            <w:proofErr w:type="spellEnd"/>
          </w:p>
        </w:tc>
      </w:tr>
      <w:tr w:rsidR="00A6004B" w:rsidRPr="00FD67C9" w:rsidTr="00F90530">
        <w:trPr>
          <w:trHeight w:val="419"/>
        </w:trPr>
        <w:tc>
          <w:tcPr>
            <w:tcW w:w="2722" w:type="pct"/>
            <w:vMerge/>
            <w:vAlign w:val="center"/>
          </w:tcPr>
          <w:p w:rsidR="00A6004B" w:rsidRPr="00FD67C9" w:rsidRDefault="00A6004B" w:rsidP="003A5070">
            <w:pPr>
              <w:rPr>
                <w:sz w:val="18"/>
              </w:rPr>
            </w:pPr>
          </w:p>
        </w:tc>
        <w:tc>
          <w:tcPr>
            <w:tcW w:w="368" w:type="pct"/>
            <w:vAlign w:val="center"/>
          </w:tcPr>
          <w:p w:rsidR="00A6004B" w:rsidRPr="00FD67C9" w:rsidRDefault="00A6004B" w:rsidP="003A5070">
            <w:pPr>
              <w:rPr>
                <w:sz w:val="18"/>
              </w:rPr>
            </w:pPr>
            <w:r w:rsidRPr="00FD67C9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00576" behindDoc="0" locked="0" layoutInCell="1" allowOverlap="1" wp14:anchorId="562E4C94" wp14:editId="493CB2E4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A6004B" w:rsidRPr="00FD67C9" w:rsidRDefault="00A6004B" w:rsidP="003A5070">
            <w:pPr>
              <w:rPr>
                <w:sz w:val="20"/>
              </w:rPr>
            </w:pPr>
            <w:r w:rsidRPr="00FD67C9">
              <w:rPr>
                <w:sz w:val="20"/>
              </w:rPr>
              <w:t>@</w:t>
            </w:r>
            <w:proofErr w:type="spellStart"/>
            <w:r w:rsidRPr="00FD67C9">
              <w:rPr>
                <w:sz w:val="20"/>
              </w:rPr>
              <w:t>GlownyUrzadStatystyczny</w:t>
            </w:r>
            <w:proofErr w:type="spellEnd"/>
          </w:p>
        </w:tc>
      </w:tr>
    </w:tbl>
    <w:p w:rsidR="007F212D" w:rsidRPr="00A6004B" w:rsidRDefault="007F212D" w:rsidP="00A6004B">
      <w:pPr>
        <w:jc w:val="both"/>
        <w:rPr>
          <w:rFonts w:eastAsia="Fira Sans Light" w:cs="Times New Roman"/>
          <w:szCs w:val="19"/>
          <w:shd w:val="clear" w:color="auto" w:fill="FFFFFF"/>
          <w:lang w:val="en-US"/>
        </w:rPr>
        <w:sectPr w:rsidR="007F212D" w:rsidRPr="00A6004B" w:rsidSect="003B18B6">
          <w:headerReference w:type="default" r:id="rId23"/>
          <w:footerReference w:type="default" r:id="rId24"/>
          <w:headerReference w:type="first" r:id="rId25"/>
          <w:footerReference w:type="first" r:id="rId26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:rsidR="00FD67C9" w:rsidRPr="009B23A5" w:rsidRDefault="00A6004B" w:rsidP="00FD67C9">
      <w:pPr>
        <w:rPr>
          <w:sz w:val="20"/>
          <w:lang w:val="en-GB"/>
        </w:rPr>
      </w:pPr>
      <w:r>
        <w:rPr>
          <w:noProof/>
          <w:sz w:val="18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7C9" w:rsidRPr="00FD67C9" w:rsidRDefault="00FD67C9" w:rsidP="00FD67C9">
                            <w:pPr>
                              <w:rPr>
                                <w:b/>
                              </w:rPr>
                            </w:pPr>
                          </w:p>
                          <w:p w:rsidR="00FD67C9" w:rsidRPr="009B23A5" w:rsidRDefault="00FD67C9" w:rsidP="00FD67C9">
                            <w:pPr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 w:rsidRPr="009B23A5">
                              <w:rPr>
                                <w:b/>
                                <w:lang w:val="en-GB"/>
                              </w:rPr>
                              <w:t>Related information</w:t>
                            </w:r>
                          </w:p>
                          <w:p w:rsidR="00FD67C9" w:rsidRPr="009B23A5" w:rsidRDefault="0037443F" w:rsidP="00FD67C9">
                            <w:pPr>
                              <w:rPr>
                                <w:lang w:val="en-GB"/>
                              </w:rPr>
                            </w:pPr>
                            <w:hyperlink r:id="rId27" w:tooltip="Construction results in 2017" w:history="1">
                              <w:r w:rsidR="005D31D0" w:rsidRPr="00850354">
                                <w:rPr>
                                  <w:color w:val="0000FF"/>
                                  <w:u w:val="single"/>
                                  <w:lang w:val="en-US"/>
                                </w:rPr>
                                <w:t>Construction results in 2017</w:t>
                              </w:r>
                            </w:hyperlink>
                          </w:p>
                          <w:p w:rsidR="00FD67C9" w:rsidRPr="009B23A5" w:rsidRDefault="00FD67C9" w:rsidP="00FD67C9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r w:rsidRPr="009B23A5"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Data available in databases</w:t>
                            </w:r>
                          </w:p>
                          <w:p w:rsidR="00FD67C9" w:rsidRPr="009B23A5" w:rsidRDefault="0037443F" w:rsidP="00FD67C9">
                            <w:pPr>
                              <w:rPr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hyperlink r:id="rId28" w:history="1">
                              <w:r w:rsidR="00FD67C9" w:rsidRPr="009B23A5">
                                <w:rPr>
                                  <w:color w:val="0000FF"/>
                                  <w:szCs w:val="24"/>
                                  <w:u w:val="single"/>
                                  <w:lang w:val="en-GB"/>
                                </w:rPr>
                                <w:t>Knowledge Databases Construction</w:t>
                              </w:r>
                            </w:hyperlink>
                          </w:p>
                          <w:p w:rsidR="00FD67C9" w:rsidRPr="009B23A5" w:rsidRDefault="0037443F" w:rsidP="00FD67C9">
                            <w:pPr>
                              <w:rPr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hyperlink r:id="rId29" w:history="1">
                              <w:r w:rsidR="00FD67C9" w:rsidRPr="009B23A5">
                                <w:rPr>
                                  <w:color w:val="0000FF"/>
                                  <w:szCs w:val="24"/>
                                  <w:u w:val="single"/>
                                  <w:lang w:val="en-GB"/>
                                </w:rPr>
                                <w:t>Local Data Bank</w:t>
                              </w:r>
                            </w:hyperlink>
                          </w:p>
                          <w:p w:rsidR="00FD67C9" w:rsidRPr="009B23A5" w:rsidRDefault="00FD67C9" w:rsidP="00FD67C9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r w:rsidRPr="009B23A5"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Terms used in official statistics</w:t>
                            </w:r>
                          </w:p>
                          <w:p w:rsidR="00FD67C9" w:rsidRPr="00ED7CB9" w:rsidRDefault="0037443F" w:rsidP="00FD67C9">
                            <w:pPr>
                              <w:rPr>
                                <w:lang w:val="en-US"/>
                              </w:rPr>
                            </w:pPr>
                            <w:hyperlink r:id="rId30" w:history="1">
                              <w:r w:rsidR="00FD67C9" w:rsidRPr="009B23A5">
                                <w:rPr>
                                  <w:color w:val="0000FF"/>
                                  <w:szCs w:val="24"/>
                                  <w:u w:val="single"/>
                                  <w:lang w:val="en-GB"/>
                                </w:rPr>
                                <w:t>Building</w:t>
                              </w:r>
                            </w:hyperlink>
                          </w:p>
                          <w:p w:rsidR="00F7626B" w:rsidRPr="00DB74B4" w:rsidRDefault="00DB74B4" w:rsidP="00FD67C9">
                            <w:pPr>
                              <w:rPr>
                                <w:rStyle w:val="Hipercze"/>
                                <w:rFonts w:cstheme="minorBidi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fldChar w:fldCharType="begin"/>
                            </w:r>
                            <w:r>
                              <w:rPr>
                                <w:lang w:val="en-GB"/>
                              </w:rPr>
                              <w:instrText xml:space="preserve"> HYPERLINK "http://stat.gov.pl/en/metainformations/glossary/terms-used-in-official-statistics/1021,term.html" </w:instrText>
                            </w:r>
                            <w:r>
                              <w:rPr>
                                <w:lang w:val="en-GB"/>
                              </w:rPr>
                              <w:fldChar w:fldCharType="separate"/>
                            </w:r>
                            <w:r w:rsidR="00F7626B" w:rsidRPr="00DB74B4">
                              <w:rPr>
                                <w:rStyle w:val="Hipercze"/>
                                <w:rFonts w:cstheme="minorBidi"/>
                                <w:lang w:val="en-GB"/>
                              </w:rPr>
                              <w:t>Non-residential building</w:t>
                            </w:r>
                          </w:p>
                          <w:p w:rsidR="00FD67C9" w:rsidRPr="009B23A5" w:rsidRDefault="00DB74B4" w:rsidP="00FD67C9">
                            <w:pPr>
                              <w:rPr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fldChar w:fldCharType="end"/>
                            </w:r>
                            <w:hyperlink r:id="rId31" w:history="1">
                              <w:r w:rsidR="00FD67C9" w:rsidRPr="009B23A5">
                                <w:rPr>
                                  <w:color w:val="0000FF"/>
                                  <w:szCs w:val="24"/>
                                  <w:u w:val="single"/>
                                  <w:lang w:val="en-GB"/>
                                </w:rPr>
                                <w:t>Non-residential building completed</w:t>
                              </w:r>
                            </w:hyperlink>
                          </w:p>
                          <w:p w:rsidR="00FD67C9" w:rsidRPr="009B23A5" w:rsidRDefault="0037443F" w:rsidP="00FD67C9">
                            <w:pPr>
                              <w:rPr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hyperlink r:id="rId32" w:history="1">
                              <w:r w:rsidR="00FD67C9" w:rsidRPr="009B23A5">
                                <w:rPr>
                                  <w:color w:val="0000FF"/>
                                  <w:szCs w:val="24"/>
                                  <w:u w:val="single"/>
                                  <w:lang w:val="en-GB"/>
                                </w:rPr>
                                <w:t>Civil engineering works</w:t>
                              </w:r>
                            </w:hyperlink>
                          </w:p>
                          <w:p w:rsidR="00FD67C9" w:rsidRPr="009B23A5" w:rsidRDefault="0037443F" w:rsidP="00FD67C9">
                            <w:pPr>
                              <w:rPr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hyperlink r:id="rId33" w:history="1">
                              <w:r w:rsidR="00FD67C9" w:rsidRPr="009B23A5">
                                <w:rPr>
                                  <w:color w:val="0000FF"/>
                                  <w:szCs w:val="24"/>
                                  <w:u w:val="single"/>
                                  <w:lang w:val="en-GB"/>
                                </w:rPr>
                                <w:t>Building permit and registration with a construction project</w:t>
                              </w:r>
                            </w:hyperlink>
                          </w:p>
                          <w:p w:rsidR="00AB6D25" w:rsidRPr="009B23A5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11pt;width:516.5pt;height:349.85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" fillcolor="#f2f2f2 [3052]" strokecolor="white [3212]">
                <v:textbox>
                  <w:txbxContent>
                    <w:p w:rsidR="00FD67C9" w:rsidRPr="00FD67C9" w:rsidRDefault="00FD67C9" w:rsidP="00FD67C9">
                      <w:pPr>
                        <w:rPr>
                          <w:b/>
                        </w:rPr>
                      </w:pPr>
                    </w:p>
                    <w:p w:rsidR="00FD67C9" w:rsidRPr="009B23A5" w:rsidRDefault="00FD67C9" w:rsidP="00FD67C9">
                      <w:pPr>
                        <w:rPr>
                          <w:b/>
                          <w:u w:val="single"/>
                          <w:lang w:val="en-GB"/>
                        </w:rPr>
                      </w:pPr>
                      <w:r w:rsidRPr="009B23A5">
                        <w:rPr>
                          <w:b/>
                          <w:lang w:val="en-GB"/>
                        </w:rPr>
                        <w:t>Related information</w:t>
                      </w:r>
                    </w:p>
                    <w:p w:rsidR="00FD67C9" w:rsidRPr="009B23A5" w:rsidRDefault="00CD61C0" w:rsidP="00FD67C9">
                      <w:pPr>
                        <w:rPr>
                          <w:lang w:val="en-GB"/>
                        </w:rPr>
                      </w:pPr>
                      <w:hyperlink r:id="rId34" w:tooltip="Construction results in 2017" w:history="1">
                        <w:r w:rsidR="005D31D0" w:rsidRPr="00850354">
                          <w:rPr>
                            <w:color w:val="0000FF"/>
                            <w:u w:val="single"/>
                            <w:lang w:val="en-US"/>
                          </w:rPr>
                          <w:t>Construction results in 2017</w:t>
                        </w:r>
                      </w:hyperlink>
                    </w:p>
                    <w:p w:rsidR="00FD67C9" w:rsidRPr="009B23A5" w:rsidRDefault="00FD67C9" w:rsidP="00FD67C9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  <w:r w:rsidRPr="009B23A5"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  <w:t>Data available in databases</w:t>
                      </w:r>
                    </w:p>
                    <w:p w:rsidR="00FD67C9" w:rsidRPr="009B23A5" w:rsidRDefault="00CD61C0" w:rsidP="00FD67C9">
                      <w:pPr>
                        <w:rPr>
                          <w:color w:val="000000" w:themeColor="text1"/>
                          <w:szCs w:val="24"/>
                          <w:lang w:val="en-GB"/>
                        </w:rPr>
                      </w:pPr>
                      <w:hyperlink r:id="rId35" w:history="1">
                        <w:r w:rsidR="00FD67C9" w:rsidRPr="009B23A5">
                          <w:rPr>
                            <w:color w:val="0000FF"/>
                            <w:szCs w:val="24"/>
                            <w:u w:val="single"/>
                            <w:lang w:val="en-GB"/>
                          </w:rPr>
                          <w:t>Knowledge Databases Construction</w:t>
                        </w:r>
                      </w:hyperlink>
                    </w:p>
                    <w:p w:rsidR="00FD67C9" w:rsidRPr="009B23A5" w:rsidRDefault="00CD61C0" w:rsidP="00FD67C9">
                      <w:pPr>
                        <w:rPr>
                          <w:color w:val="000000" w:themeColor="text1"/>
                          <w:szCs w:val="24"/>
                          <w:lang w:val="en-GB"/>
                        </w:rPr>
                      </w:pPr>
                      <w:hyperlink r:id="rId36" w:history="1">
                        <w:r w:rsidR="00FD67C9" w:rsidRPr="009B23A5">
                          <w:rPr>
                            <w:color w:val="0000FF"/>
                            <w:szCs w:val="24"/>
                            <w:u w:val="single"/>
                            <w:lang w:val="en-GB"/>
                          </w:rPr>
                          <w:t>Local Data Bank</w:t>
                        </w:r>
                      </w:hyperlink>
                    </w:p>
                    <w:p w:rsidR="00FD67C9" w:rsidRPr="009B23A5" w:rsidRDefault="00FD67C9" w:rsidP="00FD67C9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  <w:r w:rsidRPr="009B23A5"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  <w:t>Terms used in official statistics</w:t>
                      </w:r>
                    </w:p>
                    <w:p w:rsidR="00FD67C9" w:rsidRPr="00ED7CB9" w:rsidRDefault="00CD61C0" w:rsidP="00FD67C9">
                      <w:pPr>
                        <w:rPr>
                          <w:lang w:val="en-US"/>
                        </w:rPr>
                      </w:pPr>
                      <w:hyperlink r:id="rId37" w:history="1">
                        <w:r w:rsidR="00FD67C9" w:rsidRPr="009B23A5">
                          <w:rPr>
                            <w:color w:val="0000FF"/>
                            <w:szCs w:val="24"/>
                            <w:u w:val="single"/>
                            <w:lang w:val="en-GB"/>
                          </w:rPr>
                          <w:t>Building</w:t>
                        </w:r>
                      </w:hyperlink>
                    </w:p>
                    <w:p w:rsidR="00F7626B" w:rsidRPr="00DB74B4" w:rsidRDefault="00DB74B4" w:rsidP="00FD67C9">
                      <w:pPr>
                        <w:rPr>
                          <w:rStyle w:val="Hipercze"/>
                          <w:rFonts w:cstheme="minorBidi"/>
                          <w:szCs w:val="24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fldChar w:fldCharType="begin"/>
                      </w:r>
                      <w:r>
                        <w:rPr>
                          <w:lang w:val="en-GB"/>
                        </w:rPr>
                        <w:instrText xml:space="preserve"> HYPERLINK "http://stat.gov.pl/en/metainformations/glossary/terms-used-in-official-statistics/1021,term.html" </w:instrText>
                      </w:r>
                      <w:r>
                        <w:rPr>
                          <w:lang w:val="en-GB"/>
                        </w:rPr>
                        <w:fldChar w:fldCharType="separate"/>
                      </w:r>
                      <w:r w:rsidR="00F7626B" w:rsidRPr="00DB74B4">
                        <w:rPr>
                          <w:rStyle w:val="Hipercze"/>
                          <w:rFonts w:cstheme="minorBidi"/>
                          <w:lang w:val="en-GB"/>
                        </w:rPr>
                        <w:t>Non-residential building</w:t>
                      </w:r>
                    </w:p>
                    <w:p w:rsidR="00FD67C9" w:rsidRPr="009B23A5" w:rsidRDefault="00DB74B4" w:rsidP="00FD67C9">
                      <w:pPr>
                        <w:rPr>
                          <w:color w:val="000000" w:themeColor="text1"/>
                          <w:szCs w:val="24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fldChar w:fldCharType="end"/>
                      </w:r>
                      <w:hyperlink r:id="rId38" w:history="1">
                        <w:r w:rsidR="00FD67C9" w:rsidRPr="009B23A5">
                          <w:rPr>
                            <w:color w:val="0000FF"/>
                            <w:szCs w:val="24"/>
                            <w:u w:val="single"/>
                            <w:lang w:val="en-GB"/>
                          </w:rPr>
                          <w:t>Non-residential building completed</w:t>
                        </w:r>
                      </w:hyperlink>
                    </w:p>
                    <w:p w:rsidR="00FD67C9" w:rsidRPr="009B23A5" w:rsidRDefault="00CD61C0" w:rsidP="00FD67C9">
                      <w:pPr>
                        <w:rPr>
                          <w:color w:val="000000" w:themeColor="text1"/>
                          <w:szCs w:val="24"/>
                          <w:lang w:val="en-GB"/>
                        </w:rPr>
                      </w:pPr>
                      <w:hyperlink r:id="rId39" w:history="1">
                        <w:r w:rsidR="00FD67C9" w:rsidRPr="009B23A5">
                          <w:rPr>
                            <w:color w:val="0000FF"/>
                            <w:szCs w:val="24"/>
                            <w:u w:val="single"/>
                            <w:lang w:val="en-GB"/>
                          </w:rPr>
                          <w:t>Civil engineering works</w:t>
                        </w:r>
                      </w:hyperlink>
                    </w:p>
                    <w:p w:rsidR="00FD67C9" w:rsidRPr="009B23A5" w:rsidRDefault="00CD61C0" w:rsidP="00FD67C9">
                      <w:pPr>
                        <w:rPr>
                          <w:color w:val="000000" w:themeColor="text1"/>
                          <w:szCs w:val="24"/>
                          <w:lang w:val="en-GB"/>
                        </w:rPr>
                      </w:pPr>
                      <w:hyperlink r:id="rId40" w:history="1">
                        <w:r w:rsidR="00FD67C9" w:rsidRPr="009B23A5">
                          <w:rPr>
                            <w:color w:val="0000FF"/>
                            <w:szCs w:val="24"/>
                            <w:u w:val="single"/>
                            <w:lang w:val="en-GB"/>
                          </w:rPr>
                          <w:t>Building permit and registration with a construction project</w:t>
                        </w:r>
                      </w:hyperlink>
                    </w:p>
                    <w:p w:rsidR="00AB6D25" w:rsidRPr="009B23A5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D67C9" w:rsidRPr="009B23A5" w:rsidRDefault="00FD67C9" w:rsidP="00FD67C9">
      <w:pPr>
        <w:rPr>
          <w:sz w:val="18"/>
          <w:lang w:val="en-GB"/>
        </w:rPr>
      </w:pPr>
    </w:p>
    <w:p w:rsidR="000470AA" w:rsidRDefault="000470AA" w:rsidP="000470AA">
      <w:pPr>
        <w:rPr>
          <w:sz w:val="18"/>
        </w:rPr>
      </w:pPr>
    </w:p>
    <w:p w:rsidR="00D261A2" w:rsidRPr="00001C5B" w:rsidRDefault="00D261A2" w:rsidP="00E76D26">
      <w:pPr>
        <w:rPr>
          <w:sz w:val="18"/>
        </w:rPr>
      </w:pPr>
    </w:p>
    <w:sectPr w:rsidR="00D261A2" w:rsidRPr="00001C5B" w:rsidSect="003B18B6">
      <w:headerReference w:type="default" r:id="rId41"/>
      <w:footerReference w:type="default" r:id="rId42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43F" w:rsidRDefault="0037443F" w:rsidP="000662E2">
      <w:pPr>
        <w:spacing w:after="0" w:line="240" w:lineRule="auto"/>
      </w:pPr>
      <w:r>
        <w:separator/>
      </w:r>
    </w:p>
  </w:endnote>
  <w:endnote w:type="continuationSeparator" w:id="0">
    <w:p w:rsidR="0037443F" w:rsidRDefault="0037443F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1965161"/>
      <w:docPartObj>
        <w:docPartGallery w:val="Page Numbers (Bottom of Page)"/>
        <w:docPartUnique/>
      </w:docPartObj>
    </w:sdtPr>
    <w:sdtEndPr/>
    <w:sdtContent>
      <w:p w:rsidR="00EB556D" w:rsidRDefault="007B4D46" w:rsidP="003B18B6">
        <w:pPr>
          <w:pStyle w:val="Stopka"/>
          <w:jc w:val="center"/>
        </w:pPr>
        <w:r>
          <w:fldChar w:fldCharType="begin"/>
        </w:r>
        <w:r w:rsidR="00541E6E">
          <w:instrText>PAGE   \* MERGEFORMAT</w:instrText>
        </w:r>
        <w:r>
          <w:fldChar w:fldCharType="separate"/>
        </w:r>
        <w:r w:rsidR="0095125E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986" w:rsidRDefault="00025986" w:rsidP="00ED7CB9">
    <w:pPr>
      <w:pStyle w:val="Stopka"/>
      <w:jc w:val="center"/>
    </w:pPr>
    <w:r>
      <w:t>1</w:t>
    </w:r>
  </w:p>
  <w:p w:rsidR="00EB556D" w:rsidRDefault="00EB556D" w:rsidP="003B18B6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8B6" w:rsidRDefault="007B4D46" w:rsidP="003B18B6">
    <w:pPr>
      <w:pStyle w:val="Stopka"/>
      <w:jc w:val="center"/>
    </w:pPr>
    <w:r>
      <w:fldChar w:fldCharType="begin"/>
    </w:r>
    <w:r w:rsidR="003B18B6">
      <w:instrText>PAGE   \* MERGEFORMAT</w:instrText>
    </w:r>
    <w:r>
      <w:fldChar w:fldCharType="separate"/>
    </w:r>
    <w:r w:rsidR="0095125E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43F" w:rsidRDefault="0037443F" w:rsidP="000662E2">
      <w:pPr>
        <w:spacing w:after="0" w:line="240" w:lineRule="auto"/>
      </w:pPr>
      <w:r>
        <w:separator/>
      </w:r>
    </w:p>
  </w:footnote>
  <w:footnote w:type="continuationSeparator" w:id="0">
    <w:p w:rsidR="0037443F" w:rsidRDefault="0037443F" w:rsidP="000662E2">
      <w:pPr>
        <w:spacing w:after="0" w:line="240" w:lineRule="auto"/>
      </w:pPr>
      <w:r>
        <w:continuationSeparator/>
      </w:r>
    </w:p>
  </w:footnote>
  <w:footnote w:id="1">
    <w:p w:rsidR="00ED7CB9" w:rsidRPr="007D597D" w:rsidRDefault="00ED7CB9" w:rsidP="00ED7CB9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7D597D">
        <w:rPr>
          <w:lang w:val="en-US"/>
        </w:rPr>
        <w:t xml:space="preserve"> </w:t>
      </w:r>
      <w:r w:rsidR="007D597D" w:rsidRPr="007D597D">
        <w:rPr>
          <w:rFonts w:eastAsia="Calibri"/>
          <w:sz w:val="16"/>
          <w:lang w:val="en-US"/>
        </w:rPr>
        <w:t xml:space="preserve">Whenever the note refers to </w:t>
      </w:r>
      <w:r w:rsidR="007D597D" w:rsidRPr="007D597D">
        <w:rPr>
          <w:rFonts w:eastAsia="Calibri"/>
          <w:b/>
          <w:sz w:val="16"/>
          <w:lang w:val="en-US"/>
        </w:rPr>
        <w:t>the useful floor area of non-residential buildings completed</w:t>
      </w:r>
      <w:r w:rsidR="007D597D" w:rsidRPr="007D597D">
        <w:rPr>
          <w:rFonts w:eastAsia="Calibri"/>
          <w:sz w:val="16"/>
          <w:lang w:val="en-US"/>
        </w:rPr>
        <w:t xml:space="preserve"> - it should be understood as the sum of useful floor area of new buildings and new parts of extended buildings</w:t>
      </w:r>
      <w:r w:rsidRPr="007D597D">
        <w:rPr>
          <w:rFonts w:eastAsia="Calibri"/>
          <w:sz w:val="16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2E2" w:rsidRDefault="00F23C3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1FD673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77A" w:rsidRDefault="0050071B" w:rsidP="0034677A">
    <w:pPr>
      <w:pStyle w:val="Nagwek"/>
      <w:tabs>
        <w:tab w:val="clear" w:pos="4536"/>
        <w:tab w:val="clear" w:pos="9072"/>
        <w:tab w:val="left" w:pos="6510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162560</wp:posOffset>
          </wp:positionV>
          <wp:extent cx="2505075" cy="414655"/>
          <wp:effectExtent l="0" t="0" r="0" b="0"/>
          <wp:wrapSquare wrapText="bothSides"/>
          <wp:docPr id="5" name="Obraz 5" descr="C:\Users\zawistowskaB\AppData\Local\Microsoft\Windows\INetCache\Content.Word\lo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zawistowskaB\AppData\Local\Microsoft\Windows\INetCache\Content.Word\lo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23C3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7172" w:rsidRPr="003C6C8D" w:rsidRDefault="0073223E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34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F37172" w:rsidRPr="003C6C8D" w:rsidRDefault="0073223E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 w:rsidR="00F23C3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13BCAD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aB0mYN8AAAAM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  <w:r w:rsidR="0034677A">
      <w:rPr>
        <w:noProof/>
        <w:lang w:eastAsia="pl-PL"/>
      </w:rPr>
      <w:tab/>
    </w:r>
  </w:p>
  <w:p w:rsidR="0050071B" w:rsidRDefault="0050071B">
    <w:pPr>
      <w:pStyle w:val="Nagwek"/>
      <w:rPr>
        <w:noProof/>
        <w:lang w:eastAsia="pl-PL"/>
      </w:rPr>
    </w:pPr>
  </w:p>
  <w:p w:rsidR="0050071B" w:rsidRDefault="0050071B">
    <w:pPr>
      <w:pStyle w:val="Nagwek"/>
      <w:rPr>
        <w:noProof/>
        <w:lang w:eastAsia="pl-PL"/>
      </w:rPr>
    </w:pPr>
  </w:p>
  <w:p w:rsidR="00F32749" w:rsidRDefault="00F23C36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7172" w:rsidRPr="00C97596" w:rsidRDefault="00546BEB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 w:rsidR="008136CC">
                            <w:rPr>
                              <w:rFonts w:ascii="Fira Sans SemiBold" w:hAnsi="Fira Sans SemiBold"/>
                              <w:color w:val="001D77"/>
                            </w:rPr>
                            <w:t>7</w:t>
                          </w:r>
                          <w:r w:rsidR="00C77835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 w:rsidR="008136CC">
                            <w:rPr>
                              <w:rFonts w:ascii="Fira Sans SemiBold" w:hAnsi="Fira Sans SemiBold"/>
                              <w:color w:val="001D77"/>
                            </w:rPr>
                            <w:t>9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2018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F37172" w:rsidRPr="00C97596" w:rsidRDefault="00546BEB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 w:rsidR="008136CC">
                      <w:rPr>
                        <w:rFonts w:ascii="Fira Sans SemiBold" w:hAnsi="Fira Sans SemiBold"/>
                        <w:color w:val="001D77"/>
                      </w:rPr>
                      <w:t>7</w:t>
                    </w:r>
                    <w:r w:rsidR="00C77835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 w:rsidR="008136CC">
                      <w:rPr>
                        <w:rFonts w:ascii="Fira Sans SemiBold" w:hAnsi="Fira Sans SemiBold"/>
                        <w:color w:val="001D77"/>
                      </w:rPr>
                      <w:t>9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2018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C5" w:rsidRDefault="00607CC5">
    <w:pPr>
      <w:pStyle w:val="Nagwek"/>
    </w:pPr>
  </w:p>
  <w:p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3.05pt;height:125.4pt;visibility:visible;mso-wrap-style:square" o:bullet="t">
        <v:imagedata r:id="rId1" o:title=""/>
      </v:shape>
    </w:pict>
  </w:numPicBullet>
  <w:numPicBullet w:numPicBulletId="1">
    <w:pict>
      <v:shape id="_x0000_i1039" type="#_x0000_t75" style="width:123.05pt;height:125.4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0F342B1"/>
    <w:multiLevelType w:val="hybridMultilevel"/>
    <w:tmpl w:val="96DE3F0E"/>
    <w:lvl w:ilvl="0" w:tplc="D1343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25B6"/>
    <w:rsid w:val="00003437"/>
    <w:rsid w:val="0000709F"/>
    <w:rsid w:val="000108B8"/>
    <w:rsid w:val="000152F5"/>
    <w:rsid w:val="00022036"/>
    <w:rsid w:val="00025986"/>
    <w:rsid w:val="00026A99"/>
    <w:rsid w:val="00034A5C"/>
    <w:rsid w:val="00036BE6"/>
    <w:rsid w:val="00043241"/>
    <w:rsid w:val="0004582E"/>
    <w:rsid w:val="000470AA"/>
    <w:rsid w:val="000516E1"/>
    <w:rsid w:val="00056D3B"/>
    <w:rsid w:val="0005721E"/>
    <w:rsid w:val="000576F4"/>
    <w:rsid w:val="00057CA1"/>
    <w:rsid w:val="000662E2"/>
    <w:rsid w:val="00066883"/>
    <w:rsid w:val="0007460B"/>
    <w:rsid w:val="00074DD8"/>
    <w:rsid w:val="000806F7"/>
    <w:rsid w:val="00081FD0"/>
    <w:rsid w:val="000879B3"/>
    <w:rsid w:val="0009559B"/>
    <w:rsid w:val="00097570"/>
    <w:rsid w:val="000A0BA1"/>
    <w:rsid w:val="000B0727"/>
    <w:rsid w:val="000B41CB"/>
    <w:rsid w:val="000B7822"/>
    <w:rsid w:val="000C0DD6"/>
    <w:rsid w:val="000C135D"/>
    <w:rsid w:val="000D1D43"/>
    <w:rsid w:val="000D225C"/>
    <w:rsid w:val="000D2A5C"/>
    <w:rsid w:val="000D46A5"/>
    <w:rsid w:val="000E0918"/>
    <w:rsid w:val="000E3CE1"/>
    <w:rsid w:val="000E5C7E"/>
    <w:rsid w:val="000F2CB4"/>
    <w:rsid w:val="000F5E5E"/>
    <w:rsid w:val="001011C3"/>
    <w:rsid w:val="0011084C"/>
    <w:rsid w:val="00110D87"/>
    <w:rsid w:val="00114DB9"/>
    <w:rsid w:val="00116087"/>
    <w:rsid w:val="00120FA2"/>
    <w:rsid w:val="00123EB6"/>
    <w:rsid w:val="00130296"/>
    <w:rsid w:val="00141743"/>
    <w:rsid w:val="001423B6"/>
    <w:rsid w:val="001448A7"/>
    <w:rsid w:val="001454DA"/>
    <w:rsid w:val="00146621"/>
    <w:rsid w:val="00150ED0"/>
    <w:rsid w:val="0015262E"/>
    <w:rsid w:val="00162325"/>
    <w:rsid w:val="00176FD7"/>
    <w:rsid w:val="00181D3A"/>
    <w:rsid w:val="00193360"/>
    <w:rsid w:val="001951DA"/>
    <w:rsid w:val="001B5D42"/>
    <w:rsid w:val="001B5EA6"/>
    <w:rsid w:val="001C1A68"/>
    <w:rsid w:val="001C3269"/>
    <w:rsid w:val="001D11E3"/>
    <w:rsid w:val="001D1DB4"/>
    <w:rsid w:val="001D1F48"/>
    <w:rsid w:val="001D2736"/>
    <w:rsid w:val="001E5838"/>
    <w:rsid w:val="001E5D60"/>
    <w:rsid w:val="001F430A"/>
    <w:rsid w:val="001F6D3E"/>
    <w:rsid w:val="002034A6"/>
    <w:rsid w:val="00204D1B"/>
    <w:rsid w:val="002176A7"/>
    <w:rsid w:val="00222226"/>
    <w:rsid w:val="00223CE0"/>
    <w:rsid w:val="00232CA2"/>
    <w:rsid w:val="002335F3"/>
    <w:rsid w:val="00250A15"/>
    <w:rsid w:val="002574F9"/>
    <w:rsid w:val="00262B61"/>
    <w:rsid w:val="00263F23"/>
    <w:rsid w:val="00276811"/>
    <w:rsid w:val="00277E53"/>
    <w:rsid w:val="002814D6"/>
    <w:rsid w:val="00282699"/>
    <w:rsid w:val="00282CDE"/>
    <w:rsid w:val="00283DD6"/>
    <w:rsid w:val="002922B2"/>
    <w:rsid w:val="002926DF"/>
    <w:rsid w:val="00296697"/>
    <w:rsid w:val="002A1886"/>
    <w:rsid w:val="002B0472"/>
    <w:rsid w:val="002B6B12"/>
    <w:rsid w:val="002B7FBC"/>
    <w:rsid w:val="002C71C5"/>
    <w:rsid w:val="002D021D"/>
    <w:rsid w:val="002D70A3"/>
    <w:rsid w:val="002E2927"/>
    <w:rsid w:val="002E6140"/>
    <w:rsid w:val="002E6985"/>
    <w:rsid w:val="002E71B6"/>
    <w:rsid w:val="002F1E9D"/>
    <w:rsid w:val="002F77C8"/>
    <w:rsid w:val="00304F22"/>
    <w:rsid w:val="00306C7C"/>
    <w:rsid w:val="00315F4E"/>
    <w:rsid w:val="003161FB"/>
    <w:rsid w:val="00322EDD"/>
    <w:rsid w:val="00332320"/>
    <w:rsid w:val="00334F4E"/>
    <w:rsid w:val="00335CC4"/>
    <w:rsid w:val="0034048F"/>
    <w:rsid w:val="00340A55"/>
    <w:rsid w:val="0034677A"/>
    <w:rsid w:val="003479FA"/>
    <w:rsid w:val="00347D72"/>
    <w:rsid w:val="0035614F"/>
    <w:rsid w:val="00356FEB"/>
    <w:rsid w:val="0035723B"/>
    <w:rsid w:val="00357611"/>
    <w:rsid w:val="00367237"/>
    <w:rsid w:val="0037077F"/>
    <w:rsid w:val="00372411"/>
    <w:rsid w:val="00373882"/>
    <w:rsid w:val="0037443F"/>
    <w:rsid w:val="0037595C"/>
    <w:rsid w:val="003843DB"/>
    <w:rsid w:val="003905A3"/>
    <w:rsid w:val="003907EF"/>
    <w:rsid w:val="00393761"/>
    <w:rsid w:val="00394058"/>
    <w:rsid w:val="00396D88"/>
    <w:rsid w:val="00397D18"/>
    <w:rsid w:val="003A1B36"/>
    <w:rsid w:val="003A5070"/>
    <w:rsid w:val="003A5E54"/>
    <w:rsid w:val="003A65D5"/>
    <w:rsid w:val="003B0B72"/>
    <w:rsid w:val="003B1454"/>
    <w:rsid w:val="003B18B6"/>
    <w:rsid w:val="003B474F"/>
    <w:rsid w:val="003C17A0"/>
    <w:rsid w:val="003C3C00"/>
    <w:rsid w:val="003C59E0"/>
    <w:rsid w:val="003C6C8D"/>
    <w:rsid w:val="003D3123"/>
    <w:rsid w:val="003D4F95"/>
    <w:rsid w:val="003D5F42"/>
    <w:rsid w:val="003D60A9"/>
    <w:rsid w:val="003E2FFB"/>
    <w:rsid w:val="003E4A4B"/>
    <w:rsid w:val="003E7C15"/>
    <w:rsid w:val="003F05A8"/>
    <w:rsid w:val="003F1A93"/>
    <w:rsid w:val="003F2104"/>
    <w:rsid w:val="003F4C97"/>
    <w:rsid w:val="003F7FE6"/>
    <w:rsid w:val="00400193"/>
    <w:rsid w:val="00402C53"/>
    <w:rsid w:val="004211D9"/>
    <w:rsid w:val="004212E7"/>
    <w:rsid w:val="0042446D"/>
    <w:rsid w:val="00426FB0"/>
    <w:rsid w:val="00427BF8"/>
    <w:rsid w:val="00431C02"/>
    <w:rsid w:val="00437395"/>
    <w:rsid w:val="00445047"/>
    <w:rsid w:val="004577F3"/>
    <w:rsid w:val="00463E39"/>
    <w:rsid w:val="004657FC"/>
    <w:rsid w:val="00466A2B"/>
    <w:rsid w:val="004733F6"/>
    <w:rsid w:val="00474E69"/>
    <w:rsid w:val="004818AA"/>
    <w:rsid w:val="00494D69"/>
    <w:rsid w:val="0049621B"/>
    <w:rsid w:val="004B064D"/>
    <w:rsid w:val="004B4D29"/>
    <w:rsid w:val="004C1895"/>
    <w:rsid w:val="004C2358"/>
    <w:rsid w:val="004C5558"/>
    <w:rsid w:val="004C6D40"/>
    <w:rsid w:val="004F0C3C"/>
    <w:rsid w:val="004F457C"/>
    <w:rsid w:val="004F63FC"/>
    <w:rsid w:val="0050031E"/>
    <w:rsid w:val="0050071B"/>
    <w:rsid w:val="00502609"/>
    <w:rsid w:val="005029C6"/>
    <w:rsid w:val="00505A92"/>
    <w:rsid w:val="00510D19"/>
    <w:rsid w:val="005138A5"/>
    <w:rsid w:val="005203F1"/>
    <w:rsid w:val="0052140D"/>
    <w:rsid w:val="00521BC3"/>
    <w:rsid w:val="005229B9"/>
    <w:rsid w:val="00533632"/>
    <w:rsid w:val="00541E6E"/>
    <w:rsid w:val="0054251F"/>
    <w:rsid w:val="00546BEB"/>
    <w:rsid w:val="005520D8"/>
    <w:rsid w:val="00556CF1"/>
    <w:rsid w:val="005762A7"/>
    <w:rsid w:val="00582EF5"/>
    <w:rsid w:val="005916D7"/>
    <w:rsid w:val="005A698C"/>
    <w:rsid w:val="005B32EC"/>
    <w:rsid w:val="005B4630"/>
    <w:rsid w:val="005B50FB"/>
    <w:rsid w:val="005C17F8"/>
    <w:rsid w:val="005C1FFA"/>
    <w:rsid w:val="005D31D0"/>
    <w:rsid w:val="005E0799"/>
    <w:rsid w:val="005E5B44"/>
    <w:rsid w:val="005E5EDB"/>
    <w:rsid w:val="005F5A80"/>
    <w:rsid w:val="00602793"/>
    <w:rsid w:val="006028EC"/>
    <w:rsid w:val="006044FF"/>
    <w:rsid w:val="00606102"/>
    <w:rsid w:val="00607CC5"/>
    <w:rsid w:val="006114B8"/>
    <w:rsid w:val="006218C2"/>
    <w:rsid w:val="00624DC4"/>
    <w:rsid w:val="00626CDF"/>
    <w:rsid w:val="006325C8"/>
    <w:rsid w:val="00633014"/>
    <w:rsid w:val="0063437B"/>
    <w:rsid w:val="00635289"/>
    <w:rsid w:val="00637522"/>
    <w:rsid w:val="00644B1F"/>
    <w:rsid w:val="0065398C"/>
    <w:rsid w:val="0065437F"/>
    <w:rsid w:val="006613B8"/>
    <w:rsid w:val="006673CA"/>
    <w:rsid w:val="00673C26"/>
    <w:rsid w:val="006769F9"/>
    <w:rsid w:val="006812AF"/>
    <w:rsid w:val="0068327D"/>
    <w:rsid w:val="00694AF0"/>
    <w:rsid w:val="006A4686"/>
    <w:rsid w:val="006A4A42"/>
    <w:rsid w:val="006B0E9E"/>
    <w:rsid w:val="006B5AE4"/>
    <w:rsid w:val="006C099D"/>
    <w:rsid w:val="006C2CE8"/>
    <w:rsid w:val="006C53AD"/>
    <w:rsid w:val="006D1507"/>
    <w:rsid w:val="006D4054"/>
    <w:rsid w:val="006E02EC"/>
    <w:rsid w:val="006E3064"/>
    <w:rsid w:val="006E59F8"/>
    <w:rsid w:val="00704FB3"/>
    <w:rsid w:val="00707CF1"/>
    <w:rsid w:val="007211B1"/>
    <w:rsid w:val="00730314"/>
    <w:rsid w:val="0073223E"/>
    <w:rsid w:val="00732CCF"/>
    <w:rsid w:val="00732E7F"/>
    <w:rsid w:val="0073731F"/>
    <w:rsid w:val="00743156"/>
    <w:rsid w:val="0074323A"/>
    <w:rsid w:val="00743D49"/>
    <w:rsid w:val="00746187"/>
    <w:rsid w:val="00747149"/>
    <w:rsid w:val="0076254F"/>
    <w:rsid w:val="007801F5"/>
    <w:rsid w:val="00783CA4"/>
    <w:rsid w:val="007842FB"/>
    <w:rsid w:val="007855AC"/>
    <w:rsid w:val="00786124"/>
    <w:rsid w:val="00794057"/>
    <w:rsid w:val="0079514B"/>
    <w:rsid w:val="007A1D2E"/>
    <w:rsid w:val="007A2DC1"/>
    <w:rsid w:val="007B3199"/>
    <w:rsid w:val="007B4D46"/>
    <w:rsid w:val="007B7915"/>
    <w:rsid w:val="007C1092"/>
    <w:rsid w:val="007C330D"/>
    <w:rsid w:val="007C368F"/>
    <w:rsid w:val="007C5BB8"/>
    <w:rsid w:val="007D2462"/>
    <w:rsid w:val="007D3319"/>
    <w:rsid w:val="007D335D"/>
    <w:rsid w:val="007D5479"/>
    <w:rsid w:val="007D5656"/>
    <w:rsid w:val="007D597D"/>
    <w:rsid w:val="007E3314"/>
    <w:rsid w:val="007E4B03"/>
    <w:rsid w:val="007F212D"/>
    <w:rsid w:val="007F324B"/>
    <w:rsid w:val="0080553C"/>
    <w:rsid w:val="00805B46"/>
    <w:rsid w:val="008136CC"/>
    <w:rsid w:val="00816C78"/>
    <w:rsid w:val="0082138D"/>
    <w:rsid w:val="00821850"/>
    <w:rsid w:val="00825DC2"/>
    <w:rsid w:val="00830475"/>
    <w:rsid w:val="00834AD3"/>
    <w:rsid w:val="00841F7D"/>
    <w:rsid w:val="00843795"/>
    <w:rsid w:val="00843A23"/>
    <w:rsid w:val="00847F0F"/>
    <w:rsid w:val="00850354"/>
    <w:rsid w:val="00852448"/>
    <w:rsid w:val="0086474C"/>
    <w:rsid w:val="0088258A"/>
    <w:rsid w:val="00886332"/>
    <w:rsid w:val="00886C84"/>
    <w:rsid w:val="0089512B"/>
    <w:rsid w:val="008A26D9"/>
    <w:rsid w:val="008A7F42"/>
    <w:rsid w:val="008B0C6B"/>
    <w:rsid w:val="008C0C29"/>
    <w:rsid w:val="008C46B6"/>
    <w:rsid w:val="008D23FC"/>
    <w:rsid w:val="008E6545"/>
    <w:rsid w:val="008F042F"/>
    <w:rsid w:val="008F3638"/>
    <w:rsid w:val="008F42D6"/>
    <w:rsid w:val="008F4441"/>
    <w:rsid w:val="008F522A"/>
    <w:rsid w:val="008F6F31"/>
    <w:rsid w:val="008F74DF"/>
    <w:rsid w:val="0090135A"/>
    <w:rsid w:val="00910E11"/>
    <w:rsid w:val="009127BA"/>
    <w:rsid w:val="00915AA6"/>
    <w:rsid w:val="00921F24"/>
    <w:rsid w:val="009227A6"/>
    <w:rsid w:val="00927192"/>
    <w:rsid w:val="0093384E"/>
    <w:rsid w:val="00933EC1"/>
    <w:rsid w:val="00941AB6"/>
    <w:rsid w:val="00941C53"/>
    <w:rsid w:val="00941D2E"/>
    <w:rsid w:val="00946403"/>
    <w:rsid w:val="0095125E"/>
    <w:rsid w:val="009530DB"/>
    <w:rsid w:val="00953676"/>
    <w:rsid w:val="009541B0"/>
    <w:rsid w:val="00954E52"/>
    <w:rsid w:val="0095512A"/>
    <w:rsid w:val="009705EE"/>
    <w:rsid w:val="00977927"/>
    <w:rsid w:val="0098135C"/>
    <w:rsid w:val="0098156A"/>
    <w:rsid w:val="0098329A"/>
    <w:rsid w:val="00990F49"/>
    <w:rsid w:val="00991BAC"/>
    <w:rsid w:val="009968E9"/>
    <w:rsid w:val="009A6EA0"/>
    <w:rsid w:val="009B23A5"/>
    <w:rsid w:val="009B73C7"/>
    <w:rsid w:val="009C1335"/>
    <w:rsid w:val="009C1AB2"/>
    <w:rsid w:val="009C7251"/>
    <w:rsid w:val="009E2E91"/>
    <w:rsid w:val="009E33D0"/>
    <w:rsid w:val="009E3B75"/>
    <w:rsid w:val="009F4636"/>
    <w:rsid w:val="00A060E7"/>
    <w:rsid w:val="00A061A3"/>
    <w:rsid w:val="00A139F5"/>
    <w:rsid w:val="00A15525"/>
    <w:rsid w:val="00A24C44"/>
    <w:rsid w:val="00A2550F"/>
    <w:rsid w:val="00A34AB7"/>
    <w:rsid w:val="00A357B9"/>
    <w:rsid w:val="00A365F4"/>
    <w:rsid w:val="00A47D80"/>
    <w:rsid w:val="00A53132"/>
    <w:rsid w:val="00A563F2"/>
    <w:rsid w:val="00A566E8"/>
    <w:rsid w:val="00A6004B"/>
    <w:rsid w:val="00A61624"/>
    <w:rsid w:val="00A61DDA"/>
    <w:rsid w:val="00A628F7"/>
    <w:rsid w:val="00A67BFC"/>
    <w:rsid w:val="00A71DBC"/>
    <w:rsid w:val="00A726B0"/>
    <w:rsid w:val="00A810F9"/>
    <w:rsid w:val="00A85E59"/>
    <w:rsid w:val="00A86ECC"/>
    <w:rsid w:val="00A86FCC"/>
    <w:rsid w:val="00A919B2"/>
    <w:rsid w:val="00A976A2"/>
    <w:rsid w:val="00AA710D"/>
    <w:rsid w:val="00AA73E6"/>
    <w:rsid w:val="00AB3DF7"/>
    <w:rsid w:val="00AB3FBB"/>
    <w:rsid w:val="00AB5DFF"/>
    <w:rsid w:val="00AB6D25"/>
    <w:rsid w:val="00AC3FCE"/>
    <w:rsid w:val="00AC6603"/>
    <w:rsid w:val="00AE2D4B"/>
    <w:rsid w:val="00AE3937"/>
    <w:rsid w:val="00AE4F99"/>
    <w:rsid w:val="00AF1EB3"/>
    <w:rsid w:val="00AF7016"/>
    <w:rsid w:val="00B1321E"/>
    <w:rsid w:val="00B14952"/>
    <w:rsid w:val="00B17BD9"/>
    <w:rsid w:val="00B21EAE"/>
    <w:rsid w:val="00B25AD2"/>
    <w:rsid w:val="00B31E5A"/>
    <w:rsid w:val="00B37142"/>
    <w:rsid w:val="00B44F02"/>
    <w:rsid w:val="00B607AC"/>
    <w:rsid w:val="00B63687"/>
    <w:rsid w:val="00B653AB"/>
    <w:rsid w:val="00B65F9E"/>
    <w:rsid w:val="00B66B19"/>
    <w:rsid w:val="00B702C6"/>
    <w:rsid w:val="00B7120C"/>
    <w:rsid w:val="00B7784E"/>
    <w:rsid w:val="00B82BEC"/>
    <w:rsid w:val="00B857B5"/>
    <w:rsid w:val="00B914E9"/>
    <w:rsid w:val="00B931B7"/>
    <w:rsid w:val="00B95616"/>
    <w:rsid w:val="00B956EE"/>
    <w:rsid w:val="00B96139"/>
    <w:rsid w:val="00BA2BA1"/>
    <w:rsid w:val="00BA5256"/>
    <w:rsid w:val="00BB188A"/>
    <w:rsid w:val="00BB4F09"/>
    <w:rsid w:val="00BB6DD9"/>
    <w:rsid w:val="00BC3CEE"/>
    <w:rsid w:val="00BC6D2B"/>
    <w:rsid w:val="00BD11E6"/>
    <w:rsid w:val="00BD4E33"/>
    <w:rsid w:val="00BF7E31"/>
    <w:rsid w:val="00C030DE"/>
    <w:rsid w:val="00C22105"/>
    <w:rsid w:val="00C244B6"/>
    <w:rsid w:val="00C331D4"/>
    <w:rsid w:val="00C3702F"/>
    <w:rsid w:val="00C4352F"/>
    <w:rsid w:val="00C46BD4"/>
    <w:rsid w:val="00C52367"/>
    <w:rsid w:val="00C608B8"/>
    <w:rsid w:val="00C645F1"/>
    <w:rsid w:val="00C64A37"/>
    <w:rsid w:val="00C66192"/>
    <w:rsid w:val="00C7158E"/>
    <w:rsid w:val="00C715D5"/>
    <w:rsid w:val="00C7250B"/>
    <w:rsid w:val="00C7346B"/>
    <w:rsid w:val="00C76236"/>
    <w:rsid w:val="00C77454"/>
    <w:rsid w:val="00C77835"/>
    <w:rsid w:val="00C77C0E"/>
    <w:rsid w:val="00C87723"/>
    <w:rsid w:val="00C91687"/>
    <w:rsid w:val="00C924A8"/>
    <w:rsid w:val="00C945FE"/>
    <w:rsid w:val="00C96FAA"/>
    <w:rsid w:val="00C97A04"/>
    <w:rsid w:val="00CA107B"/>
    <w:rsid w:val="00CA484D"/>
    <w:rsid w:val="00CA4FB6"/>
    <w:rsid w:val="00CA54FE"/>
    <w:rsid w:val="00CB41A7"/>
    <w:rsid w:val="00CB6CEA"/>
    <w:rsid w:val="00CC3150"/>
    <w:rsid w:val="00CC3AB6"/>
    <w:rsid w:val="00CC739E"/>
    <w:rsid w:val="00CC7C45"/>
    <w:rsid w:val="00CD33FF"/>
    <w:rsid w:val="00CD58B7"/>
    <w:rsid w:val="00CD61C0"/>
    <w:rsid w:val="00CE0855"/>
    <w:rsid w:val="00CF18B4"/>
    <w:rsid w:val="00CF4099"/>
    <w:rsid w:val="00D00796"/>
    <w:rsid w:val="00D05516"/>
    <w:rsid w:val="00D0573E"/>
    <w:rsid w:val="00D119BB"/>
    <w:rsid w:val="00D13BAA"/>
    <w:rsid w:val="00D250BF"/>
    <w:rsid w:val="00D261A2"/>
    <w:rsid w:val="00D32A03"/>
    <w:rsid w:val="00D41C47"/>
    <w:rsid w:val="00D576B5"/>
    <w:rsid w:val="00D616D2"/>
    <w:rsid w:val="00D63B5F"/>
    <w:rsid w:val="00D64203"/>
    <w:rsid w:val="00D65A63"/>
    <w:rsid w:val="00D70EF7"/>
    <w:rsid w:val="00D8397C"/>
    <w:rsid w:val="00D85008"/>
    <w:rsid w:val="00D85773"/>
    <w:rsid w:val="00D94EED"/>
    <w:rsid w:val="00D96026"/>
    <w:rsid w:val="00DA7C1C"/>
    <w:rsid w:val="00DB147A"/>
    <w:rsid w:val="00DB1B7A"/>
    <w:rsid w:val="00DB3C29"/>
    <w:rsid w:val="00DB74B4"/>
    <w:rsid w:val="00DC6708"/>
    <w:rsid w:val="00DC7C75"/>
    <w:rsid w:val="00DD5938"/>
    <w:rsid w:val="00DE2732"/>
    <w:rsid w:val="00E01436"/>
    <w:rsid w:val="00E045BD"/>
    <w:rsid w:val="00E04C81"/>
    <w:rsid w:val="00E13F56"/>
    <w:rsid w:val="00E17B77"/>
    <w:rsid w:val="00E222A7"/>
    <w:rsid w:val="00E232C8"/>
    <w:rsid w:val="00E23337"/>
    <w:rsid w:val="00E259EA"/>
    <w:rsid w:val="00E32061"/>
    <w:rsid w:val="00E32177"/>
    <w:rsid w:val="00E33E6A"/>
    <w:rsid w:val="00E42FF9"/>
    <w:rsid w:val="00E4714C"/>
    <w:rsid w:val="00E51AEB"/>
    <w:rsid w:val="00E522A7"/>
    <w:rsid w:val="00E54452"/>
    <w:rsid w:val="00E61F95"/>
    <w:rsid w:val="00E63135"/>
    <w:rsid w:val="00E65293"/>
    <w:rsid w:val="00E655FF"/>
    <w:rsid w:val="00E664C5"/>
    <w:rsid w:val="00E671A2"/>
    <w:rsid w:val="00E70777"/>
    <w:rsid w:val="00E76D26"/>
    <w:rsid w:val="00E8522A"/>
    <w:rsid w:val="00E91278"/>
    <w:rsid w:val="00E91540"/>
    <w:rsid w:val="00E946F4"/>
    <w:rsid w:val="00EA59CC"/>
    <w:rsid w:val="00EB1390"/>
    <w:rsid w:val="00EB2C71"/>
    <w:rsid w:val="00EB3D0C"/>
    <w:rsid w:val="00EB4340"/>
    <w:rsid w:val="00EB556D"/>
    <w:rsid w:val="00EB5A7D"/>
    <w:rsid w:val="00EC3322"/>
    <w:rsid w:val="00EC3825"/>
    <w:rsid w:val="00EC5186"/>
    <w:rsid w:val="00ED14A4"/>
    <w:rsid w:val="00ED55C0"/>
    <w:rsid w:val="00ED682B"/>
    <w:rsid w:val="00ED7CB9"/>
    <w:rsid w:val="00EE41D5"/>
    <w:rsid w:val="00EE4B0E"/>
    <w:rsid w:val="00EF0154"/>
    <w:rsid w:val="00F020CB"/>
    <w:rsid w:val="00F037A4"/>
    <w:rsid w:val="00F23C36"/>
    <w:rsid w:val="00F27C8F"/>
    <w:rsid w:val="00F31D93"/>
    <w:rsid w:val="00F32749"/>
    <w:rsid w:val="00F37172"/>
    <w:rsid w:val="00F40486"/>
    <w:rsid w:val="00F41EBA"/>
    <w:rsid w:val="00F42EBC"/>
    <w:rsid w:val="00F4477E"/>
    <w:rsid w:val="00F50B85"/>
    <w:rsid w:val="00F511E2"/>
    <w:rsid w:val="00F520FE"/>
    <w:rsid w:val="00F53C7B"/>
    <w:rsid w:val="00F670E8"/>
    <w:rsid w:val="00F67D8F"/>
    <w:rsid w:val="00F72927"/>
    <w:rsid w:val="00F7626B"/>
    <w:rsid w:val="00F802BE"/>
    <w:rsid w:val="00F817AC"/>
    <w:rsid w:val="00F86024"/>
    <w:rsid w:val="00F8611A"/>
    <w:rsid w:val="00F86A2D"/>
    <w:rsid w:val="00F86B4A"/>
    <w:rsid w:val="00F90530"/>
    <w:rsid w:val="00FA5128"/>
    <w:rsid w:val="00FB42D4"/>
    <w:rsid w:val="00FB5906"/>
    <w:rsid w:val="00FB762F"/>
    <w:rsid w:val="00FC2AED"/>
    <w:rsid w:val="00FC363C"/>
    <w:rsid w:val="00FC4833"/>
    <w:rsid w:val="00FC7724"/>
    <w:rsid w:val="00FD57CD"/>
    <w:rsid w:val="00FD5EA7"/>
    <w:rsid w:val="00FD67C9"/>
    <w:rsid w:val="00FF6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1EB43F-8B82-42BD-B8E9-75B546B1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uiPriority w:val="99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Tabela-Siatka1">
    <w:name w:val="Tabela - Siatka1"/>
    <w:basedOn w:val="Standardowy"/>
    <w:next w:val="Tabela-Siatka"/>
    <w:uiPriority w:val="39"/>
    <w:rsid w:val="00FD6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omylnaczcionkaakapitu"/>
    <w:rsid w:val="00B37142"/>
  </w:style>
  <w:style w:type="character" w:styleId="UyteHipercze">
    <w:name w:val="FollowedHyperlink"/>
    <w:basedOn w:val="Domylnaczcionkaakapitu"/>
    <w:uiPriority w:val="99"/>
    <w:semiHidden/>
    <w:unhideWhenUsed/>
    <w:rsid w:val="00EB3D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mailto:rzecznik@stat.gov.pl" TargetMode="External"/><Relationship Id="rId26" Type="http://schemas.openxmlformats.org/officeDocument/2006/relationships/footer" Target="footer2.xml"/><Relationship Id="rId39" Type="http://schemas.openxmlformats.org/officeDocument/2006/relationships/hyperlink" Target="http://stat.gov.pl/en/metainformations/glossary/terms-used-in-official-statistics/1743,term.html" TargetMode="External"/><Relationship Id="rId21" Type="http://schemas.openxmlformats.org/officeDocument/2006/relationships/image" Target="media/image9.png"/><Relationship Id="rId34" Type="http://schemas.openxmlformats.org/officeDocument/2006/relationships/hyperlink" Target="http://stat.gov.pl/en/topics/industry-construction-fixed-assets/construction/construction-results-in-2017,1,11.html" TargetMode="External"/><Relationship Id="rId42" Type="http://schemas.openxmlformats.org/officeDocument/2006/relationships/footer" Target="foot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8.png"/><Relationship Id="rId29" Type="http://schemas.openxmlformats.org/officeDocument/2006/relationships/hyperlink" Target="https://bdl.stat.gov.pl/BDL/start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32" Type="http://schemas.openxmlformats.org/officeDocument/2006/relationships/hyperlink" Target="http://stat.gov.pl/en/metainformations/glossary/terms-used-in-official-statistics/1743,term.html" TargetMode="External"/><Relationship Id="rId37" Type="http://schemas.openxmlformats.org/officeDocument/2006/relationships/hyperlink" Target="http://stat.gov.pl/en/metainformations/glossary/terms-used-in-official-statistics/26,term.html" TargetMode="External"/><Relationship Id="rId40" Type="http://schemas.openxmlformats.org/officeDocument/2006/relationships/hyperlink" Target="http://stat.gov.pl/en/metainformations/glossary/terms-used-in-official-statistics/329,term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28" Type="http://schemas.openxmlformats.org/officeDocument/2006/relationships/hyperlink" Target="http://swaid.stat.gov.pl/en/SitePagesDBW/Budownictwo.aspx" TargetMode="External"/><Relationship Id="rId36" Type="http://schemas.openxmlformats.org/officeDocument/2006/relationships/hyperlink" Target="https://bdl.stat.gov.pl/BDL/start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obslugaprasowa@stat.gov.pl" TargetMode="External"/><Relationship Id="rId31" Type="http://schemas.openxmlformats.org/officeDocument/2006/relationships/hyperlink" Target="http://stat.gov.pl/en/metainformations/glossary/terms-used-in-official-statistics/1021,term.html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hyperlink" Target="http://stat.gov.pl/en/topics/industry-construction-fixed-assets/construction/construction-results-in-2017,1,11.html" TargetMode="External"/><Relationship Id="rId30" Type="http://schemas.openxmlformats.org/officeDocument/2006/relationships/hyperlink" Target="http://stat.gov.pl/en/metainformations/glossary/terms-used-in-official-statistics/26,term.html" TargetMode="External"/><Relationship Id="rId35" Type="http://schemas.openxmlformats.org/officeDocument/2006/relationships/hyperlink" Target="http://swaid.stat.gov.pl/en/SitePagesDBW/Budownictwo.aspx" TargetMode="Externa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30.png"/><Relationship Id="rId17" Type="http://schemas.openxmlformats.org/officeDocument/2006/relationships/hyperlink" Target="mailto:Z.Kurlej@stat.gov.pl" TargetMode="External"/><Relationship Id="rId25" Type="http://schemas.openxmlformats.org/officeDocument/2006/relationships/header" Target="header2.xml"/><Relationship Id="rId33" Type="http://schemas.openxmlformats.org/officeDocument/2006/relationships/hyperlink" Target="http://stat.gov.pl/en/metainformations/glossary/terms-used-in-official-statistics/329,term.html" TargetMode="External"/><Relationship Id="rId38" Type="http://schemas.openxmlformats.org/officeDocument/2006/relationships/hyperlink" Target="http://stat.gov.pl/en/metainformations/glossary/terms-used-in-official-statistics/1021,term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0D854-E0D5-46F9-91F2-13ACAC8EADB9}">
  <ds:schemaRefs>
    <ds:schemaRef ds:uri="http://schemas.microsoft.com/office/2006/metadata/properties"/>
    <ds:schemaRef ds:uri="http://schemas.microsoft.com/office/infopath/2007/PartnerControls"/>
    <ds:schemaRef ds:uri="30d47203-49ec-4c8c-a442-62231931aabb"/>
  </ds:schemaRefs>
</ds:datastoreItem>
</file>

<file path=customXml/itemProps2.xml><?xml version="1.0" encoding="utf-8"?>
<ds:datastoreItem xmlns:ds="http://schemas.openxmlformats.org/officeDocument/2006/customXml" ds:itemID="{7B5FD957-2CF9-41E2-904E-B224E9D25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80FD7F-DCD8-4BA2-895B-D63B00916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3C2465-48D0-4546-BBD0-DC0E1D49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Zawistowska Beata</dc:creator>
  <cp:keywords/>
  <dc:description/>
  <cp:lastModifiedBy>Nocko Agnieszka</cp:lastModifiedBy>
  <cp:revision>3</cp:revision>
  <cp:lastPrinted>2018-03-06T12:10:00Z</cp:lastPrinted>
  <dcterms:created xsi:type="dcterms:W3CDTF">2018-09-05T10:46:00Z</dcterms:created>
  <dcterms:modified xsi:type="dcterms:W3CDTF">2018-09-05T11:14:00Z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