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23" w:rsidRPr="00FD11D4" w:rsidRDefault="00C16D56" w:rsidP="00685123">
      <w:pPr>
        <w:pStyle w:val="tytuinformacji"/>
      </w:pPr>
      <w:bookmarkStart w:id="0" w:name="_GoBack"/>
      <w:bookmarkEnd w:id="0"/>
      <w:r>
        <w:rPr>
          <w:lang w:val="en-GB"/>
        </w:rPr>
        <w:t>Consumer price indices in November</w:t>
      </w:r>
      <w:r w:rsidRPr="00920E23">
        <w:rPr>
          <w:lang w:val="en-GB"/>
        </w:rPr>
        <w:t xml:space="preserve"> 2021</w:t>
      </w:r>
    </w:p>
    <w:p w:rsidR="00AD4947" w:rsidRPr="00FD11D4" w:rsidRDefault="00AD4947" w:rsidP="00AD4947">
      <w:pPr>
        <w:pStyle w:val="tytuinformacji"/>
        <w:rPr>
          <w:sz w:val="32"/>
          <w:szCs w:val="32"/>
        </w:rPr>
      </w:pPr>
    </w:p>
    <w:p w:rsidR="00C16D56" w:rsidRPr="00490EBB" w:rsidRDefault="00C16D56" w:rsidP="00C16D56">
      <w:pPr>
        <w:pStyle w:val="LID"/>
        <w:spacing w:after="0"/>
        <w:rPr>
          <w:lang w:val="en-GB" w:eastAsia="en-GB"/>
        </w:rPr>
      </w:pPr>
      <w:r w:rsidRPr="00FD11D4"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05D07E7" wp14:editId="6C05030E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1828800" cy="118173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173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DAC" w:rsidRPr="00D72F40" w:rsidRDefault="00D05DAC" w:rsidP="00C16D56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25BF9D1C" wp14:editId="42FAF5B1">
                                  <wp:extent cx="334645" cy="334645"/>
                                  <wp:effectExtent l="19050" t="0" r="8255" b="0"/>
                                  <wp:docPr id="8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72F40">
                              <w:rPr>
                                <w:noProof/>
                                <w:color w:val="001D77"/>
                                <w:lang w:val="en-GB"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7</w:t>
                            </w:r>
                            <w:r w:rsidRPr="00D72F4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8</w:t>
                            </w:r>
                            <w:r w:rsidRPr="00D72F4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%</w:t>
                            </w:r>
                          </w:p>
                          <w:p w:rsidR="00D05DAC" w:rsidRPr="000A0BA9" w:rsidRDefault="00D05DAC" w:rsidP="00C16D56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AC3D2C">
                              <w:rPr>
                                <w:lang w:val="en-GB"/>
                              </w:rPr>
                              <w:t xml:space="preserve">an increase compared </w:t>
                            </w:r>
                            <w:r>
                              <w:rPr>
                                <w:lang w:val="en-GB"/>
                              </w:rPr>
                              <w:t>with the corresponding month of </w:t>
                            </w:r>
                            <w:r w:rsidRPr="00AC3D2C">
                              <w:rPr>
                                <w:lang w:val="en-GB"/>
                              </w:rPr>
                              <w:t>the previous year</w:t>
                            </w:r>
                          </w:p>
                          <w:p w:rsidR="00D05DAC" w:rsidRPr="00D72F40" w:rsidRDefault="00D05DAC" w:rsidP="00C16D56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D07E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9pt;width:2in;height:93.05pt;z-index:251652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" fillcolor="#001d77" stroked="f">
                <v:textbox>
                  <w:txbxContent>
                    <w:p w:rsidR="00D05DAC" w:rsidRPr="00D72F40" w:rsidRDefault="00D05DAC" w:rsidP="00C16D56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25BF9D1C" wp14:editId="42FAF5B1">
                            <wp:extent cx="334645" cy="334645"/>
                            <wp:effectExtent l="19050" t="0" r="8255" b="0"/>
                            <wp:docPr id="8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72F40">
                        <w:rPr>
                          <w:noProof/>
                          <w:color w:val="001D77"/>
                          <w:lang w:val="en-GB"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7</w:t>
                      </w:r>
                      <w:r w:rsidRPr="00D72F4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.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8</w:t>
                      </w:r>
                      <w:r w:rsidRPr="00D72F4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%</w:t>
                      </w:r>
                    </w:p>
                    <w:p w:rsidR="00D05DAC" w:rsidRPr="000A0BA9" w:rsidRDefault="00D05DAC" w:rsidP="00C16D56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  <w:r w:rsidRPr="00AC3D2C">
                        <w:rPr>
                          <w:lang w:val="en-GB"/>
                        </w:rPr>
                        <w:t xml:space="preserve">an increase compared </w:t>
                      </w:r>
                      <w:r>
                        <w:rPr>
                          <w:lang w:val="en-GB"/>
                        </w:rPr>
                        <w:t>with the corresponding month of </w:t>
                      </w:r>
                      <w:r w:rsidRPr="00AC3D2C">
                        <w:rPr>
                          <w:lang w:val="en-GB"/>
                        </w:rPr>
                        <w:t>the previous year</w:t>
                      </w:r>
                    </w:p>
                    <w:p w:rsidR="00D05DAC" w:rsidRPr="00D72F40" w:rsidRDefault="00D05DAC" w:rsidP="00C16D56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 w:val="0"/>
          <w:lang w:val="en-GB" w:eastAsia="en-GB"/>
        </w:rPr>
        <w:t>C</w:t>
      </w:r>
      <w:r w:rsidRPr="00490EBB">
        <w:rPr>
          <w:noProof w:val="0"/>
          <w:lang w:val="en-GB" w:eastAsia="en-GB"/>
        </w:rPr>
        <w:t xml:space="preserve">onsumer prices in </w:t>
      </w:r>
      <w:r w:rsidR="00E16C02">
        <w:rPr>
          <w:noProof w:val="0"/>
          <w:lang w:val="en-GB" w:eastAsia="en-GB"/>
        </w:rPr>
        <w:t>November</w:t>
      </w:r>
      <w:r w:rsidRPr="00490EBB">
        <w:rPr>
          <w:lang w:val="en-GB" w:eastAsia="en-GB"/>
        </w:rPr>
        <w:t xml:space="preserve"> 2021, </w:t>
      </w:r>
      <w:r w:rsidRPr="00490EBB">
        <w:rPr>
          <w:noProof w:val="0"/>
          <w:lang w:val="en-GB" w:eastAsia="en-GB"/>
        </w:rPr>
        <w:t xml:space="preserve">compared with the corresponding month of the previous year, </w:t>
      </w:r>
      <w:r w:rsidRPr="00490EBB">
        <w:rPr>
          <w:noProof w:val="0"/>
          <w:lang w:val="en-GB" w:eastAsia="en-GB"/>
        </w:rPr>
        <w:br/>
        <w:t>increased by</w:t>
      </w:r>
      <w:r w:rsidRPr="00490EBB">
        <w:rPr>
          <w:lang w:val="en-GB" w:eastAsia="en-GB"/>
        </w:rPr>
        <w:t xml:space="preserve"> </w:t>
      </w:r>
      <w:r>
        <w:rPr>
          <w:lang w:val="en-GB" w:eastAsia="en-GB"/>
        </w:rPr>
        <w:t>7</w:t>
      </w:r>
      <w:r w:rsidRPr="00490EBB">
        <w:rPr>
          <w:lang w:val="en-GB" w:eastAsia="en-GB"/>
        </w:rPr>
        <w:t>,8</w:t>
      </w:r>
      <w:r w:rsidR="00E16C02">
        <w:rPr>
          <w:lang w:val="en-GB" w:eastAsia="en-GB"/>
        </w:rPr>
        <w:t>%</w:t>
      </w:r>
      <w:r>
        <w:rPr>
          <w:lang w:val="en-GB" w:eastAsia="en-GB"/>
        </w:rPr>
        <w:t xml:space="preserve"> </w:t>
      </w:r>
      <w:r w:rsidRPr="00831EB0">
        <w:rPr>
          <w:lang w:val="en-GB" w:eastAsia="en-GB"/>
        </w:rPr>
        <w:t>(w</w:t>
      </w:r>
      <w:r w:rsidRPr="00831EB0">
        <w:rPr>
          <w:noProof w:val="0"/>
          <w:lang w:val="en-GB"/>
        </w:rPr>
        <w:t>ith an</w:t>
      </w:r>
      <w:r>
        <w:rPr>
          <w:noProof w:val="0"/>
          <w:lang w:val="en-GB"/>
        </w:rPr>
        <w:t xml:space="preserve"> increase of prices </w:t>
      </w:r>
      <w:r>
        <w:rPr>
          <w:noProof w:val="0"/>
          <w:lang w:val="en-GB"/>
        </w:rPr>
        <w:br/>
        <w:t>of goods</w:t>
      </w:r>
      <w:r w:rsidRPr="00831EB0">
        <w:rPr>
          <w:lang w:val="en-GB"/>
        </w:rPr>
        <w:t xml:space="preserve"> by</w:t>
      </w:r>
      <w:r w:rsidRPr="00831EB0">
        <w:rPr>
          <w:lang w:val="en-GB" w:eastAsia="en-GB"/>
        </w:rPr>
        <w:t xml:space="preserve"> </w:t>
      </w:r>
      <w:r>
        <w:rPr>
          <w:lang w:val="en-GB" w:eastAsia="en-GB"/>
        </w:rPr>
        <w:t>8</w:t>
      </w:r>
      <w:r w:rsidRPr="00831EB0">
        <w:rPr>
          <w:lang w:val="en-GB" w:eastAsia="en-GB"/>
        </w:rPr>
        <w:t>,</w:t>
      </w:r>
      <w:r>
        <w:rPr>
          <w:lang w:val="en-GB" w:eastAsia="en-GB"/>
        </w:rPr>
        <w:t>1</w:t>
      </w:r>
      <w:r w:rsidRPr="00831EB0">
        <w:rPr>
          <w:lang w:val="en-GB" w:eastAsia="en-GB"/>
        </w:rPr>
        <w:t xml:space="preserve">% </w:t>
      </w:r>
      <w:r>
        <w:rPr>
          <w:lang w:val="en-GB" w:eastAsia="en-GB"/>
        </w:rPr>
        <w:t>and services</w:t>
      </w:r>
      <w:r w:rsidR="005F0477">
        <w:rPr>
          <w:lang w:val="en-GB" w:eastAsia="en-GB"/>
        </w:rPr>
        <w:t xml:space="preserve"> by 6</w:t>
      </w:r>
      <w:r w:rsidRPr="00831EB0">
        <w:rPr>
          <w:lang w:val="en-GB" w:eastAsia="en-GB"/>
        </w:rPr>
        <w:t>,6%).</w:t>
      </w:r>
    </w:p>
    <w:p w:rsidR="00370D51" w:rsidRPr="009E5ADA" w:rsidRDefault="00C16D56" w:rsidP="00C16D56">
      <w:pPr>
        <w:pStyle w:val="LID"/>
        <w:spacing w:before="0" w:after="0"/>
        <w:rPr>
          <w:lang w:eastAsia="en-GB"/>
        </w:rPr>
      </w:pPr>
      <w:r w:rsidRPr="00363324">
        <w:rPr>
          <w:noProof w:val="0"/>
          <w:lang w:val="en-GB" w:eastAsia="en-GB"/>
        </w:rPr>
        <w:t xml:space="preserve">As related to the previous month consumer prices </w:t>
      </w:r>
      <w:r>
        <w:rPr>
          <w:noProof w:val="0"/>
          <w:lang w:val="en-GB" w:eastAsia="en-GB"/>
        </w:rPr>
        <w:br/>
      </w:r>
      <w:r w:rsidRPr="00363324">
        <w:rPr>
          <w:noProof w:val="0"/>
          <w:lang w:val="en-GB" w:eastAsia="en-GB"/>
        </w:rPr>
        <w:t>increased by</w:t>
      </w:r>
      <w:r w:rsidRPr="00363324">
        <w:rPr>
          <w:noProof w:val="0"/>
          <w:lang w:val="en-GB"/>
        </w:rPr>
        <w:t xml:space="preserve"> </w:t>
      </w:r>
      <w:r w:rsidR="005F0477">
        <w:rPr>
          <w:lang w:val="en-GB" w:eastAsia="en-GB"/>
        </w:rPr>
        <w:t>1,0</w:t>
      </w:r>
      <w:r w:rsidRPr="00363324">
        <w:rPr>
          <w:lang w:val="en-GB" w:eastAsia="en-GB"/>
        </w:rPr>
        <w:t>% (</w:t>
      </w:r>
      <w:r w:rsidRPr="00363324">
        <w:rPr>
          <w:noProof w:val="0"/>
          <w:lang w:val="en-GB"/>
        </w:rPr>
        <w:t xml:space="preserve">of which goods by </w:t>
      </w:r>
      <w:r w:rsidR="005F0477">
        <w:rPr>
          <w:lang w:val="en-GB" w:eastAsia="en-GB"/>
        </w:rPr>
        <w:t>1,2% and services by 0,4</w:t>
      </w:r>
      <w:r w:rsidRPr="00363324">
        <w:rPr>
          <w:lang w:val="en-GB" w:eastAsia="en-GB"/>
        </w:rPr>
        <w:t>%).</w:t>
      </w:r>
    </w:p>
    <w:p w:rsidR="00370D51" w:rsidRPr="00FD11D4" w:rsidRDefault="00370D51" w:rsidP="00370D51">
      <w:pPr>
        <w:pStyle w:val="LID"/>
        <w:spacing w:before="0" w:after="0"/>
      </w:pPr>
    </w:p>
    <w:p w:rsidR="00370D51" w:rsidRPr="00FD11D4" w:rsidRDefault="00370D51" w:rsidP="00370D51">
      <w:pPr>
        <w:pStyle w:val="LID"/>
        <w:spacing w:before="0" w:after="0"/>
      </w:pPr>
    </w:p>
    <w:p w:rsidR="009E3F12" w:rsidRPr="00FD11D4" w:rsidRDefault="009E3F12" w:rsidP="00164CEA">
      <w:pPr>
        <w:spacing w:before="0" w:after="100"/>
        <w:rPr>
          <w:highlight w:val="yellow"/>
        </w:rPr>
      </w:pPr>
    </w:p>
    <w:p w:rsidR="00C27D75" w:rsidRPr="00FD11D4" w:rsidRDefault="005F0477" w:rsidP="00260F39">
      <w:pPr>
        <w:pStyle w:val="tytuwykresu"/>
        <w:spacing w:after="0"/>
        <w:rPr>
          <w:bCs/>
          <w:shd w:val="clear" w:color="auto" w:fill="FFFFFF"/>
        </w:rPr>
      </w:pPr>
      <w:r w:rsidRPr="00831EB0">
        <w:rPr>
          <w:lang w:val="en-GB"/>
        </w:rPr>
        <w:t xml:space="preserve">Table 1. Consumer price indices in </w:t>
      </w:r>
      <w:r>
        <w:rPr>
          <w:lang w:val="en-GB"/>
        </w:rPr>
        <w:t>November</w:t>
      </w:r>
      <w:r w:rsidRPr="00831EB0">
        <w:rPr>
          <w:lang w:val="en-GB"/>
        </w:rPr>
        <w:t xml:space="preserve"> 2021</w:t>
      </w:r>
    </w:p>
    <w:tbl>
      <w:tblPr>
        <w:tblStyle w:val="Siatkatabelijasna111"/>
        <w:tblpPr w:leftFromText="141" w:rightFromText="141" w:vertAnchor="text" w:horzAnchor="margin" w:tblpY="512"/>
        <w:tblW w:w="8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00"/>
        <w:gridCol w:w="970"/>
        <w:gridCol w:w="969"/>
        <w:gridCol w:w="971"/>
        <w:gridCol w:w="1103"/>
        <w:gridCol w:w="1170"/>
      </w:tblGrid>
      <w:tr w:rsidR="00260F39" w:rsidRPr="00FD11D4" w:rsidTr="00DB220F">
        <w:trPr>
          <w:cantSplit/>
          <w:trHeight w:val="367"/>
        </w:trPr>
        <w:tc>
          <w:tcPr>
            <w:tcW w:w="3100" w:type="dxa"/>
            <w:vMerge w:val="restart"/>
            <w:vAlign w:val="center"/>
          </w:tcPr>
          <w:p w:rsidR="00260F39" w:rsidRPr="00FD11D4" w:rsidRDefault="00DB220F" w:rsidP="00AF6AEA">
            <w:pPr>
              <w:keepNext/>
              <w:tabs>
                <w:tab w:val="right" w:leader="dot" w:pos="4139"/>
              </w:tabs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2910" w:type="dxa"/>
            <w:gridSpan w:val="3"/>
            <w:vAlign w:val="center"/>
          </w:tcPr>
          <w:p w:rsidR="00260F39" w:rsidRPr="00FD11D4" w:rsidRDefault="00D35A8F" w:rsidP="004A5B48">
            <w:pPr>
              <w:keepNext/>
              <w:keepLines/>
              <w:spacing w:before="60" w:after="6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11</w:t>
            </w:r>
            <w:r w:rsidR="007C161B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 2021</w:t>
            </w:r>
          </w:p>
        </w:tc>
        <w:tc>
          <w:tcPr>
            <w:tcW w:w="1103" w:type="dxa"/>
          </w:tcPr>
          <w:p w:rsidR="00260F39" w:rsidRPr="00FD11D4" w:rsidRDefault="00D35A8F" w:rsidP="004A5B48">
            <w:pPr>
              <w:keepNext/>
              <w:tabs>
                <w:tab w:val="right" w:leader="dot" w:pos="4139"/>
              </w:tabs>
              <w:spacing w:before="60" w:after="6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01-11</w:t>
            </w:r>
            <w:r w:rsidR="007C161B" w:rsidRPr="00FD11D4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2021</w:t>
            </w:r>
          </w:p>
        </w:tc>
        <w:tc>
          <w:tcPr>
            <w:tcW w:w="1170" w:type="dxa"/>
            <w:vMerge w:val="restart"/>
            <w:vAlign w:val="center"/>
          </w:tcPr>
          <w:p w:rsidR="00DB220F" w:rsidRPr="00DB220F" w:rsidRDefault="00DB220F" w:rsidP="00DB220F">
            <w:pPr>
              <w:keepNext/>
              <w:tabs>
                <w:tab w:val="right" w:leader="dot" w:pos="4139"/>
              </w:tabs>
              <w:spacing w:before="60" w:after="6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DB220F">
              <w:rPr>
                <w:rFonts w:eastAsia="Times New Roman" w:cs="Arial"/>
                <w:bCs/>
                <w:color w:val="000000" w:themeColor="text1"/>
                <w:sz w:val="14"/>
                <w:szCs w:val="14"/>
                <w:lang w:eastAsia="pl-PL"/>
              </w:rPr>
              <w:t>CONTRIBUTION OF CHANGES</w:t>
            </w:r>
          </w:p>
          <w:p w:rsidR="00260F39" w:rsidRPr="00FD11D4" w:rsidRDefault="00D05DAC" w:rsidP="00DB220F">
            <w:pPr>
              <w:keepNext/>
              <w:tabs>
                <w:tab w:val="right" w:leader="dot" w:pos="4139"/>
              </w:tabs>
              <w:spacing w:before="60" w:after="6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4"/>
                <w:szCs w:val="14"/>
                <w:lang w:eastAsia="pl-PL"/>
              </w:rPr>
              <w:t>10</w:t>
            </w:r>
            <w:r w:rsidR="00DB220F" w:rsidRPr="00DB220F">
              <w:rPr>
                <w:rFonts w:eastAsia="Times New Roman" w:cs="Arial"/>
                <w:bCs/>
                <w:color w:val="000000" w:themeColor="text1"/>
                <w:sz w:val="14"/>
                <w:szCs w:val="14"/>
                <w:lang w:eastAsia="pl-PL"/>
              </w:rPr>
              <w:t xml:space="preserve"> 2021=</w:t>
            </w:r>
            <w:r w:rsidR="00DB220F" w:rsidRPr="00DB220F">
              <w:rPr>
                <w:rFonts w:eastAsia="Times New Roman" w:cs="Arial"/>
                <w:bCs/>
                <w:color w:val="000000" w:themeColor="text1"/>
                <w:sz w:val="14"/>
                <w:szCs w:val="14"/>
                <w:lang w:eastAsia="pl-PL"/>
              </w:rPr>
              <w:br/>
              <w:t>=100</w:t>
            </w:r>
          </w:p>
        </w:tc>
      </w:tr>
      <w:tr w:rsidR="00260F39" w:rsidRPr="00FD11D4" w:rsidTr="00DB220F">
        <w:trPr>
          <w:cantSplit/>
          <w:trHeight w:val="57"/>
        </w:trPr>
        <w:tc>
          <w:tcPr>
            <w:tcW w:w="3100" w:type="dxa"/>
            <w:vMerge/>
            <w:tcBorders>
              <w:bottom w:val="single" w:sz="12" w:space="0" w:color="212492"/>
            </w:tcBorders>
            <w:vAlign w:val="center"/>
          </w:tcPr>
          <w:p w:rsidR="00260F39" w:rsidRPr="00FD11D4" w:rsidRDefault="00260F39" w:rsidP="00260F39">
            <w:pPr>
              <w:keepNext/>
              <w:tabs>
                <w:tab w:val="right" w:leader="dot" w:pos="4139"/>
              </w:tabs>
              <w:spacing w:before="240" w:after="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970" w:type="dxa"/>
            <w:tcBorders>
              <w:bottom w:val="single" w:sz="12" w:space="0" w:color="212492"/>
            </w:tcBorders>
            <w:vAlign w:val="center"/>
          </w:tcPr>
          <w:p w:rsidR="00260F39" w:rsidRPr="00FD11D4" w:rsidRDefault="00D35A8F" w:rsidP="004A5B48">
            <w:pPr>
              <w:keepNext/>
              <w:keepLines/>
              <w:spacing w:before="60" w:after="6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11</w:t>
            </w:r>
            <w:r w:rsidR="007C161B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 2020</w:t>
            </w:r>
            <w:r w:rsidR="00260F39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=</w:t>
            </w:r>
            <w:r w:rsidR="00260F39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969" w:type="dxa"/>
            <w:tcBorders>
              <w:bottom w:val="single" w:sz="12" w:space="0" w:color="212492"/>
            </w:tcBorders>
            <w:vAlign w:val="center"/>
          </w:tcPr>
          <w:p w:rsidR="00260F39" w:rsidRPr="00FD11D4" w:rsidRDefault="00C83D7C" w:rsidP="004A5B48">
            <w:pPr>
              <w:keepNext/>
              <w:keepLines/>
              <w:spacing w:before="60" w:after="6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12</w:t>
            </w:r>
            <w:r w:rsidR="007C161B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 2020</w:t>
            </w:r>
            <w:r w:rsidR="00260F39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=</w:t>
            </w:r>
            <w:r w:rsidR="00260F39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971" w:type="dxa"/>
            <w:tcBorders>
              <w:bottom w:val="single" w:sz="12" w:space="0" w:color="212492"/>
            </w:tcBorders>
            <w:vAlign w:val="center"/>
          </w:tcPr>
          <w:p w:rsidR="00260F39" w:rsidRPr="00FD11D4" w:rsidRDefault="00D35A8F" w:rsidP="004A5B48">
            <w:pPr>
              <w:keepNext/>
              <w:keepLines/>
              <w:spacing w:before="60" w:after="6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10</w:t>
            </w:r>
            <w:r w:rsidR="007C161B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 2021</w:t>
            </w:r>
            <w:r w:rsidR="00260F39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=</w:t>
            </w:r>
            <w:r w:rsidR="00260F39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1103" w:type="dxa"/>
            <w:tcBorders>
              <w:bottom w:val="single" w:sz="12" w:space="0" w:color="212492"/>
            </w:tcBorders>
            <w:vAlign w:val="center"/>
          </w:tcPr>
          <w:p w:rsidR="00260F39" w:rsidRPr="00FD11D4" w:rsidRDefault="00D35A8F" w:rsidP="007B3BF3">
            <w:pPr>
              <w:keepNext/>
              <w:tabs>
                <w:tab w:val="right" w:leader="dot" w:pos="4139"/>
              </w:tabs>
              <w:spacing w:before="60" w:after="6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01-11</w:t>
            </w:r>
            <w:r w:rsidR="007C161B" w:rsidRPr="00FD11D4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2020</w:t>
            </w:r>
            <w:r w:rsidR="00260F39" w:rsidRPr="00FD11D4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=</w:t>
            </w:r>
            <w:r w:rsidR="00260F39" w:rsidRPr="00FD11D4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170" w:type="dxa"/>
            <w:vMerge/>
            <w:tcBorders>
              <w:bottom w:val="single" w:sz="12" w:space="0" w:color="212492"/>
            </w:tcBorders>
            <w:vAlign w:val="center"/>
          </w:tcPr>
          <w:p w:rsidR="00260F39" w:rsidRPr="00FD11D4" w:rsidRDefault="00260F39" w:rsidP="00260F39">
            <w:pPr>
              <w:keepNext/>
              <w:keepLines/>
              <w:spacing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DB220F" w:rsidRPr="00FD11D4" w:rsidTr="00DB220F">
        <w:trPr>
          <w:cantSplit/>
          <w:trHeight w:val="57"/>
        </w:trPr>
        <w:tc>
          <w:tcPr>
            <w:tcW w:w="3100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DB220F" w:rsidRPr="00133BA4" w:rsidRDefault="00DB220F" w:rsidP="00DB220F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b/>
                <w:color w:val="000000" w:themeColor="text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970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DB220F" w:rsidRDefault="00DB220F" w:rsidP="00DB220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8526A5">
              <w:rPr>
                <w:b/>
              </w:rPr>
              <w:t>107,8</w:t>
            </w:r>
          </w:p>
        </w:tc>
        <w:tc>
          <w:tcPr>
            <w:tcW w:w="969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DB220F" w:rsidRDefault="00DB220F" w:rsidP="00DB220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8526A5">
              <w:rPr>
                <w:b/>
              </w:rPr>
              <w:t>107,6</w:t>
            </w:r>
          </w:p>
        </w:tc>
        <w:tc>
          <w:tcPr>
            <w:tcW w:w="971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DB220F" w:rsidRDefault="00DB220F" w:rsidP="00DB220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8526A5">
              <w:rPr>
                <w:b/>
              </w:rPr>
              <w:t>101,0</w:t>
            </w:r>
          </w:p>
        </w:tc>
        <w:tc>
          <w:tcPr>
            <w:tcW w:w="1103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DB220F" w:rsidRPr="008526A5" w:rsidRDefault="00DB220F" w:rsidP="00DB220F">
            <w:pPr>
              <w:jc w:val="right"/>
              <w:rPr>
                <w:b/>
              </w:rPr>
            </w:pPr>
            <w:r w:rsidRPr="008526A5">
              <w:rPr>
                <w:b/>
              </w:rPr>
              <w:t>104,8</w:t>
            </w:r>
          </w:p>
        </w:tc>
        <w:tc>
          <w:tcPr>
            <w:tcW w:w="1170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DB220F" w:rsidRPr="00FD11D4" w:rsidRDefault="00DB220F" w:rsidP="00DB220F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FD11D4">
              <w:rPr>
                <w:rFonts w:cs="Arial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DB220F" w:rsidRPr="00FD11D4" w:rsidTr="00DB220F">
        <w:trPr>
          <w:cantSplit/>
          <w:trHeight w:val="57"/>
        </w:trPr>
        <w:tc>
          <w:tcPr>
            <w:tcW w:w="310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133BA4" w:rsidRDefault="00DB220F" w:rsidP="00DB220F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 xml:space="preserve">Food and non-alcoholic </w:t>
            </w:r>
            <w:r w:rsidRPr="00133BA4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br/>
              <w:t>beverages</w:t>
            </w:r>
          </w:p>
        </w:tc>
        <w:tc>
          <w:tcPr>
            <w:tcW w:w="9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106,4</w:t>
            </w:r>
          </w:p>
        </w:tc>
        <w:tc>
          <w:tcPr>
            <w:tcW w:w="96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106,4</w:t>
            </w:r>
          </w:p>
        </w:tc>
        <w:tc>
          <w:tcPr>
            <w:tcW w:w="97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101,3</w:t>
            </w:r>
          </w:p>
        </w:tc>
        <w:tc>
          <w:tcPr>
            <w:tcW w:w="110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102,7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05DAC" w:rsidP="00DB220F">
            <w:pPr>
              <w:jc w:val="right"/>
            </w:pPr>
            <w:r w:rsidRPr="00D23C2A">
              <w:t>0,36</w:t>
            </w:r>
          </w:p>
        </w:tc>
      </w:tr>
      <w:tr w:rsidR="00DB220F" w:rsidRPr="00FD11D4" w:rsidTr="00DB220F">
        <w:trPr>
          <w:cantSplit/>
          <w:trHeight w:val="57"/>
        </w:trPr>
        <w:tc>
          <w:tcPr>
            <w:tcW w:w="310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133BA4" w:rsidRDefault="00DB220F" w:rsidP="00DB220F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 xml:space="preserve">Alcoholic beverages </w:t>
            </w:r>
            <w:r w:rsidRPr="00133BA4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br/>
              <w:t>and tobacco</w:t>
            </w:r>
          </w:p>
        </w:tc>
        <w:tc>
          <w:tcPr>
            <w:tcW w:w="9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102,2</w:t>
            </w:r>
          </w:p>
        </w:tc>
        <w:tc>
          <w:tcPr>
            <w:tcW w:w="96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102,3</w:t>
            </w:r>
          </w:p>
        </w:tc>
        <w:tc>
          <w:tcPr>
            <w:tcW w:w="97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100,2</w:t>
            </w:r>
          </w:p>
        </w:tc>
        <w:tc>
          <w:tcPr>
            <w:tcW w:w="110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102,0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0,01</w:t>
            </w:r>
          </w:p>
        </w:tc>
      </w:tr>
      <w:tr w:rsidR="00DB220F" w:rsidRPr="00FD11D4" w:rsidTr="00DB220F">
        <w:trPr>
          <w:cantSplit/>
          <w:trHeight w:val="57"/>
        </w:trPr>
        <w:tc>
          <w:tcPr>
            <w:tcW w:w="310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133BA4" w:rsidRDefault="00DB220F" w:rsidP="00DB220F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Clothing and footwear</w:t>
            </w:r>
          </w:p>
        </w:tc>
        <w:tc>
          <w:tcPr>
            <w:tcW w:w="9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101,9</w:t>
            </w:r>
          </w:p>
        </w:tc>
        <w:tc>
          <w:tcPr>
            <w:tcW w:w="96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103,4</w:t>
            </w:r>
          </w:p>
        </w:tc>
        <w:tc>
          <w:tcPr>
            <w:tcW w:w="97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100,0</w:t>
            </w:r>
          </w:p>
        </w:tc>
        <w:tc>
          <w:tcPr>
            <w:tcW w:w="110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99,5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0,00</w:t>
            </w:r>
          </w:p>
        </w:tc>
      </w:tr>
      <w:tr w:rsidR="00DB220F" w:rsidRPr="00FD11D4" w:rsidTr="00DB220F">
        <w:trPr>
          <w:cantSplit/>
          <w:trHeight w:val="57"/>
        </w:trPr>
        <w:tc>
          <w:tcPr>
            <w:tcW w:w="310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133BA4" w:rsidRDefault="00DB220F" w:rsidP="00DB220F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Housing, water, electricity, gas and other fuels</w:t>
            </w:r>
          </w:p>
        </w:tc>
        <w:tc>
          <w:tcPr>
            <w:tcW w:w="9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110,7</w:t>
            </w:r>
          </w:p>
        </w:tc>
        <w:tc>
          <w:tcPr>
            <w:tcW w:w="96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110,5</w:t>
            </w:r>
          </w:p>
        </w:tc>
        <w:tc>
          <w:tcPr>
            <w:tcW w:w="97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101,8</w:t>
            </w:r>
          </w:p>
        </w:tc>
        <w:tc>
          <w:tcPr>
            <w:tcW w:w="110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107,0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0,35</w:t>
            </w:r>
          </w:p>
        </w:tc>
      </w:tr>
      <w:tr w:rsidR="00DB220F" w:rsidRPr="00FD11D4" w:rsidTr="00DB220F">
        <w:trPr>
          <w:cantSplit/>
          <w:trHeight w:val="57"/>
        </w:trPr>
        <w:tc>
          <w:tcPr>
            <w:tcW w:w="310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133BA4" w:rsidRDefault="00DB220F" w:rsidP="00DB220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Furnishings, household equipment and routine household maintenance</w:t>
            </w:r>
          </w:p>
        </w:tc>
        <w:tc>
          <w:tcPr>
            <w:tcW w:w="9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105,4</w:t>
            </w:r>
          </w:p>
        </w:tc>
        <w:tc>
          <w:tcPr>
            <w:tcW w:w="96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105,4</w:t>
            </w:r>
          </w:p>
        </w:tc>
        <w:tc>
          <w:tcPr>
            <w:tcW w:w="97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100,2</w:t>
            </w:r>
          </w:p>
        </w:tc>
        <w:tc>
          <w:tcPr>
            <w:tcW w:w="110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103,2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0,01</w:t>
            </w:r>
          </w:p>
        </w:tc>
      </w:tr>
      <w:tr w:rsidR="00DB220F" w:rsidRPr="00FD11D4" w:rsidTr="00DB220F">
        <w:trPr>
          <w:cantSplit/>
          <w:trHeight w:val="57"/>
        </w:trPr>
        <w:tc>
          <w:tcPr>
            <w:tcW w:w="310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133BA4" w:rsidRDefault="00DB220F" w:rsidP="00DB220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 xml:space="preserve">Health </w:t>
            </w:r>
          </w:p>
        </w:tc>
        <w:tc>
          <w:tcPr>
            <w:tcW w:w="9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103,1</w:t>
            </w:r>
          </w:p>
        </w:tc>
        <w:tc>
          <w:tcPr>
            <w:tcW w:w="96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103,1</w:t>
            </w:r>
          </w:p>
        </w:tc>
        <w:tc>
          <w:tcPr>
            <w:tcW w:w="97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100,0</w:t>
            </w:r>
          </w:p>
        </w:tc>
        <w:tc>
          <w:tcPr>
            <w:tcW w:w="110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103,3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0,00</w:t>
            </w:r>
          </w:p>
        </w:tc>
      </w:tr>
      <w:tr w:rsidR="00DB220F" w:rsidRPr="00FD11D4" w:rsidTr="00DB220F">
        <w:trPr>
          <w:cantSplit/>
          <w:trHeight w:val="57"/>
        </w:trPr>
        <w:tc>
          <w:tcPr>
            <w:tcW w:w="310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133BA4" w:rsidRDefault="00DB220F" w:rsidP="00DB220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Transport</w:t>
            </w:r>
          </w:p>
        </w:tc>
        <w:tc>
          <w:tcPr>
            <w:tcW w:w="9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124,1</w:t>
            </w:r>
          </w:p>
        </w:tc>
        <w:tc>
          <w:tcPr>
            <w:tcW w:w="96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121,7</w:t>
            </w:r>
          </w:p>
        </w:tc>
        <w:tc>
          <w:tcPr>
            <w:tcW w:w="97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101,7</w:t>
            </w:r>
          </w:p>
        </w:tc>
        <w:tc>
          <w:tcPr>
            <w:tcW w:w="110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113,6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0,17</w:t>
            </w:r>
          </w:p>
        </w:tc>
      </w:tr>
      <w:tr w:rsidR="00DB220F" w:rsidRPr="00FD11D4" w:rsidTr="00DB220F">
        <w:trPr>
          <w:cantSplit/>
          <w:trHeight w:val="57"/>
        </w:trPr>
        <w:tc>
          <w:tcPr>
            <w:tcW w:w="310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133BA4" w:rsidRDefault="00DB220F" w:rsidP="00DB220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Communication</w:t>
            </w:r>
          </w:p>
        </w:tc>
        <w:tc>
          <w:tcPr>
            <w:tcW w:w="9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104,7</w:t>
            </w:r>
          </w:p>
        </w:tc>
        <w:tc>
          <w:tcPr>
            <w:tcW w:w="96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105,4</w:t>
            </w:r>
          </w:p>
        </w:tc>
        <w:tc>
          <w:tcPr>
            <w:tcW w:w="97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99,7</w:t>
            </w:r>
          </w:p>
        </w:tc>
        <w:tc>
          <w:tcPr>
            <w:tcW w:w="110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105,5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-0,02</w:t>
            </w:r>
          </w:p>
        </w:tc>
      </w:tr>
      <w:tr w:rsidR="00DB220F" w:rsidRPr="00FD11D4" w:rsidTr="00DB220F">
        <w:trPr>
          <w:cantSplit/>
          <w:trHeight w:val="57"/>
        </w:trPr>
        <w:tc>
          <w:tcPr>
            <w:tcW w:w="310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133BA4" w:rsidRDefault="00DB220F" w:rsidP="00DB220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Recreation and culture</w:t>
            </w:r>
          </w:p>
        </w:tc>
        <w:tc>
          <w:tcPr>
            <w:tcW w:w="9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105,7</w:t>
            </w:r>
          </w:p>
        </w:tc>
        <w:tc>
          <w:tcPr>
            <w:tcW w:w="96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105,4</w:t>
            </w:r>
          </w:p>
        </w:tc>
        <w:tc>
          <w:tcPr>
            <w:tcW w:w="97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100,7</w:t>
            </w:r>
          </w:p>
        </w:tc>
        <w:tc>
          <w:tcPr>
            <w:tcW w:w="110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105,0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0,04</w:t>
            </w:r>
          </w:p>
        </w:tc>
      </w:tr>
      <w:tr w:rsidR="00DB220F" w:rsidRPr="00FD11D4" w:rsidTr="00DB220F">
        <w:trPr>
          <w:cantSplit/>
          <w:trHeight w:val="57"/>
        </w:trPr>
        <w:tc>
          <w:tcPr>
            <w:tcW w:w="310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133BA4" w:rsidRDefault="00DB220F" w:rsidP="00DB220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Education</w:t>
            </w:r>
          </w:p>
        </w:tc>
        <w:tc>
          <w:tcPr>
            <w:tcW w:w="9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104,4</w:t>
            </w:r>
          </w:p>
        </w:tc>
        <w:tc>
          <w:tcPr>
            <w:tcW w:w="96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104,4</w:t>
            </w:r>
          </w:p>
        </w:tc>
        <w:tc>
          <w:tcPr>
            <w:tcW w:w="97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100,1</w:t>
            </w:r>
          </w:p>
        </w:tc>
        <w:tc>
          <w:tcPr>
            <w:tcW w:w="110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105,1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0,00</w:t>
            </w:r>
          </w:p>
        </w:tc>
      </w:tr>
      <w:tr w:rsidR="00DB220F" w:rsidRPr="00FD11D4" w:rsidTr="00DB220F">
        <w:trPr>
          <w:cantSplit/>
          <w:trHeight w:val="57"/>
        </w:trPr>
        <w:tc>
          <w:tcPr>
            <w:tcW w:w="310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133BA4" w:rsidRDefault="00DB220F" w:rsidP="00DB220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Restaurants and hotels</w:t>
            </w:r>
          </w:p>
        </w:tc>
        <w:tc>
          <w:tcPr>
            <w:tcW w:w="9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107,6</w:t>
            </w:r>
          </w:p>
        </w:tc>
        <w:tc>
          <w:tcPr>
            <w:tcW w:w="96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107,6</w:t>
            </w:r>
          </w:p>
        </w:tc>
        <w:tc>
          <w:tcPr>
            <w:tcW w:w="97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101,1</w:t>
            </w:r>
          </w:p>
        </w:tc>
        <w:tc>
          <w:tcPr>
            <w:tcW w:w="110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105,9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0,05</w:t>
            </w:r>
          </w:p>
        </w:tc>
      </w:tr>
      <w:tr w:rsidR="00DB220F" w:rsidRPr="00FD11D4" w:rsidTr="00DB220F">
        <w:trPr>
          <w:cantSplit/>
          <w:trHeight w:val="445"/>
        </w:trPr>
        <w:tc>
          <w:tcPr>
            <w:tcW w:w="3100" w:type="dxa"/>
            <w:tcBorders>
              <w:top w:val="single" w:sz="4" w:space="0" w:color="212492"/>
              <w:bottom w:val="nil"/>
            </w:tcBorders>
            <w:vAlign w:val="center"/>
          </w:tcPr>
          <w:p w:rsidR="00DB220F" w:rsidRPr="00133BA4" w:rsidRDefault="00DB220F" w:rsidP="00DB220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Miscellaneous goods and services</w:t>
            </w:r>
          </w:p>
        </w:tc>
        <w:tc>
          <w:tcPr>
            <w:tcW w:w="970" w:type="dxa"/>
            <w:tcBorders>
              <w:top w:val="single" w:sz="4" w:space="0" w:color="212492"/>
              <w:bottom w:val="nil"/>
            </w:tcBorders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102,6</w:t>
            </w:r>
          </w:p>
        </w:tc>
        <w:tc>
          <w:tcPr>
            <w:tcW w:w="969" w:type="dxa"/>
            <w:tcBorders>
              <w:top w:val="single" w:sz="4" w:space="0" w:color="212492"/>
              <w:bottom w:val="nil"/>
            </w:tcBorders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102,9</w:t>
            </w:r>
          </w:p>
        </w:tc>
        <w:tc>
          <w:tcPr>
            <w:tcW w:w="971" w:type="dxa"/>
            <w:tcBorders>
              <w:top w:val="single" w:sz="4" w:space="0" w:color="212492"/>
              <w:bottom w:val="nil"/>
            </w:tcBorders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100,6</w:t>
            </w:r>
          </w:p>
        </w:tc>
        <w:tc>
          <w:tcPr>
            <w:tcW w:w="1103" w:type="dxa"/>
            <w:tcBorders>
              <w:top w:val="single" w:sz="4" w:space="0" w:color="212492"/>
              <w:bottom w:val="nil"/>
            </w:tcBorders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102,1</w:t>
            </w:r>
          </w:p>
        </w:tc>
        <w:tc>
          <w:tcPr>
            <w:tcW w:w="1170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DB220F" w:rsidRPr="008526A5" w:rsidRDefault="00DB220F" w:rsidP="00DB220F">
            <w:pPr>
              <w:jc w:val="right"/>
            </w:pPr>
            <w:r w:rsidRPr="008526A5">
              <w:t>0,03</w:t>
            </w:r>
          </w:p>
        </w:tc>
      </w:tr>
    </w:tbl>
    <w:p w:rsidR="00DB220F" w:rsidRPr="00B66B66" w:rsidRDefault="00DB220F" w:rsidP="00DB220F">
      <w:pPr>
        <w:pStyle w:val="Nagwek1"/>
        <w:spacing w:before="480" w:line="240" w:lineRule="exact"/>
        <w:rPr>
          <w:lang w:val="en-GB"/>
        </w:rPr>
      </w:pPr>
      <w:r w:rsidRPr="00133BA4">
        <w:rPr>
          <w:shd w:val="clear" w:color="auto" w:fill="FFFFFF"/>
          <w:lang w:val="en-GB"/>
        </w:rPr>
        <w:lastRenderedPageBreak/>
        <w:t>Contribution of price changes to the total consumer price index</w:t>
      </w:r>
    </w:p>
    <w:p w:rsidR="00DB220F" w:rsidRPr="006479D4" w:rsidRDefault="00DB220F" w:rsidP="00DB220F">
      <w:pPr>
        <w:spacing w:before="0" w:after="0"/>
        <w:rPr>
          <w:lang w:val="en-GB"/>
        </w:rPr>
      </w:pPr>
      <w:r>
        <w:rPr>
          <w:lang w:val="en-GB"/>
        </w:rPr>
        <w:t>In November</w:t>
      </w:r>
      <w:r w:rsidRPr="006479D4">
        <w:rPr>
          <w:lang w:val="en-GB"/>
        </w:rPr>
        <w:t xml:space="preserve"> of the current year, compared with the previous month, the highest contribution to the total consumer price index came from higher prices related to Dwelling (by </w:t>
      </w:r>
      <w:r w:rsidR="00066D81">
        <w:rPr>
          <w:lang w:val="en-GB"/>
        </w:rPr>
        <w:t>1,4</w:t>
      </w:r>
      <w:r w:rsidRPr="006479D4">
        <w:rPr>
          <w:lang w:val="en-GB"/>
        </w:rPr>
        <w:t>%)</w:t>
      </w:r>
      <w:r>
        <w:rPr>
          <w:lang w:val="en-GB"/>
        </w:rPr>
        <w:t xml:space="preserve">, </w:t>
      </w:r>
      <w:r w:rsidR="00066D81">
        <w:rPr>
          <w:lang w:val="en-GB"/>
        </w:rPr>
        <w:t>Food</w:t>
      </w:r>
      <w:r w:rsidRPr="006479D4">
        <w:rPr>
          <w:lang w:val="en-GB"/>
        </w:rPr>
        <w:t xml:space="preserve"> (by</w:t>
      </w:r>
      <w:r w:rsidR="00200E85">
        <w:rPr>
          <w:lang w:val="en-GB"/>
        </w:rPr>
        <w:t xml:space="preserve"> 1,5</w:t>
      </w:r>
      <w:r w:rsidRPr="006479D4">
        <w:rPr>
          <w:lang w:val="en-GB"/>
        </w:rPr>
        <w:t>%)</w:t>
      </w:r>
      <w:r w:rsidR="00066D81">
        <w:rPr>
          <w:lang w:val="en-GB"/>
        </w:rPr>
        <w:t xml:space="preserve"> and Transport (by 1,7</w:t>
      </w:r>
      <w:r>
        <w:rPr>
          <w:lang w:val="en-GB"/>
        </w:rPr>
        <w:t xml:space="preserve">%) </w:t>
      </w:r>
      <w:r w:rsidRPr="006479D4">
        <w:rPr>
          <w:lang w:val="en-GB"/>
        </w:rPr>
        <w:t>which increased the index by 0,</w:t>
      </w:r>
      <w:r w:rsidR="00066D81">
        <w:rPr>
          <w:lang w:val="en-GB"/>
        </w:rPr>
        <w:t>36</w:t>
      </w:r>
      <w:r w:rsidRPr="006479D4">
        <w:rPr>
          <w:lang w:val="en-GB"/>
        </w:rPr>
        <w:t xml:space="preserve"> p</w:t>
      </w:r>
      <w:r>
        <w:rPr>
          <w:lang w:val="en-GB"/>
        </w:rPr>
        <w:t>p,</w:t>
      </w:r>
      <w:r w:rsidRPr="006479D4">
        <w:rPr>
          <w:lang w:val="en-GB"/>
        </w:rPr>
        <w:t xml:space="preserve"> 0,</w:t>
      </w:r>
      <w:r w:rsidR="00066D81">
        <w:rPr>
          <w:lang w:val="en-GB"/>
        </w:rPr>
        <w:t>35</w:t>
      </w:r>
      <w:r w:rsidRPr="006479D4">
        <w:rPr>
          <w:lang w:val="en-GB"/>
        </w:rPr>
        <w:t xml:space="preserve"> p</w:t>
      </w:r>
      <w:r w:rsidR="00D05DAC">
        <w:rPr>
          <w:lang w:val="en-GB"/>
        </w:rPr>
        <w:t>p and by </w:t>
      </w:r>
      <w:r w:rsidR="00066D81">
        <w:rPr>
          <w:lang w:val="en-GB"/>
        </w:rPr>
        <w:t>0,17</w:t>
      </w:r>
      <w:r>
        <w:rPr>
          <w:lang w:val="en-GB"/>
        </w:rPr>
        <w:t xml:space="preserve"> pp,</w:t>
      </w:r>
      <w:r w:rsidRPr="006479D4">
        <w:rPr>
          <w:lang w:val="en-GB"/>
        </w:rPr>
        <w:t xml:space="preserve"> respectively. Lower prices </w:t>
      </w:r>
      <w:r>
        <w:rPr>
          <w:lang w:val="en-GB"/>
        </w:rPr>
        <w:t xml:space="preserve">related to </w:t>
      </w:r>
      <w:r w:rsidRPr="00671902">
        <w:rPr>
          <w:lang w:val="en-GB"/>
        </w:rPr>
        <w:t>Communication</w:t>
      </w:r>
      <w:r w:rsidRPr="006479D4">
        <w:rPr>
          <w:lang w:val="en-GB"/>
        </w:rPr>
        <w:t xml:space="preserve"> (by 0,3</w:t>
      </w:r>
      <w:r>
        <w:rPr>
          <w:lang w:val="en-GB"/>
        </w:rPr>
        <w:t>%)</w:t>
      </w:r>
      <w:r w:rsidRPr="006479D4">
        <w:rPr>
          <w:lang w:val="en-GB"/>
        </w:rPr>
        <w:t xml:space="preserve"> decreased the index by </w:t>
      </w:r>
      <w:r>
        <w:rPr>
          <w:lang w:val="en-GB"/>
        </w:rPr>
        <w:t>0,02</w:t>
      </w:r>
      <w:r w:rsidRPr="006479D4">
        <w:rPr>
          <w:lang w:val="en-GB"/>
        </w:rPr>
        <w:t xml:space="preserve"> pp</w:t>
      </w:r>
      <w:r>
        <w:rPr>
          <w:lang w:val="en-GB"/>
        </w:rPr>
        <w:t>.</w:t>
      </w:r>
    </w:p>
    <w:p w:rsidR="00DB220F" w:rsidRPr="006479D4" w:rsidRDefault="00DB220F" w:rsidP="00DB220F">
      <w:pPr>
        <w:spacing w:before="0" w:after="0"/>
        <w:rPr>
          <w:b/>
          <w:sz w:val="18"/>
          <w:lang w:val="en-GB"/>
        </w:rPr>
      </w:pPr>
      <w:r w:rsidRPr="006479D4">
        <w:rPr>
          <w:color w:val="000000" w:themeColor="text1"/>
          <w:lang w:val="en-GB"/>
        </w:rPr>
        <w:t>Compared with the corresponding month of the previous year, higher prices related to </w:t>
      </w:r>
      <w:r w:rsidRPr="006479D4">
        <w:rPr>
          <w:lang w:val="en-GB"/>
        </w:rPr>
        <w:t>Dwelling (by </w:t>
      </w:r>
      <w:r w:rsidR="00066D81">
        <w:rPr>
          <w:lang w:val="en-GB"/>
        </w:rPr>
        <w:t>9,5</w:t>
      </w:r>
      <w:r w:rsidRPr="006479D4">
        <w:rPr>
          <w:lang w:val="en-GB"/>
        </w:rPr>
        <w:t>%)</w:t>
      </w:r>
      <w:r>
        <w:rPr>
          <w:lang w:val="en-GB"/>
        </w:rPr>
        <w:t xml:space="preserve">, </w:t>
      </w:r>
      <w:r w:rsidRPr="006479D4">
        <w:rPr>
          <w:lang w:val="en-GB"/>
        </w:rPr>
        <w:t>Transport (by</w:t>
      </w:r>
      <w:r w:rsidR="00066D81">
        <w:rPr>
          <w:lang w:val="en-GB"/>
        </w:rPr>
        <w:t xml:space="preserve"> 24</w:t>
      </w:r>
      <w:r>
        <w:rPr>
          <w:lang w:val="en-GB"/>
        </w:rPr>
        <w:t>,1</w:t>
      </w:r>
      <w:r w:rsidRPr="006479D4">
        <w:rPr>
          <w:lang w:val="en-GB"/>
        </w:rPr>
        <w:t>%)</w:t>
      </w:r>
      <w:r w:rsidR="00066D81">
        <w:rPr>
          <w:lang w:val="en-GB"/>
        </w:rPr>
        <w:t xml:space="preserve"> and Food (by 6,3</w:t>
      </w:r>
      <w:r>
        <w:rPr>
          <w:lang w:val="en-GB"/>
        </w:rPr>
        <w:t>%)</w:t>
      </w:r>
      <w:r w:rsidR="00D05DAC">
        <w:rPr>
          <w:lang w:val="en-GB"/>
        </w:rPr>
        <w:t xml:space="preserve"> increased the consumer price </w:t>
      </w:r>
      <w:r w:rsidRPr="006479D4">
        <w:rPr>
          <w:lang w:val="en-GB"/>
        </w:rPr>
        <w:t xml:space="preserve">index by </w:t>
      </w:r>
      <w:r>
        <w:rPr>
          <w:lang w:val="en-GB"/>
        </w:rPr>
        <w:t>2</w:t>
      </w:r>
      <w:r w:rsidRPr="006479D4">
        <w:rPr>
          <w:lang w:val="en-GB"/>
        </w:rPr>
        <w:t>,</w:t>
      </w:r>
      <w:r w:rsidR="00066D81">
        <w:rPr>
          <w:lang w:val="en-GB"/>
        </w:rPr>
        <w:t>38</w:t>
      </w:r>
      <w:r w:rsidRPr="006479D4">
        <w:rPr>
          <w:lang w:val="en-GB"/>
        </w:rPr>
        <w:t xml:space="preserve"> pp</w:t>
      </w:r>
      <w:r>
        <w:rPr>
          <w:lang w:val="en-GB"/>
        </w:rPr>
        <w:t>,</w:t>
      </w:r>
      <w:r w:rsidRPr="006479D4">
        <w:rPr>
          <w:lang w:val="en-GB"/>
        </w:rPr>
        <w:t xml:space="preserve"> </w:t>
      </w:r>
      <w:r w:rsidR="00066D81">
        <w:rPr>
          <w:lang w:val="en-GB"/>
        </w:rPr>
        <w:t>2</w:t>
      </w:r>
      <w:r w:rsidRPr="006479D4">
        <w:rPr>
          <w:lang w:val="en-GB"/>
        </w:rPr>
        <w:t>,</w:t>
      </w:r>
      <w:r w:rsidR="00066D81">
        <w:rPr>
          <w:lang w:val="en-GB"/>
        </w:rPr>
        <w:t>12</w:t>
      </w:r>
      <w:r w:rsidRPr="006479D4">
        <w:rPr>
          <w:lang w:val="en-GB"/>
        </w:rPr>
        <w:t> p</w:t>
      </w:r>
      <w:r w:rsidR="00200E85">
        <w:rPr>
          <w:lang w:val="en-GB"/>
        </w:rPr>
        <w:t>p and 1,56</w:t>
      </w:r>
      <w:r>
        <w:rPr>
          <w:lang w:val="en-GB"/>
        </w:rPr>
        <w:t xml:space="preserve"> pp,</w:t>
      </w:r>
      <w:r w:rsidRPr="006479D4">
        <w:rPr>
          <w:lang w:val="en-GB"/>
        </w:rPr>
        <w:t xml:space="preserve"> respectively. </w:t>
      </w:r>
    </w:p>
    <w:p w:rsidR="00934246" w:rsidRPr="00FD11D4" w:rsidRDefault="00934246" w:rsidP="00934246">
      <w:pPr>
        <w:spacing w:before="0" w:after="0"/>
        <w:rPr>
          <w:b/>
          <w:spacing w:val="-2"/>
          <w:sz w:val="18"/>
        </w:rPr>
      </w:pPr>
    </w:p>
    <w:p w:rsidR="001D1175" w:rsidRDefault="001D1175" w:rsidP="0080551D">
      <w:pPr>
        <w:pStyle w:val="tytuwykresu"/>
        <w:ind w:left="794" w:hanging="794"/>
      </w:pPr>
    </w:p>
    <w:p w:rsidR="00F24CE7" w:rsidRPr="00FE1BBD" w:rsidRDefault="00D05DAC" w:rsidP="00F24CE7">
      <w:pPr>
        <w:pStyle w:val="tytuwykresu"/>
        <w:ind w:left="635" w:hanging="635"/>
        <w:rPr>
          <w:noProof/>
          <w:lang w:val="en-GB" w:eastAsia="en-GB"/>
        </w:rPr>
      </w:pPr>
      <w:r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391693</wp:posOffset>
            </wp:positionV>
            <wp:extent cx="5122545" cy="2616835"/>
            <wp:effectExtent l="0" t="0" r="0" b="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CE7" w:rsidRPr="00133BA4">
        <w:rPr>
          <w:noProof/>
          <w:lang w:val="en-GB" w:eastAsia="en-GB"/>
        </w:rPr>
        <w:t xml:space="preserve">Chart 1. Contribution of price changes of </w:t>
      </w:r>
      <w:r w:rsidR="00F24CE7" w:rsidRPr="00C441AB">
        <w:rPr>
          <w:noProof/>
          <w:lang w:val="en-GB" w:eastAsia="en-GB"/>
        </w:rPr>
        <w:t xml:space="preserve">selected groups of consumer goods and services </w:t>
      </w:r>
      <w:r w:rsidR="00F24CE7">
        <w:rPr>
          <w:noProof/>
          <w:lang w:val="en-GB" w:eastAsia="en-GB"/>
        </w:rPr>
        <w:br/>
        <w:t>in November</w:t>
      </w:r>
      <w:r w:rsidR="00F24CE7" w:rsidRPr="00C441AB">
        <w:rPr>
          <w:noProof/>
          <w:lang w:val="en-GB" w:eastAsia="en-GB"/>
        </w:rPr>
        <w:t xml:space="preserve"> 2021 (change in pp compared with the previous period)</w:t>
      </w:r>
    </w:p>
    <w:p w:rsidR="00A07F00" w:rsidRDefault="00A07F00" w:rsidP="0080551D">
      <w:pPr>
        <w:pStyle w:val="tytuwykresu"/>
        <w:ind w:left="794" w:hanging="794"/>
        <w:rPr>
          <w:shd w:val="clear" w:color="auto" w:fill="FFFFFF"/>
        </w:rPr>
      </w:pPr>
    </w:p>
    <w:p w:rsidR="00A55B73" w:rsidRPr="00FD11D4" w:rsidRDefault="00A55B73" w:rsidP="00234969">
      <w:pPr>
        <w:spacing w:before="0" w:after="160"/>
        <w:rPr>
          <w:b/>
          <w:spacing w:val="-2"/>
          <w:sz w:val="18"/>
        </w:rPr>
      </w:pPr>
    </w:p>
    <w:p w:rsidR="00A55B73" w:rsidRPr="00FD11D4" w:rsidRDefault="00F24CE7" w:rsidP="00590926">
      <w:pPr>
        <w:spacing w:before="0" w:after="160" w:line="259" w:lineRule="auto"/>
        <w:ind w:left="822" w:hanging="822"/>
        <w:rPr>
          <w:b/>
          <w:spacing w:val="-2"/>
          <w:sz w:val="18"/>
        </w:rPr>
      </w:pPr>
      <w:r w:rsidRPr="00133BA4">
        <w:rPr>
          <w:noProof/>
          <w:lang w:eastAsia="pl-PL"/>
        </w:rPr>
        <w:drawing>
          <wp:anchor distT="0" distB="0" distL="114300" distR="114300" simplePos="0" relativeHeight="251664896" behindDoc="0" locked="0" layoutInCell="1" allowOverlap="1" wp14:anchorId="3B5CB7B8" wp14:editId="6F00DCD1">
            <wp:simplePos x="0" y="0"/>
            <wp:positionH relativeFrom="column">
              <wp:posOffset>0</wp:posOffset>
            </wp:positionH>
            <wp:positionV relativeFrom="paragraph">
              <wp:posOffset>451473</wp:posOffset>
            </wp:positionV>
            <wp:extent cx="5120640" cy="3247390"/>
            <wp:effectExtent l="0" t="0" r="3810" b="0"/>
            <wp:wrapSquare wrapText="bothSides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BA4">
        <w:rPr>
          <w:b/>
          <w:spacing w:val="-2"/>
          <w:sz w:val="18"/>
          <w:lang w:val="en-GB"/>
        </w:rPr>
        <w:t>Chart 2. Weighting system used in the compilations of consumer price indices in</w:t>
      </w:r>
      <w:r w:rsidRPr="00133BA4">
        <w:rPr>
          <w:noProof/>
          <w:lang w:val="en-GB" w:eastAsia="en-GB"/>
        </w:rPr>
        <w:t xml:space="preserve"> </w:t>
      </w:r>
      <w:r w:rsidRPr="00133BA4">
        <w:rPr>
          <w:b/>
          <w:spacing w:val="-2"/>
          <w:sz w:val="18"/>
          <w:lang w:val="en-GB"/>
        </w:rPr>
        <w:t>2021</w:t>
      </w:r>
      <w:r w:rsidR="005F4399" w:rsidRPr="008544D0">
        <w:rPr>
          <w:b/>
          <w:spacing w:val="-2"/>
          <w:sz w:val="18"/>
        </w:rPr>
        <w:t>.</w:t>
      </w:r>
    </w:p>
    <w:p w:rsidR="009C30CD" w:rsidRDefault="009C30CD">
      <w:pPr>
        <w:spacing w:before="0" w:after="160" w:line="259" w:lineRule="auto"/>
        <w:rPr>
          <w:b/>
          <w:spacing w:val="-2"/>
          <w:sz w:val="18"/>
        </w:rPr>
      </w:pPr>
      <w:r>
        <w:br w:type="page"/>
      </w:r>
    </w:p>
    <w:p w:rsidR="003A440F" w:rsidRDefault="00CC5EDC" w:rsidP="00F161AC">
      <w:pPr>
        <w:pStyle w:val="tytuwykresu"/>
        <w:ind w:left="794" w:hanging="794"/>
        <w:rPr>
          <w:shd w:val="clear" w:color="auto" w:fill="FFFFFF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233680</wp:posOffset>
            </wp:positionV>
            <wp:extent cx="5122545" cy="2582545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F24CE7" w:rsidRPr="00133BA4">
        <w:rPr>
          <w:lang w:val="en-GB"/>
        </w:rPr>
        <w:t>Chart 3.</w:t>
      </w:r>
      <w:r w:rsidR="00F24CE7" w:rsidRPr="00133BA4">
        <w:rPr>
          <w:shd w:val="clear" w:color="auto" w:fill="FFFFFF"/>
          <w:lang w:val="en-GB"/>
        </w:rPr>
        <w:t xml:space="preserve"> Changes in consumer prices as related to </w:t>
      </w:r>
      <w:r w:rsidR="00F24CE7" w:rsidRPr="00133BA4">
        <w:rPr>
          <w:lang w:val="en-GB"/>
        </w:rPr>
        <w:t>the previous period (in</w:t>
      </w:r>
      <w:r w:rsidR="00F24CE7" w:rsidRPr="00133BA4">
        <w:rPr>
          <w:shd w:val="clear" w:color="auto" w:fill="FFFFFF"/>
          <w:lang w:val="en-GB"/>
        </w:rPr>
        <w:t xml:space="preserve"> %)</w:t>
      </w:r>
    </w:p>
    <w:p w:rsidR="006715EE" w:rsidRPr="00FD11D4" w:rsidRDefault="006715EE" w:rsidP="00D4654D">
      <w:pPr>
        <w:pStyle w:val="tytuwykresu"/>
      </w:pPr>
    </w:p>
    <w:p w:rsidR="00034160" w:rsidRDefault="00EC2527" w:rsidP="00751D7D">
      <w:pPr>
        <w:pStyle w:val="tytuwykresu"/>
        <w:ind w:left="794" w:hanging="794"/>
        <w:rPr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-139314</wp:posOffset>
            </wp:positionH>
            <wp:positionV relativeFrom="paragraph">
              <wp:posOffset>404274</wp:posOffset>
            </wp:positionV>
            <wp:extent cx="5122545" cy="2534285"/>
            <wp:effectExtent l="0" t="0" r="0" b="0"/>
            <wp:wrapSquare wrapText="bothSides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9E3F12" w:rsidRPr="00FD11D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43392" behindDoc="1" locked="0" layoutInCell="1" allowOverlap="1" wp14:anchorId="2BED9E02" wp14:editId="55D38CA4">
                <wp:simplePos x="0" y="0"/>
                <wp:positionH relativeFrom="column">
                  <wp:posOffset>5270500</wp:posOffset>
                </wp:positionH>
                <wp:positionV relativeFrom="page">
                  <wp:posOffset>4067175</wp:posOffset>
                </wp:positionV>
                <wp:extent cx="1725295" cy="1367790"/>
                <wp:effectExtent l="0" t="0" r="0" b="3810"/>
                <wp:wrapTight wrapText="bothSides">
                  <wp:wrapPolygon edited="0">
                    <wp:start x="477" y="0"/>
                    <wp:lineTo x="477" y="21359"/>
                    <wp:lineTo x="20749" y="21359"/>
                    <wp:lineTo x="20749" y="0"/>
                    <wp:lineTo x="477" y="0"/>
                  </wp:wrapPolygon>
                </wp:wrapTight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DAC" w:rsidRPr="004F4BA0" w:rsidRDefault="00D05DAC" w:rsidP="00F24CE7">
                            <w:pPr>
                              <w:pStyle w:val="Tekstprzypisudolnego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</w:pPr>
                            <w:r w:rsidRPr="004F4BA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In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November</w:t>
                            </w:r>
                            <w:r w:rsidRPr="004F4BA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 2021 </w:t>
                            </w:r>
                            <w:r w:rsidRPr="00ED0EA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the consumer price index </w:t>
                            </w:r>
                            <w:r w:rsidRPr="00FC0C8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was above the upper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band for devia</w:t>
                            </w:r>
                            <w:r w:rsidRPr="00FC0C8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tions from inflation target determined by the Monetary Policy Council (2,5% +/- 1 pp)</w:t>
                            </w:r>
                          </w:p>
                          <w:p w:rsidR="00D05DAC" w:rsidRPr="00F96C68" w:rsidRDefault="00D05DAC" w:rsidP="007364D7">
                            <w:pPr>
                              <w:pStyle w:val="Tekstprzypisudolnego"/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2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D9E02" id="Text Box 25" o:spid="_x0000_s1027" type="#_x0000_t202" style="position:absolute;left:0;text-align:left;margin-left:415pt;margin-top:320.25pt;width:135.85pt;height:107.7pt;z-index:-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" filled="f" stroked="f">
                <v:textbox>
                  <w:txbxContent>
                    <w:p w:rsidR="00D05DAC" w:rsidRPr="004F4BA0" w:rsidRDefault="00D05DAC" w:rsidP="00F24CE7">
                      <w:pPr>
                        <w:pStyle w:val="Tekstprzypisudolnego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</w:pPr>
                      <w:r w:rsidRPr="004F4BA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In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November</w:t>
                      </w:r>
                      <w:r w:rsidRPr="004F4BA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 2021 </w:t>
                      </w:r>
                      <w:r w:rsidRPr="00ED0EA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the consumer price index </w:t>
                      </w:r>
                      <w:r w:rsidRPr="00FC0C8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was above the upper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band for devia</w:t>
                      </w:r>
                      <w:r w:rsidRPr="00FC0C8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tions from inflation target determined by the Monetary Policy Council (2,5% +/- 1 pp)</w:t>
                      </w:r>
                    </w:p>
                    <w:p w:rsidR="00D05DAC" w:rsidRPr="00F96C68" w:rsidRDefault="00D05DAC" w:rsidP="007364D7">
                      <w:pPr>
                        <w:pStyle w:val="Tekstprzypisudolnego"/>
                        <w:rPr>
                          <w:rFonts w:eastAsia="Times New Roman" w:cs="Times New Roman"/>
                          <w:bCs/>
                          <w:color w:val="001D77"/>
                          <w:spacing w:val="-2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24CE7" w:rsidRPr="00133BA4">
        <w:rPr>
          <w:lang w:val="en-GB"/>
        </w:rPr>
        <w:t>Chart 4.</w:t>
      </w:r>
      <w:r w:rsidR="00F24CE7" w:rsidRPr="00133BA4">
        <w:rPr>
          <w:shd w:val="clear" w:color="auto" w:fill="FFFFFF"/>
          <w:lang w:val="en-GB"/>
        </w:rPr>
        <w:t xml:space="preserve"> Changes in c</w:t>
      </w:r>
      <w:r w:rsidR="00F24CE7" w:rsidRPr="00133BA4">
        <w:rPr>
          <w:spacing w:val="-4"/>
          <w:lang w:val="en-GB"/>
        </w:rPr>
        <w:t>onsumer prices</w:t>
      </w:r>
      <w:r w:rsidR="00F24CE7" w:rsidRPr="00133BA4">
        <w:rPr>
          <w:spacing w:val="-4"/>
          <w:shd w:val="clear" w:color="auto" w:fill="FFFFFF"/>
          <w:lang w:val="en-GB"/>
        </w:rPr>
        <w:t xml:space="preserve"> as related to the </w:t>
      </w:r>
      <w:r w:rsidR="00F24CE7" w:rsidRPr="00133BA4">
        <w:rPr>
          <w:spacing w:val="-4"/>
          <w:lang w:val="en-GB"/>
        </w:rPr>
        <w:t>corresponding period of the previous year</w:t>
      </w:r>
      <w:r w:rsidR="00F24CE7" w:rsidRPr="00133BA4">
        <w:rPr>
          <w:spacing w:val="-4"/>
          <w:shd w:val="clear" w:color="auto" w:fill="FFFFFF"/>
          <w:lang w:val="en-GB"/>
        </w:rPr>
        <w:t xml:space="preserve"> (in %)</w:t>
      </w:r>
    </w:p>
    <w:p w:rsidR="00367ACC" w:rsidRPr="00FD11D4" w:rsidRDefault="00367ACC" w:rsidP="006233B9">
      <w:pPr>
        <w:rPr>
          <w:sz w:val="18"/>
          <w:highlight w:val="yellow"/>
        </w:rPr>
      </w:pPr>
    </w:p>
    <w:p w:rsidR="00E01E27" w:rsidRDefault="00916C2A" w:rsidP="008434BA">
      <w:pPr>
        <w:pStyle w:val="tytuwykresu"/>
        <w:ind w:left="794" w:hanging="794"/>
        <w:rPr>
          <w:bCs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556260</wp:posOffset>
            </wp:positionV>
            <wp:extent cx="5122545" cy="2471420"/>
            <wp:effectExtent l="0" t="0" r="0" b="0"/>
            <wp:wrapSquare wrapText="bothSides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66B" w:rsidRPr="00B3466B">
        <w:rPr>
          <w:lang w:val="en-GB"/>
        </w:rPr>
        <w:t xml:space="preserve"> </w:t>
      </w:r>
      <w:r w:rsidR="00B3466B" w:rsidRPr="00133BA4">
        <w:rPr>
          <w:lang w:val="en-GB"/>
        </w:rPr>
        <w:t>Chart 5.</w:t>
      </w:r>
      <w:r w:rsidR="00B3466B" w:rsidRPr="00133BA4">
        <w:rPr>
          <w:shd w:val="clear" w:color="auto" w:fill="FFFFFF"/>
          <w:lang w:val="en-GB"/>
        </w:rPr>
        <w:t xml:space="preserve"> Changes in prices according to c</w:t>
      </w:r>
      <w:r w:rsidR="00B3466B" w:rsidRPr="00133BA4">
        <w:rPr>
          <w:bCs/>
          <w:shd w:val="clear" w:color="auto" w:fill="FFFFFF"/>
          <w:lang w:val="en-GB"/>
        </w:rPr>
        <w:t xml:space="preserve">onsumer price index (CPI) and harmonised index of </w:t>
      </w:r>
      <w:r w:rsidR="00B3466B" w:rsidRPr="00133BA4">
        <w:rPr>
          <w:bCs/>
          <w:shd w:val="clear" w:color="auto" w:fill="FFFFFF"/>
          <w:lang w:val="en-GB"/>
        </w:rPr>
        <w:br/>
        <w:t>consumer prices (HICP) as related to the corresponding period of the previous year (in %)</w:t>
      </w:r>
    </w:p>
    <w:p w:rsidR="00916C2A" w:rsidRPr="00FD11D4" w:rsidRDefault="00916C2A" w:rsidP="008434BA">
      <w:pPr>
        <w:pStyle w:val="tytuwykresu"/>
        <w:ind w:left="794" w:hanging="794"/>
        <w:rPr>
          <w:bCs/>
          <w:shd w:val="clear" w:color="auto" w:fill="FFFFFF"/>
        </w:rPr>
      </w:pPr>
    </w:p>
    <w:p w:rsidR="00516A50" w:rsidRPr="00FD11D4" w:rsidRDefault="00820461" w:rsidP="00AA451B">
      <w:pPr>
        <w:pStyle w:val="tytuwykresu"/>
        <w:rPr>
          <w:bCs/>
          <w:shd w:val="clear" w:color="auto" w:fill="FFFFFF"/>
        </w:rPr>
      </w:pPr>
      <w:r w:rsidRPr="00FD11D4">
        <w:rPr>
          <w:highlight w:val="yellow"/>
        </w:rPr>
        <w:br w:type="page"/>
      </w:r>
      <w:r w:rsidR="00B3466B" w:rsidRPr="00133BA4">
        <w:rPr>
          <w:lang w:val="en-GB"/>
        </w:rPr>
        <w:lastRenderedPageBreak/>
        <w:t>Table 2.</w:t>
      </w:r>
      <w:r w:rsidR="00B3466B" w:rsidRPr="00133BA4">
        <w:rPr>
          <w:shd w:val="clear" w:color="auto" w:fill="FFFFFF"/>
          <w:lang w:val="en-GB"/>
        </w:rPr>
        <w:t xml:space="preserve"> </w:t>
      </w:r>
      <w:r w:rsidR="00B3466B" w:rsidRPr="00133BA4">
        <w:rPr>
          <w:bCs/>
          <w:shd w:val="clear" w:color="auto" w:fill="FFFFFF"/>
          <w:lang w:val="en-GB"/>
        </w:rPr>
        <w:t>Consumer price indices</w:t>
      </w:r>
      <w:r w:rsidR="00B3466B">
        <w:rPr>
          <w:bCs/>
          <w:shd w:val="clear" w:color="auto" w:fill="FFFFFF"/>
          <w:lang w:val="en-GB"/>
        </w:rPr>
        <w:t xml:space="preserve"> in November</w:t>
      </w:r>
      <w:r w:rsidR="00B3466B" w:rsidRPr="004F4BA0">
        <w:rPr>
          <w:bCs/>
          <w:shd w:val="clear" w:color="auto" w:fill="FFFFFF"/>
          <w:lang w:val="en-GB"/>
        </w:rPr>
        <w:t xml:space="preserve"> </w:t>
      </w:r>
      <w:r w:rsidR="00B3466B" w:rsidRPr="004F4BA0">
        <w:rPr>
          <w:lang w:val="en-GB"/>
        </w:rPr>
        <w:t>2021</w:t>
      </w:r>
    </w:p>
    <w:p w:rsidR="00DE775D" w:rsidRPr="00FD11D4" w:rsidRDefault="00DE775D" w:rsidP="00BA3BDE">
      <w:pPr>
        <w:pStyle w:val="LID"/>
        <w:spacing w:before="60" w:after="60"/>
        <w:rPr>
          <w:bCs/>
          <w:sz w:val="18"/>
          <w:shd w:val="clear" w:color="auto" w:fill="FFFFFF"/>
        </w:rPr>
      </w:pPr>
    </w:p>
    <w:tbl>
      <w:tblPr>
        <w:tblW w:w="8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9"/>
        <w:gridCol w:w="1086"/>
        <w:gridCol w:w="1086"/>
        <w:gridCol w:w="1093"/>
        <w:gridCol w:w="1176"/>
      </w:tblGrid>
      <w:tr w:rsidR="00B86E2F" w:rsidRPr="00FD11D4" w:rsidTr="00A04E4F">
        <w:trPr>
          <w:trHeight w:val="315"/>
          <w:tblHeader/>
        </w:trPr>
        <w:tc>
          <w:tcPr>
            <w:tcW w:w="3639" w:type="dxa"/>
            <w:vMerge w:val="restart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86E2F" w:rsidRPr="00FD11D4" w:rsidRDefault="00B3466B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31EB0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86E2F" w:rsidRPr="00FD11D4" w:rsidRDefault="00CC03C3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11</w:t>
            </w:r>
            <w:r w:rsidR="00F70C4A" w:rsidRPr="00FD11D4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="00751D7D" w:rsidRPr="00FD11D4">
              <w:rPr>
                <w:rFonts w:eastAsia="Times New Roman" w:cs="Calibri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B86E2F" w:rsidRPr="00FD11D4" w:rsidRDefault="00F70C4A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Calibri"/>
                <w:sz w:val="16"/>
                <w:szCs w:val="16"/>
                <w:lang w:eastAsia="pl-PL"/>
              </w:rPr>
              <w:t>01</w:t>
            </w:r>
            <w:r w:rsidR="00751D7D" w:rsidRPr="00FD11D4">
              <w:rPr>
                <w:rFonts w:eastAsia="Times New Roman" w:cs="Calibri"/>
                <w:sz w:val="16"/>
                <w:szCs w:val="16"/>
                <w:lang w:eastAsia="pl-PL"/>
              </w:rPr>
              <w:t>-</w:t>
            </w:r>
            <w:r w:rsidR="00CC03C3">
              <w:rPr>
                <w:rFonts w:eastAsia="Times New Roman" w:cs="Calibri"/>
                <w:sz w:val="16"/>
                <w:szCs w:val="16"/>
                <w:lang w:eastAsia="pl-PL"/>
              </w:rPr>
              <w:t>11</w:t>
            </w:r>
            <w:r w:rsidR="00751D7D" w:rsidRPr="00FD11D4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2021</w:t>
            </w:r>
          </w:p>
        </w:tc>
      </w:tr>
      <w:tr w:rsidR="00B86E2F" w:rsidRPr="00FD11D4" w:rsidTr="00A04E4F">
        <w:trPr>
          <w:trHeight w:val="465"/>
          <w:tblHeader/>
        </w:trPr>
        <w:tc>
          <w:tcPr>
            <w:tcW w:w="3639" w:type="dxa"/>
            <w:vMerge/>
            <w:tcBorders>
              <w:top w:val="nil"/>
              <w:left w:val="nil"/>
              <w:bottom w:val="single" w:sz="12" w:space="0" w:color="212492"/>
              <w:right w:val="single" w:sz="8" w:space="0" w:color="212492"/>
            </w:tcBorders>
            <w:vAlign w:val="center"/>
            <w:hideMark/>
          </w:tcPr>
          <w:p w:rsidR="00B86E2F" w:rsidRPr="00FD11D4" w:rsidRDefault="00B86E2F" w:rsidP="00B86E2F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B86E2F" w:rsidRPr="00FD11D4" w:rsidRDefault="00CC03C3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11</w:t>
            </w:r>
            <w:r w:rsidR="00751D7D" w:rsidRPr="00FD11D4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2020</w:t>
            </w:r>
            <w:r w:rsidR="00B86E2F" w:rsidRPr="00FD11D4">
              <w:rPr>
                <w:rFonts w:eastAsia="Times New Roman" w:cs="Calibri"/>
                <w:sz w:val="16"/>
                <w:szCs w:val="16"/>
                <w:lang w:eastAsia="pl-PL"/>
              </w:rPr>
              <w:t>=</w:t>
            </w:r>
            <w:r w:rsidR="00B86E2F" w:rsidRPr="00FD11D4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086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B86E2F" w:rsidRPr="00FD11D4" w:rsidRDefault="00F70C4A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Calibri"/>
                <w:sz w:val="16"/>
                <w:szCs w:val="16"/>
                <w:lang w:eastAsia="pl-PL"/>
              </w:rPr>
              <w:t>12</w:t>
            </w:r>
            <w:r w:rsidR="00751D7D" w:rsidRPr="00FD11D4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2020</w:t>
            </w:r>
            <w:r w:rsidR="00B86E2F" w:rsidRPr="00FD11D4">
              <w:rPr>
                <w:rFonts w:eastAsia="Times New Roman" w:cs="Calibri"/>
                <w:sz w:val="16"/>
                <w:szCs w:val="16"/>
                <w:lang w:eastAsia="pl-PL"/>
              </w:rPr>
              <w:t>=</w:t>
            </w:r>
            <w:r w:rsidR="00B86E2F" w:rsidRPr="00FD11D4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093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B86E2F" w:rsidRPr="00FD11D4" w:rsidRDefault="00CC03C3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10</w:t>
            </w:r>
            <w:r w:rsidR="00751D7D" w:rsidRPr="00FD11D4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2021</w:t>
            </w:r>
            <w:r w:rsidR="00B86E2F" w:rsidRPr="00FD11D4">
              <w:rPr>
                <w:rFonts w:eastAsia="Times New Roman" w:cs="Calibri"/>
                <w:sz w:val="16"/>
                <w:szCs w:val="16"/>
                <w:lang w:eastAsia="pl-PL"/>
              </w:rPr>
              <w:t>=</w:t>
            </w:r>
            <w:r w:rsidR="00B86E2F" w:rsidRPr="00FD11D4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B86E2F" w:rsidRPr="00FD11D4" w:rsidRDefault="00F70C4A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Calibri"/>
                <w:sz w:val="16"/>
                <w:szCs w:val="16"/>
                <w:lang w:eastAsia="pl-PL"/>
              </w:rPr>
              <w:t>01</w:t>
            </w:r>
            <w:r w:rsidR="00751D7D" w:rsidRPr="00FD11D4">
              <w:rPr>
                <w:rFonts w:eastAsia="Times New Roman" w:cs="Calibri"/>
                <w:sz w:val="16"/>
                <w:szCs w:val="16"/>
                <w:lang w:eastAsia="pl-PL"/>
              </w:rPr>
              <w:t>-</w:t>
            </w:r>
            <w:r w:rsidR="00CC03C3">
              <w:rPr>
                <w:rFonts w:eastAsia="Times New Roman" w:cs="Calibri"/>
                <w:sz w:val="16"/>
                <w:szCs w:val="16"/>
                <w:lang w:eastAsia="pl-PL"/>
              </w:rPr>
              <w:t>11</w:t>
            </w:r>
            <w:r w:rsidR="00751D7D" w:rsidRPr="00FD11D4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2020</w:t>
            </w:r>
            <w:r w:rsidR="00B86E2F" w:rsidRPr="00FD11D4">
              <w:rPr>
                <w:rFonts w:eastAsia="Times New Roman" w:cs="Calibri"/>
                <w:sz w:val="16"/>
                <w:szCs w:val="16"/>
                <w:lang w:eastAsia="pl-PL"/>
              </w:rPr>
              <w:t xml:space="preserve">= </w:t>
            </w:r>
            <w:r w:rsidR="00B86E2F" w:rsidRPr="00FD11D4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</w:tr>
      <w:tr w:rsidR="00D23C2A" w:rsidRPr="00FD11D4" w:rsidTr="00883071">
        <w:trPr>
          <w:trHeight w:val="456"/>
        </w:trPr>
        <w:tc>
          <w:tcPr>
            <w:tcW w:w="3639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FD11D4" w:rsidRDefault="00D23C2A" w:rsidP="00D23C2A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1EB0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086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107,8</w:t>
            </w:r>
          </w:p>
        </w:tc>
        <w:tc>
          <w:tcPr>
            <w:tcW w:w="1086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107,6</w:t>
            </w:r>
          </w:p>
        </w:tc>
        <w:tc>
          <w:tcPr>
            <w:tcW w:w="1093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176" w:type="dxa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104,8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40" w:after="4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Goods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108,1</w:t>
            </w:r>
          </w:p>
        </w:tc>
        <w:tc>
          <w:tcPr>
            <w:tcW w:w="1086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107,9</w:t>
            </w:r>
          </w:p>
        </w:tc>
        <w:tc>
          <w:tcPr>
            <w:tcW w:w="1093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40" w:after="4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Services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106,6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106,8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106,8</w:t>
            </w:r>
          </w:p>
        </w:tc>
      </w:tr>
      <w:tr w:rsidR="00D23C2A" w:rsidRPr="00FD11D4" w:rsidTr="00883071">
        <w:trPr>
          <w:trHeight w:val="453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40" w:after="0" w:line="240" w:lineRule="auto"/>
              <w:rPr>
                <w:rFonts w:eastAsia="Times New Roman" w:cs="Arial"/>
                <w:caps/>
                <w:color w:val="000000"/>
                <w:spacing w:val="-2"/>
                <w:sz w:val="16"/>
                <w:szCs w:val="16"/>
                <w:lang w:val="en-GB" w:eastAsia="pl-PL"/>
              </w:rPr>
            </w:pPr>
            <w:r w:rsidRPr="00831EB0">
              <w:rPr>
                <w:rFonts w:eastAsia="Times New Roman" w:cs="Arial"/>
                <w:caps/>
                <w:color w:val="000000"/>
                <w:spacing w:val="-2"/>
                <w:sz w:val="16"/>
                <w:szCs w:val="16"/>
                <w:lang w:val="en-GB" w:eastAsia="pl-PL"/>
              </w:rPr>
              <w:t xml:space="preserve">FOOD, NON-ALCOHOLIC BEVERAGES, </w:t>
            </w:r>
          </w:p>
          <w:p w:rsidR="00D23C2A" w:rsidRPr="00831EB0" w:rsidRDefault="00D23C2A" w:rsidP="00D23C2A">
            <w:pPr>
              <w:spacing w:before="0" w:after="4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831EB0">
              <w:rPr>
                <w:rFonts w:eastAsia="Times New Roman" w:cs="Arial"/>
                <w:caps/>
                <w:color w:val="000000"/>
                <w:spacing w:val="-2"/>
                <w:sz w:val="16"/>
                <w:szCs w:val="16"/>
                <w:lang w:val="en-GB" w:eastAsia="pl-PL"/>
              </w:rPr>
              <w:t>ALCOHOLIC BEVERAGES AND TOBACCO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rPr>
                <w:rFonts w:cs="Arial"/>
                <w:color w:val="000000"/>
                <w:spacing w:val="-6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pacing w:val="-6"/>
                <w:sz w:val="16"/>
                <w:szCs w:val="16"/>
                <w:lang w:val="en-GB"/>
              </w:rPr>
              <w:t>FOOD AND NON-ALCOHOLIC BEVERAGES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106,4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106,4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40" w:after="4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Food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106,3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106,3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</w:tr>
      <w:tr w:rsidR="00D23C2A" w:rsidRPr="00FD11D4" w:rsidTr="00D23C2A">
        <w:trPr>
          <w:trHeight w:val="186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20" w:after="20"/>
              <w:ind w:left="227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Rice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105,3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Flour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104,1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Bread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107,0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Pasta products and couscous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Meat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105,3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106,1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D23C2A" w:rsidRPr="00FD11D4" w:rsidTr="00D23C2A">
        <w:trPr>
          <w:trHeight w:val="2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20" w:after="20"/>
              <w:ind w:left="340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Beef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104,4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104,9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Veal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Pork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93,9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Poultry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123,7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125,6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113,0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Dried, salted or smoked meat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Fish and seafood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Milk, cheese and eggs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</w:tr>
      <w:tr w:rsidR="00D23C2A" w:rsidRPr="00FD11D4" w:rsidTr="00D23C2A">
        <w:trPr>
          <w:trHeight w:val="253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20" w:after="20"/>
              <w:ind w:left="340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23C2A" w:rsidRPr="00FD11D4" w:rsidTr="00883071">
        <w:trPr>
          <w:trHeight w:val="318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Milk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</w:tr>
      <w:tr w:rsidR="00D23C2A" w:rsidRPr="00FD11D4" w:rsidTr="00883071">
        <w:trPr>
          <w:trHeight w:val="476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Yoghurt, cream, milk-based desserts, milk-based beverages and other similar milk-based products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,7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Cheese and curd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106,0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Eggs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Oils and fats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117,6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Vegetable fats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122,8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106,4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Animal fats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113,8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454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of which butter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114,2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Fruit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98,0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Vegetables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Sugar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119,4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118,9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Non-alcoholic beverages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106,3</w:t>
            </w:r>
          </w:p>
        </w:tc>
      </w:tr>
      <w:tr w:rsidR="00D23C2A" w:rsidRPr="00FD11D4" w:rsidTr="00D23C2A">
        <w:trPr>
          <w:trHeight w:val="193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40" w:after="40" w:line="240" w:lineRule="auto"/>
              <w:ind w:left="227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Coffee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Tea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Cocoa and powdered chocolate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Mineral or spring waters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107,9</w:t>
            </w:r>
          </w:p>
        </w:tc>
      </w:tr>
      <w:tr w:rsidR="00D23C2A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20" w:after="20"/>
              <w:ind w:left="227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Fruit and vegetable juices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rPr>
                <w:rFonts w:cs="Arial"/>
                <w:color w:val="000000"/>
                <w:spacing w:val="-2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pacing w:val="-2"/>
                <w:sz w:val="16"/>
                <w:szCs w:val="16"/>
                <w:lang w:val="en-GB"/>
              </w:rPr>
              <w:lastRenderedPageBreak/>
              <w:t>ALCOHOLIC BEVERAGES AND TOBACCO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Alcoholic beverages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Tobacco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CLOTHING AND FOOTWEAR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</w:tr>
      <w:tr w:rsidR="00D23C2A" w:rsidRPr="00FD11D4" w:rsidTr="00D23C2A">
        <w:trPr>
          <w:trHeight w:val="262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Garments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99,0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Footwear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DWELLING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106,1</w:t>
            </w:r>
          </w:p>
        </w:tc>
      </w:tr>
      <w:tr w:rsidR="00D23C2A" w:rsidRPr="00FD11D4" w:rsidTr="00CC03C3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HOUSING, WATER, ELECTRICITY, GAS </w:t>
            </w: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br/>
              <w:t>AND OTHER FUELS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107,0</w:t>
            </w:r>
          </w:p>
        </w:tc>
      </w:tr>
      <w:tr w:rsidR="00D23C2A" w:rsidRPr="00FD11D4" w:rsidTr="00D23C2A">
        <w:trPr>
          <w:trHeight w:val="17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Actual rentals for housing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Water supply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Refuse collection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116,7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116,2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125,8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Sewage collection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104,9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Electricity, gas and other fuels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113,4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106,4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Electricity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110,0</w:t>
            </w:r>
          </w:p>
        </w:tc>
      </w:tr>
      <w:tr w:rsidR="00D23C2A" w:rsidRPr="00FD11D4" w:rsidTr="00CC03C3">
        <w:trPr>
          <w:trHeight w:val="208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Gas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117,5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117,5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</w:tr>
      <w:tr w:rsidR="00D23C2A" w:rsidRPr="00FD11D4" w:rsidTr="00CC03C3">
        <w:trPr>
          <w:trHeight w:val="268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Liquid and solid fuels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137,4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137,2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107,5</w:t>
            </w:r>
          </w:p>
        </w:tc>
      </w:tr>
      <w:tr w:rsidR="00D23C2A" w:rsidRPr="00FD11D4" w:rsidTr="00CC03C3">
        <w:trPr>
          <w:trHeight w:val="259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40" w:after="4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Heat energy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</w:tr>
      <w:tr w:rsidR="00D23C2A" w:rsidRPr="00FD11D4" w:rsidTr="00CC03C3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FURNISHINGS, HOUSEHOLD EQUIPMENT AND ROUTINE HOUSEHOLD MAINTENANCE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</w:tr>
      <w:tr w:rsidR="00D23C2A" w:rsidRPr="00FD11D4" w:rsidTr="00D23C2A">
        <w:trPr>
          <w:trHeight w:val="156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23C2A" w:rsidRPr="00FD11D4" w:rsidTr="00CC03C3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60" w:after="6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Furniture and furnishings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106,5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60" w:after="6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Household appliances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60" w:after="60"/>
              <w:ind w:left="113"/>
              <w:rPr>
                <w:rFonts w:cs="Arial"/>
                <w:color w:val="000000"/>
                <w:spacing w:val="-2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pacing w:val="-2"/>
                <w:sz w:val="16"/>
                <w:szCs w:val="16"/>
                <w:lang w:val="en-GB"/>
              </w:rPr>
              <w:t>Cleaning and maintenance products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</w:tr>
      <w:tr w:rsidR="00D23C2A" w:rsidRPr="00FD11D4" w:rsidTr="00CC03C3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2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Domestic services and household </w:t>
            </w: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br/>
              <w:t>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107,0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HEALTH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</w:tr>
      <w:tr w:rsidR="00D23C2A" w:rsidRPr="00FD11D4" w:rsidTr="00D23C2A">
        <w:trPr>
          <w:trHeight w:val="218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Pharmaceutical products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Therapeutic appliances and equipment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Medical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106,7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Dental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108,1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Hospital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105,9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TRANSPORT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121,7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113,6</w:t>
            </w:r>
          </w:p>
        </w:tc>
      </w:tr>
      <w:tr w:rsidR="00D23C2A" w:rsidRPr="00FD11D4" w:rsidTr="00D23C2A">
        <w:trPr>
          <w:trHeight w:val="208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Purchase of vehicles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of which motor cars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Fuels for personal transport equipment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121,0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 w:line="240" w:lineRule="auto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Diesel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136,9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118,7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 w:line="240" w:lineRule="auto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Petrol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121,4</w:t>
            </w:r>
          </w:p>
        </w:tc>
      </w:tr>
      <w:tr w:rsidR="00D23C2A" w:rsidRPr="00FD11D4" w:rsidTr="00CC03C3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 w:line="240" w:lineRule="auto"/>
              <w:ind w:left="227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Liquid petroleum gas and other fuels for personal transport equipment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147,9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127,2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Transport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83071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lastRenderedPageBreak/>
              <w:t>COMMUNICATION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105,5</w:t>
            </w:r>
          </w:p>
        </w:tc>
      </w:tr>
      <w:tr w:rsidR="00D23C2A" w:rsidRPr="00FD11D4" w:rsidTr="00D23C2A">
        <w:trPr>
          <w:trHeight w:val="277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Telephone and telefax equipment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91,9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Telephone and telefax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106,2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RECREATION AND CULTURE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105,0</w:t>
            </w:r>
          </w:p>
        </w:tc>
      </w:tr>
      <w:tr w:rsidR="00D23C2A" w:rsidRPr="00FD11D4" w:rsidTr="00D23C2A">
        <w:trPr>
          <w:trHeight w:val="21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20" w:after="2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23C2A" w:rsidRPr="00FD11D4" w:rsidTr="00CC03C3">
        <w:trPr>
          <w:trHeight w:val="532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Audio-visual, photographic and information processing equipment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</w:tr>
      <w:tr w:rsidR="00D23C2A" w:rsidRPr="00FD11D4" w:rsidTr="00CC03C3">
        <w:trPr>
          <w:trHeight w:val="300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Recreational and cultural services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104,5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105,9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108,5</w:t>
            </w:r>
          </w:p>
        </w:tc>
      </w:tr>
      <w:tr w:rsidR="00D23C2A" w:rsidRPr="00FD11D4" w:rsidTr="00D23C2A">
        <w:trPr>
          <w:trHeight w:val="212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20" w:after="2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23C2A" w:rsidRPr="00FD11D4" w:rsidTr="00CC03C3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Recreational and sporting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105,6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Cultural services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98,9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109,7</w:t>
            </w:r>
          </w:p>
        </w:tc>
      </w:tr>
      <w:tr w:rsidR="00D23C2A" w:rsidRPr="00FD11D4" w:rsidTr="00CC03C3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of which television and radio licence fees, subscriptions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110,0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Books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106,1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Newspapers and periodicals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104,4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40" w:after="4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Stationery and drawing materials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Package holidays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227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Package domestic holidays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107,3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Package international holidays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EDUCATION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104,4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104,4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RESTAURANTS AND HOTELS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105,9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MISCELLANEOUS GOODS AND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</w:tr>
      <w:tr w:rsidR="00D23C2A" w:rsidRPr="00FD11D4" w:rsidTr="00D23C2A">
        <w:trPr>
          <w:trHeight w:val="276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20" w:after="2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Personal care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</w:tr>
      <w:tr w:rsidR="00D23C2A" w:rsidRPr="00FD11D4" w:rsidTr="00D23C2A">
        <w:trPr>
          <w:trHeight w:val="214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20" w:after="20"/>
              <w:ind w:left="227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23C2A" w:rsidRPr="00FD11D4" w:rsidTr="00CC03C3">
        <w:trPr>
          <w:trHeight w:val="434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Hairdressing salons and personal grooming establishments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107,8</w:t>
            </w:r>
          </w:p>
        </w:tc>
      </w:tr>
      <w:tr w:rsidR="00D23C2A" w:rsidRPr="00FD11D4" w:rsidTr="00CC03C3">
        <w:trPr>
          <w:trHeight w:val="398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227"/>
              <w:rPr>
                <w:rFonts w:cs="Arial"/>
                <w:color w:val="000000"/>
                <w:spacing w:val="-2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pacing w:val="-2"/>
                <w:sz w:val="16"/>
                <w:szCs w:val="16"/>
                <w:lang w:val="en-GB"/>
              </w:rPr>
              <w:t>Articles for personal hygiene and wellness, esoteric products and beauty products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Social protection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106,3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106,3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108,1</w:t>
            </w:r>
          </w:p>
        </w:tc>
      </w:tr>
      <w:tr w:rsidR="00D23C2A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Insurance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</w:tr>
      <w:tr w:rsidR="00D23C2A" w:rsidRPr="00FD11D4" w:rsidTr="00D23C2A">
        <w:trPr>
          <w:trHeight w:val="270"/>
        </w:trPr>
        <w:tc>
          <w:tcPr>
            <w:tcW w:w="363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831EB0" w:rsidRDefault="00D23C2A" w:rsidP="00D23C2A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831EB0">
              <w:rPr>
                <w:rFonts w:cs="Arial"/>
                <w:color w:val="000000"/>
                <w:sz w:val="16"/>
                <w:szCs w:val="16"/>
                <w:lang w:val="en-GB"/>
              </w:rPr>
              <w:t>Charges by banks and post offices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C2A" w:rsidRPr="00CC03C3" w:rsidRDefault="00D23C2A" w:rsidP="00D23C2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116,6</w:t>
            </w:r>
          </w:p>
        </w:tc>
      </w:tr>
    </w:tbl>
    <w:p w:rsidR="009E3FA7" w:rsidRPr="00FD11D4" w:rsidRDefault="009E3FA7" w:rsidP="001F6707">
      <w:pPr>
        <w:pStyle w:val="LID"/>
        <w:spacing w:after="40"/>
        <w:rPr>
          <w:bCs/>
          <w:sz w:val="18"/>
          <w:shd w:val="clear" w:color="auto" w:fill="FFFFFF"/>
        </w:rPr>
      </w:pPr>
    </w:p>
    <w:p w:rsidR="009F5CBC" w:rsidRPr="00FD11D4" w:rsidRDefault="009F5CBC" w:rsidP="00883763">
      <w:pPr>
        <w:spacing w:before="0" w:after="160" w:line="259" w:lineRule="auto"/>
        <w:rPr>
          <w:noProof/>
          <w:sz w:val="16"/>
          <w:szCs w:val="16"/>
          <w:highlight w:val="yellow"/>
          <w:lang w:eastAsia="pl-PL"/>
        </w:rPr>
      </w:pPr>
    </w:p>
    <w:p w:rsidR="00427F11" w:rsidRPr="00133BA4" w:rsidRDefault="00427F11" w:rsidP="00427F11">
      <w:pPr>
        <w:pStyle w:val="NormalnyWeb"/>
        <w:spacing w:before="120" w:beforeAutospacing="0" w:after="0" w:afterAutospacing="0"/>
        <w:rPr>
          <w:rStyle w:val="Hipercze"/>
          <w:rFonts w:ascii="Fira Sans" w:hAnsi="Fira Sans"/>
          <w:sz w:val="19"/>
          <w:szCs w:val="19"/>
        </w:rPr>
      </w:pPr>
      <w:r w:rsidRPr="00133BA4">
        <w:rPr>
          <w:rFonts w:ascii="Fira Sans" w:hAnsi="Fira Sans"/>
          <w:color w:val="222222"/>
          <w:sz w:val="19"/>
          <w:szCs w:val="19"/>
        </w:rPr>
        <w:t xml:space="preserve">The guidelines in the context of the COVID-19 pandemic crisis recommended by Eurostat concerning consumer price indices and weighting system are presented under the link </w:t>
      </w:r>
      <w:hyperlink r:id="rId17" w:history="1">
        <w:r w:rsidRPr="00133BA4">
          <w:rPr>
            <w:rStyle w:val="Hipercze"/>
            <w:rFonts w:ascii="Fira Sans" w:hAnsi="Fira Sans"/>
            <w:sz w:val="19"/>
            <w:szCs w:val="19"/>
          </w:rPr>
          <w:t>https://stat.gov.pl/obszary-tematyczne/ceny-handel/wskazniki-cen/wytyczne-dotyczace-opracowania-hicp-w-kontekscie-kryzysu-zwiazanego-z-covid-19,19,1.html</w:t>
        </w:r>
      </w:hyperlink>
    </w:p>
    <w:p w:rsidR="00427F11" w:rsidRPr="00133BA4" w:rsidRDefault="00427F11" w:rsidP="00427F11">
      <w:pPr>
        <w:pStyle w:val="NormalnyWeb"/>
        <w:spacing w:before="0" w:beforeAutospacing="0" w:after="0" w:afterAutospacing="0"/>
        <w:rPr>
          <w:rFonts w:ascii="Fira Sans" w:hAnsi="Fira Sans"/>
          <w:color w:val="222222"/>
          <w:sz w:val="16"/>
          <w:szCs w:val="16"/>
        </w:rPr>
      </w:pPr>
    </w:p>
    <w:p w:rsidR="00427F11" w:rsidRPr="00133BA4" w:rsidRDefault="00427F11" w:rsidP="00427F11">
      <w:pPr>
        <w:spacing w:before="0" w:after="160" w:line="259" w:lineRule="auto"/>
        <w:rPr>
          <w:color w:val="222222"/>
          <w:szCs w:val="19"/>
          <w:lang w:val="en-GB"/>
        </w:rPr>
      </w:pPr>
    </w:p>
    <w:p w:rsidR="00427F11" w:rsidRDefault="00427F11" w:rsidP="00427F11">
      <w:pPr>
        <w:spacing w:before="0" w:after="160" w:line="259" w:lineRule="auto"/>
        <w:rPr>
          <w:color w:val="222222"/>
          <w:szCs w:val="19"/>
          <w:lang w:val="en-GB"/>
        </w:rPr>
      </w:pPr>
    </w:p>
    <w:p w:rsidR="00427F11" w:rsidRPr="00810D6F" w:rsidRDefault="00427F11" w:rsidP="00427F11">
      <w:pPr>
        <w:spacing w:before="0" w:after="160" w:line="259" w:lineRule="auto"/>
        <w:rPr>
          <w:noProof/>
          <w:szCs w:val="19"/>
          <w:highlight w:val="yellow"/>
          <w:lang w:val="en-GB" w:eastAsia="pl-PL"/>
        </w:rPr>
        <w:sectPr w:rsidR="00427F11" w:rsidRPr="00810D6F" w:rsidSect="00EF7B36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133BA4">
        <w:rPr>
          <w:color w:val="222222"/>
          <w:szCs w:val="19"/>
          <w:lang w:val="en-GB"/>
        </w:rPr>
        <w:t>In case of quoting Statistics Poland data, please provide information: “Source of data: Statistics Poland”, and in case of publishing calculations made on data published by Statistics Poland, please include the following disclaimer: “Own study based on figures from Statistics Poland”.</w:t>
      </w:r>
    </w:p>
    <w:p w:rsidR="000470AA" w:rsidRPr="00FD11D4" w:rsidRDefault="000470AA" w:rsidP="000470AA">
      <w:pPr>
        <w:rPr>
          <w:sz w:val="18"/>
          <w:highlight w:val="yellow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6"/>
        <w:gridCol w:w="3927"/>
      </w:tblGrid>
      <w:tr w:rsidR="00427F11" w:rsidRPr="00720CFD" w:rsidTr="00877C5E">
        <w:trPr>
          <w:trHeight w:val="1912"/>
        </w:trPr>
        <w:tc>
          <w:tcPr>
            <w:tcW w:w="4356" w:type="dxa"/>
          </w:tcPr>
          <w:p w:rsidR="00427F11" w:rsidRPr="00133BA4" w:rsidRDefault="00427F11" w:rsidP="00427F11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:rsidR="00427F11" w:rsidRPr="00133BA4" w:rsidRDefault="00427F11" w:rsidP="00427F11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133BA4">
              <w:rPr>
                <w:rFonts w:cs="Arial"/>
                <w:b/>
                <w:color w:val="000000" w:themeColor="text1"/>
                <w:sz w:val="20"/>
                <w:lang w:val="en-GB"/>
              </w:rPr>
              <w:t>Trade and Services Department</w:t>
            </w:r>
          </w:p>
          <w:p w:rsidR="00427F11" w:rsidRPr="00133BA4" w:rsidRDefault="00427F11" w:rsidP="00427F11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133BA4">
              <w:rPr>
                <w:rFonts w:cs="Arial"/>
                <w:b/>
                <w:color w:val="000000" w:themeColor="text1"/>
                <w:sz w:val="20"/>
                <w:lang w:val="en-GB"/>
              </w:rPr>
              <w:t>Director Ewa Adach-Stankiewicz</w:t>
            </w:r>
          </w:p>
          <w:p w:rsidR="00427F11" w:rsidRPr="00133BA4" w:rsidRDefault="00427F11" w:rsidP="00427F11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GB"/>
              </w:rPr>
            </w:pPr>
            <w:r w:rsidRPr="00133BA4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Office: tel. (+48 22) 608 31 24</w:t>
            </w:r>
          </w:p>
        </w:tc>
        <w:tc>
          <w:tcPr>
            <w:tcW w:w="3927" w:type="dxa"/>
          </w:tcPr>
          <w:p w:rsidR="00427F11" w:rsidRPr="00133BA4" w:rsidRDefault="00427F11" w:rsidP="00427F11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133BA4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133BA4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The Spokesperson for the President </w:t>
            </w:r>
          </w:p>
          <w:p w:rsidR="00427F11" w:rsidRPr="00133BA4" w:rsidRDefault="00427F11" w:rsidP="00427F11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133BA4">
              <w:rPr>
                <w:rFonts w:cs="Arial"/>
                <w:b/>
                <w:color w:val="000000" w:themeColor="text1"/>
                <w:sz w:val="20"/>
                <w:lang w:val="en-GB"/>
              </w:rPr>
              <w:t>of Statistics Poland</w:t>
            </w:r>
          </w:p>
          <w:p w:rsidR="00427F11" w:rsidRPr="00133BA4" w:rsidRDefault="00427F11" w:rsidP="00427F11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133BA4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Karolina</w:t>
            </w:r>
            <w:r w:rsidRPr="00133BA4">
              <w:rPr>
                <w:rFonts w:ascii="Fira Sans" w:hAnsi="Fira Sans" w:cs="Arial"/>
                <w:b/>
                <w:color w:val="auto"/>
                <w:sz w:val="20"/>
                <w:szCs w:val="28"/>
                <w:lang w:val="en-GB"/>
              </w:rPr>
              <w:t xml:space="preserve"> Banaszek</w:t>
            </w:r>
          </w:p>
          <w:p w:rsidR="00427F11" w:rsidRPr="00133BA4" w:rsidRDefault="00427F11" w:rsidP="00427F11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133BA4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Mobile: (+48) 695 255 011</w:t>
            </w:r>
          </w:p>
          <w:p w:rsidR="00427F11" w:rsidRPr="00133BA4" w:rsidRDefault="00427F11" w:rsidP="00427F11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427F11" w:rsidRPr="00810D6F" w:rsidRDefault="00427F11" w:rsidP="00427F11">
      <w:pPr>
        <w:rPr>
          <w:sz w:val="18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427F11" w:rsidRPr="00720CFD" w:rsidTr="00877C5E">
        <w:trPr>
          <w:trHeight w:val="610"/>
        </w:trPr>
        <w:tc>
          <w:tcPr>
            <w:tcW w:w="2721" w:type="pct"/>
            <w:vMerge w:val="restart"/>
          </w:tcPr>
          <w:p w:rsidR="00427F11" w:rsidRPr="00133BA4" w:rsidRDefault="00427F11" w:rsidP="00427F11">
            <w:pPr>
              <w:spacing w:before="240"/>
              <w:rPr>
                <w:b/>
                <w:sz w:val="20"/>
                <w:lang w:val="en-GB"/>
              </w:rPr>
            </w:pPr>
            <w:r w:rsidRPr="00133BA4">
              <w:rPr>
                <w:b/>
                <w:sz w:val="20"/>
                <w:lang w:val="en-GB"/>
              </w:rPr>
              <w:t>Press Office</w:t>
            </w:r>
          </w:p>
          <w:p w:rsidR="00427F11" w:rsidRPr="00133BA4" w:rsidRDefault="00427F11" w:rsidP="00427F11">
            <w:pPr>
              <w:rPr>
                <w:sz w:val="20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20"/>
                <w:szCs w:val="24"/>
                <w:lang w:val="en-GB"/>
              </w:rPr>
              <w:t xml:space="preserve">Office: tel. (+48 22) </w:t>
            </w:r>
            <w:r w:rsidRPr="00133BA4">
              <w:rPr>
                <w:sz w:val="20"/>
                <w:lang w:val="en-GB"/>
              </w:rPr>
              <w:t xml:space="preserve">608 34 91, 608 38 04 </w:t>
            </w:r>
          </w:p>
          <w:p w:rsidR="00427F11" w:rsidRPr="00133BA4" w:rsidRDefault="00427F11" w:rsidP="00427F11">
            <w:pPr>
              <w:rPr>
                <w:sz w:val="18"/>
                <w:lang w:val="en-GB"/>
              </w:rPr>
            </w:pPr>
            <w:r w:rsidRPr="00133BA4">
              <w:rPr>
                <w:b/>
                <w:sz w:val="20"/>
                <w:lang w:val="en-GB"/>
              </w:rPr>
              <w:t>e-mail:</w:t>
            </w:r>
            <w:r w:rsidRPr="00133BA4">
              <w:rPr>
                <w:sz w:val="20"/>
                <w:lang w:val="en-GB"/>
              </w:rPr>
              <w:t xml:space="preserve"> </w:t>
            </w:r>
            <w:hyperlink r:id="rId22" w:history="1">
              <w:r w:rsidRPr="00133BA4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427F11" w:rsidRPr="00133BA4" w:rsidRDefault="00427F11" w:rsidP="00427F11">
            <w:pPr>
              <w:rPr>
                <w:sz w:val="18"/>
                <w:lang w:val="en-GB"/>
              </w:rPr>
            </w:pPr>
            <w:r w:rsidRPr="00133BA4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8992" behindDoc="0" locked="0" layoutInCell="1" allowOverlap="1" wp14:anchorId="4B2A7EEA" wp14:editId="3853B5D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427F11" w:rsidRPr="00133BA4" w:rsidRDefault="00451C83" w:rsidP="00427F11">
            <w:pPr>
              <w:rPr>
                <w:color w:val="000000" w:themeColor="text1"/>
                <w:sz w:val="18"/>
                <w:lang w:val="en-GB"/>
              </w:rPr>
            </w:pPr>
            <w:hyperlink r:id="rId24" w:history="1">
              <w:r w:rsidR="00427F11" w:rsidRPr="00133BA4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www.stat.gov.pl/en/</w:t>
              </w:r>
            </w:hyperlink>
          </w:p>
        </w:tc>
      </w:tr>
      <w:tr w:rsidR="00427F11" w:rsidRPr="00FD11D4" w:rsidTr="00877C5E">
        <w:trPr>
          <w:trHeight w:val="436"/>
        </w:trPr>
        <w:tc>
          <w:tcPr>
            <w:tcW w:w="2721" w:type="pct"/>
            <w:vMerge/>
            <w:vAlign w:val="center"/>
          </w:tcPr>
          <w:p w:rsidR="00427F11" w:rsidRPr="00810D6F" w:rsidRDefault="00427F11" w:rsidP="00427F11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427F11" w:rsidRPr="00810D6F" w:rsidRDefault="00427F11" w:rsidP="00427F11">
            <w:pPr>
              <w:rPr>
                <w:sz w:val="18"/>
                <w:lang w:val="en-GB"/>
              </w:rPr>
            </w:pPr>
            <w:r w:rsidRPr="00133BA4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71040" behindDoc="0" locked="0" layoutInCell="1" allowOverlap="1" wp14:anchorId="7E74DDD6" wp14:editId="646F52ED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427F11" w:rsidRPr="00FD11D4" w:rsidRDefault="00451C83" w:rsidP="00427F11">
            <w:pPr>
              <w:rPr>
                <w:sz w:val="18"/>
              </w:rPr>
            </w:pPr>
            <w:hyperlink r:id="rId26" w:history="1">
              <w:r w:rsidR="00427F11" w:rsidRPr="00133BA4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@StatPoland</w:t>
              </w:r>
            </w:hyperlink>
          </w:p>
        </w:tc>
      </w:tr>
      <w:tr w:rsidR="00427F11" w:rsidRPr="00FD11D4" w:rsidTr="00877C5E">
        <w:trPr>
          <w:trHeight w:val="436"/>
        </w:trPr>
        <w:tc>
          <w:tcPr>
            <w:tcW w:w="2721" w:type="pct"/>
            <w:vMerge/>
            <w:vAlign w:val="center"/>
          </w:tcPr>
          <w:p w:rsidR="00427F11" w:rsidRPr="00FD11D4" w:rsidRDefault="00427F11" w:rsidP="00427F11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427F11" w:rsidRPr="00FD11D4" w:rsidRDefault="00427F11" w:rsidP="00427F11">
            <w:pPr>
              <w:rPr>
                <w:sz w:val="18"/>
              </w:rPr>
            </w:pPr>
            <w:r w:rsidRPr="00133BA4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73088" behindDoc="0" locked="0" layoutInCell="1" allowOverlap="1" wp14:anchorId="1DCD356D" wp14:editId="64875C9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427F11" w:rsidRPr="00FD11D4" w:rsidRDefault="00451C83" w:rsidP="00427F11">
            <w:pPr>
              <w:rPr>
                <w:sz w:val="20"/>
              </w:rPr>
            </w:pPr>
            <w:hyperlink r:id="rId28" w:history="1">
              <w:r w:rsidR="00427F11" w:rsidRPr="00133BA4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@GlownyUrzadStatystyczny</w:t>
              </w:r>
            </w:hyperlink>
          </w:p>
        </w:tc>
      </w:tr>
    </w:tbl>
    <w:p w:rsidR="00427F11" w:rsidRPr="00FD11D4" w:rsidRDefault="00427F11" w:rsidP="00427F11">
      <w:pPr>
        <w:rPr>
          <w:sz w:val="18"/>
        </w:rPr>
      </w:pPr>
      <w:r w:rsidRPr="00FD11D4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7F78CA2" wp14:editId="2EDAE7C9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DAC" w:rsidRDefault="00D05DAC" w:rsidP="00427F11">
                            <w:pPr>
                              <w:rPr>
                                <w:b/>
                              </w:rPr>
                            </w:pPr>
                          </w:p>
                          <w:p w:rsidR="00D05DAC" w:rsidRPr="00941435" w:rsidRDefault="00D05DAC" w:rsidP="00427F11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941435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:rsidR="00D05DAC" w:rsidRPr="00941435" w:rsidRDefault="00451C83" w:rsidP="00427F1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9" w:history="1">
                              <w:r w:rsidR="00D05DAC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Communications and Announcements</w:t>
                              </w:r>
                            </w:hyperlink>
                          </w:p>
                          <w:p w:rsidR="00D05DAC" w:rsidRPr="00941435" w:rsidRDefault="00451C83" w:rsidP="00427F1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0" w:history="1">
                              <w:r w:rsidR="00D05DAC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News releases</w:t>
                              </w:r>
                            </w:hyperlink>
                          </w:p>
                          <w:p w:rsidR="00D05DAC" w:rsidRPr="00941435" w:rsidRDefault="00D05DAC" w:rsidP="00427F11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D05DAC" w:rsidRPr="00941435" w:rsidRDefault="00D05DAC" w:rsidP="00427F11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941435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:rsidR="00D05DAC" w:rsidRPr="00941435" w:rsidRDefault="00451C83" w:rsidP="00427F1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1" w:history="1">
                              <w:r w:rsidR="00D05DAC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Knowledge Database Prices</w:t>
                              </w:r>
                            </w:hyperlink>
                          </w:p>
                          <w:p w:rsidR="00D05DAC" w:rsidRPr="00941435" w:rsidRDefault="00451C83" w:rsidP="00427F1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2" w:history="1">
                              <w:r w:rsidR="00D05DAC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Macroeconomic Data Bank</w:t>
                              </w:r>
                            </w:hyperlink>
                          </w:p>
                          <w:p w:rsidR="00D05DAC" w:rsidRPr="00941435" w:rsidRDefault="00451C83" w:rsidP="00427F1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3" w:history="1">
                              <w:r w:rsidR="00D05DAC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Local Data Bank</w:t>
                              </w:r>
                            </w:hyperlink>
                          </w:p>
                          <w:p w:rsidR="00D05DAC" w:rsidRPr="00941435" w:rsidRDefault="00451C83" w:rsidP="00427F1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4" w:history="1">
                              <w:r w:rsidR="00D05DAC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 indices (Topics: Prices, Trade)</w:t>
                              </w:r>
                            </w:hyperlink>
                          </w:p>
                          <w:p w:rsidR="00D05DAC" w:rsidRPr="00941435" w:rsidRDefault="00451C83" w:rsidP="00427F1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5" w:history="1">
                              <w:r w:rsidR="00D05DAC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Prices (Topics: Prices, Trade)</w:t>
                              </w:r>
                            </w:hyperlink>
                          </w:p>
                          <w:p w:rsidR="00D05DAC" w:rsidRPr="00941435" w:rsidRDefault="00D05DAC" w:rsidP="00427F11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D05DAC" w:rsidRPr="00941435" w:rsidRDefault="00D05DAC" w:rsidP="00427F11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941435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:rsidR="00D05DAC" w:rsidRPr="00941435" w:rsidRDefault="00451C83" w:rsidP="00427F1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6" w:history="1">
                              <w:r w:rsidR="00D05DAC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 index of consumer goods and services</w:t>
                              </w:r>
                            </w:hyperlink>
                          </w:p>
                          <w:p w:rsidR="00D05DAC" w:rsidRPr="00566A43" w:rsidRDefault="00451C83" w:rsidP="00427F1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7" w:history="1">
                              <w:r w:rsidR="00D05DAC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Retail price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78CA2" id="_x0000_s1028" type="#_x0000_t202" style="position:absolute;margin-left:1.5pt;margin-top:34.7pt;width:516.5pt;height:349.8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CP0fIc+AgAAdAQAAA4A&#10;AAAAAAAAAAAAAAAALgIAAGRycy9lMm9Eb2MueG1sUEsBAi0AFAAGAAgAAAAhACsuXqPfAAAACQEA&#10;AA8AAAAAAAAAAAAAAAAAmAQAAGRycy9kb3ducmV2LnhtbFBLBQYAAAAABAAEAPMAAACkBQAAAAA=&#10;" fillcolor="#f2f2f2 [3052]" strokecolor="white [3212]">
                <v:textbox>
                  <w:txbxContent>
                    <w:p w:rsidR="00D05DAC" w:rsidRDefault="00D05DAC" w:rsidP="00427F11">
                      <w:pPr>
                        <w:rPr>
                          <w:b/>
                        </w:rPr>
                      </w:pPr>
                    </w:p>
                    <w:p w:rsidR="00D05DAC" w:rsidRPr="00941435" w:rsidRDefault="00D05DAC" w:rsidP="00427F11">
                      <w:pPr>
                        <w:rPr>
                          <w:b/>
                          <w:lang w:val="en-GB"/>
                        </w:rPr>
                      </w:pPr>
                      <w:r w:rsidRPr="00941435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:rsidR="00D05DAC" w:rsidRPr="00941435" w:rsidRDefault="00451C83" w:rsidP="00427F1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8" w:history="1">
                        <w:r w:rsidR="00D05DAC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Communications and Announcements</w:t>
                        </w:r>
                      </w:hyperlink>
                    </w:p>
                    <w:p w:rsidR="00D05DAC" w:rsidRPr="00941435" w:rsidRDefault="00451C83" w:rsidP="00427F1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9" w:history="1">
                        <w:r w:rsidR="00D05DAC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News releases</w:t>
                        </w:r>
                      </w:hyperlink>
                    </w:p>
                    <w:p w:rsidR="00D05DAC" w:rsidRPr="00941435" w:rsidRDefault="00D05DAC" w:rsidP="00427F11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D05DAC" w:rsidRPr="00941435" w:rsidRDefault="00D05DAC" w:rsidP="00427F11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941435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Data available in databases</w:t>
                      </w:r>
                    </w:p>
                    <w:p w:rsidR="00D05DAC" w:rsidRPr="00941435" w:rsidRDefault="00451C83" w:rsidP="00427F1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0" w:history="1">
                        <w:r w:rsidR="00D05DAC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Knowledge Database Prices</w:t>
                        </w:r>
                      </w:hyperlink>
                    </w:p>
                    <w:p w:rsidR="00D05DAC" w:rsidRPr="00941435" w:rsidRDefault="00451C83" w:rsidP="00427F1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1" w:history="1">
                        <w:r w:rsidR="00D05DAC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Macroeconomic Data Bank</w:t>
                        </w:r>
                      </w:hyperlink>
                    </w:p>
                    <w:p w:rsidR="00D05DAC" w:rsidRPr="00941435" w:rsidRDefault="00451C83" w:rsidP="00427F1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2" w:history="1">
                        <w:r w:rsidR="00D05DAC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Local Data Bank</w:t>
                        </w:r>
                      </w:hyperlink>
                    </w:p>
                    <w:p w:rsidR="00D05DAC" w:rsidRPr="00941435" w:rsidRDefault="00451C83" w:rsidP="00427F1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3" w:history="1">
                        <w:r w:rsidR="00D05DAC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 indices (Topics: Prices, Trade)</w:t>
                        </w:r>
                      </w:hyperlink>
                    </w:p>
                    <w:p w:rsidR="00D05DAC" w:rsidRPr="00941435" w:rsidRDefault="00451C83" w:rsidP="00427F1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4" w:history="1">
                        <w:r w:rsidR="00D05DAC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Prices (Topics: Prices, Trade)</w:t>
                        </w:r>
                      </w:hyperlink>
                    </w:p>
                    <w:p w:rsidR="00D05DAC" w:rsidRPr="00941435" w:rsidRDefault="00D05DAC" w:rsidP="00427F11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D05DAC" w:rsidRPr="00941435" w:rsidRDefault="00D05DAC" w:rsidP="00427F11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941435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:rsidR="00D05DAC" w:rsidRPr="00941435" w:rsidRDefault="00451C83" w:rsidP="00427F1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5" w:history="1">
                        <w:r w:rsidR="00D05DAC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 index of consumer goods and services</w:t>
                        </w:r>
                      </w:hyperlink>
                    </w:p>
                    <w:p w:rsidR="00D05DAC" w:rsidRPr="00566A43" w:rsidRDefault="00451C83" w:rsidP="00427F1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6" w:history="1">
                        <w:r w:rsidR="00D05DAC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Retail price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61A2" w:rsidRPr="00FD11D4" w:rsidRDefault="00D261A2" w:rsidP="00E76D26">
      <w:pPr>
        <w:rPr>
          <w:sz w:val="18"/>
        </w:rPr>
      </w:pPr>
    </w:p>
    <w:sectPr w:rsidR="00D261A2" w:rsidRPr="00FD11D4" w:rsidSect="00EF7B36">
      <w:headerReference w:type="default" r:id="rId47"/>
      <w:footerReference w:type="default" r:id="rId48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83" w:rsidRDefault="00451C83" w:rsidP="000662E2">
      <w:pPr>
        <w:spacing w:after="0" w:line="240" w:lineRule="auto"/>
      </w:pPr>
      <w:r>
        <w:separator/>
      </w:r>
    </w:p>
  </w:endnote>
  <w:endnote w:type="continuationSeparator" w:id="0">
    <w:p w:rsidR="00451C83" w:rsidRDefault="00451C83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913465"/>
      <w:docPartObj>
        <w:docPartGallery w:val="Page Numbers (Bottom of Page)"/>
        <w:docPartUnique/>
      </w:docPartObj>
    </w:sdtPr>
    <w:sdtEndPr/>
    <w:sdtContent>
      <w:p w:rsidR="00D05DAC" w:rsidRDefault="00D05DAC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1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957311"/>
      <w:docPartObj>
        <w:docPartGallery w:val="Page Numbers (Bottom of Page)"/>
        <w:docPartUnique/>
      </w:docPartObj>
    </w:sdtPr>
    <w:sdtEndPr/>
    <w:sdtContent>
      <w:p w:rsidR="00D05DAC" w:rsidRDefault="00D05DAC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1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D05DAC" w:rsidRDefault="00D05DAC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15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83" w:rsidRDefault="00451C83" w:rsidP="000662E2">
      <w:pPr>
        <w:spacing w:after="0" w:line="240" w:lineRule="auto"/>
      </w:pPr>
      <w:r>
        <w:separator/>
      </w:r>
    </w:p>
  </w:footnote>
  <w:footnote w:type="continuationSeparator" w:id="0">
    <w:p w:rsidR="00451C83" w:rsidRDefault="00451C83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AC" w:rsidRDefault="00D05DA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86B4872" wp14:editId="56C71E72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B787B4" id="Prostokąt 24" o:spid="_x0000_s1026" style="position:absolute;margin-left:410.6pt;margin-top:-14.05pt;width:147.6pt;height:1785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D05DAC" w:rsidRDefault="00D05D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AC" w:rsidRDefault="00D05DAC" w:rsidP="00DE775D">
    <w:pPr>
      <w:pStyle w:val="Nagwek"/>
      <w:tabs>
        <w:tab w:val="clear" w:pos="4536"/>
        <w:tab w:val="clear" w:pos="9072"/>
        <w:tab w:val="right" w:pos="8067"/>
      </w:tabs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E7DDDF" wp14:editId="6D378169">
              <wp:simplePos x="0" y="0"/>
              <wp:positionH relativeFrom="column">
                <wp:posOffset>5206365</wp:posOffset>
              </wp:positionH>
              <wp:positionV relativeFrom="paragraph">
                <wp:posOffset>495935</wp:posOffset>
              </wp:positionV>
              <wp:extent cx="1871980" cy="10015855"/>
              <wp:effectExtent l="0" t="0" r="0" b="0"/>
              <wp:wrapTight wrapText="bothSides">
                <wp:wrapPolygon edited="0">
                  <wp:start x="-110" y="0"/>
                  <wp:lineTo x="-110" y="21590"/>
                  <wp:lineTo x="21600" y="21590"/>
                  <wp:lineTo x="21600" y="0"/>
                  <wp:lineTo x="-110" y="0"/>
                </wp:wrapPolygon>
              </wp:wrapTight>
              <wp:docPr id="11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1980" cy="1001585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72B783" id="Prostokąt 10" o:spid="_x0000_s1026" style="position:absolute;margin-left:409.95pt;margin-top:39.05pt;width:147.4pt;height:788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" fillcolor="#f2f2f2" stroked="f" strokeweight="1pt">
              <v:path arrowok="t"/>
              <w10:wrap type="tigh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6C8B57" wp14:editId="302A3530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05DAC" w:rsidRPr="003C6C8D" w:rsidRDefault="00D05DAC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 w:rsidRPr="00BF0097"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C8B57" id="Schemat blokowy: opóźnienie 6" o:spid="_x0000_s1029" style="position:absolute;margin-left:396.6pt;margin-top:15.65pt;width:162.25pt;height:28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D05DAC" w:rsidRPr="003C6C8D" w:rsidRDefault="00D05DAC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 w:rsidRPr="00BF0097"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E474F32" wp14:editId="70B62C6B">
          <wp:extent cx="1865630" cy="709295"/>
          <wp:effectExtent l="0" t="0" r="0" b="0"/>
          <wp:docPr id="20" name="Obraz 20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</w:p>
  <w:p w:rsidR="00D05DAC" w:rsidRDefault="00D05DAC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7D2FD5C" wp14:editId="144E68E6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5DAC" w:rsidRPr="00C97596" w:rsidRDefault="00D05DAC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15.12.2021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D2FD5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pt;margin-top:20.95pt;width:112.8pt;height:2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AKeUfh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D05DAC" w:rsidRPr="00C97596" w:rsidRDefault="00D05DAC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15.12.2021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AC" w:rsidRDefault="00D05DAC">
    <w:pPr>
      <w:pStyle w:val="Nagwek"/>
    </w:pPr>
  </w:p>
  <w:p w:rsidR="00D05DAC" w:rsidRDefault="00D05D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35pt;height:124.6pt;visibility:visible" o:bullet="t">
        <v:imagedata r:id="rId1" o:title=""/>
      </v:shape>
    </w:pict>
  </w:numPicBullet>
  <w:numPicBullet w:numPicBulletId="1">
    <w:pict>
      <v:shape id="_x0000_i1029" type="#_x0000_t75" style="width:123.95pt;height:124.6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DC846C9"/>
    <w:multiLevelType w:val="hybridMultilevel"/>
    <w:tmpl w:val="4FE0BD8A"/>
    <w:lvl w:ilvl="0" w:tplc="DE24A690">
      <w:numFmt w:val="bullet"/>
      <w:lvlText w:val="•"/>
      <w:lvlJc w:val="left"/>
      <w:pPr>
        <w:ind w:left="1065" w:hanging="705"/>
      </w:pPr>
      <w:rPr>
        <w:rFonts w:ascii="Fira Sans" w:eastAsiaTheme="minorHAnsi" w:hAnsi="Fir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C5B7F"/>
    <w:multiLevelType w:val="hybridMultilevel"/>
    <w:tmpl w:val="D1F0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94D"/>
    <w:rsid w:val="00001C5B"/>
    <w:rsid w:val="00003437"/>
    <w:rsid w:val="0000709F"/>
    <w:rsid w:val="000108B8"/>
    <w:rsid w:val="00014B46"/>
    <w:rsid w:val="000152F5"/>
    <w:rsid w:val="0002205C"/>
    <w:rsid w:val="000220AE"/>
    <w:rsid w:val="00023ACA"/>
    <w:rsid w:val="000260CE"/>
    <w:rsid w:val="00034160"/>
    <w:rsid w:val="0004015D"/>
    <w:rsid w:val="0004582E"/>
    <w:rsid w:val="0004646A"/>
    <w:rsid w:val="000470AA"/>
    <w:rsid w:val="00047AB1"/>
    <w:rsid w:val="00050FFF"/>
    <w:rsid w:val="000539AA"/>
    <w:rsid w:val="00057CA1"/>
    <w:rsid w:val="0006044B"/>
    <w:rsid w:val="000662E2"/>
    <w:rsid w:val="00066883"/>
    <w:rsid w:val="00066C18"/>
    <w:rsid w:val="00066D81"/>
    <w:rsid w:val="00074DD8"/>
    <w:rsid w:val="000769B6"/>
    <w:rsid w:val="000800B4"/>
    <w:rsid w:val="000806F7"/>
    <w:rsid w:val="00090214"/>
    <w:rsid w:val="0009317E"/>
    <w:rsid w:val="00095882"/>
    <w:rsid w:val="00097840"/>
    <w:rsid w:val="000A057E"/>
    <w:rsid w:val="000A4BF7"/>
    <w:rsid w:val="000A5355"/>
    <w:rsid w:val="000A6963"/>
    <w:rsid w:val="000A7F1A"/>
    <w:rsid w:val="000B0727"/>
    <w:rsid w:val="000B1008"/>
    <w:rsid w:val="000B6497"/>
    <w:rsid w:val="000C135D"/>
    <w:rsid w:val="000D0E2A"/>
    <w:rsid w:val="000D1D43"/>
    <w:rsid w:val="000D1E25"/>
    <w:rsid w:val="000D225C"/>
    <w:rsid w:val="000D2A5C"/>
    <w:rsid w:val="000E0918"/>
    <w:rsid w:val="000F0AF2"/>
    <w:rsid w:val="000F710F"/>
    <w:rsid w:val="001011C3"/>
    <w:rsid w:val="00110D87"/>
    <w:rsid w:val="001149A1"/>
    <w:rsid w:val="00114DB9"/>
    <w:rsid w:val="00116087"/>
    <w:rsid w:val="001163D3"/>
    <w:rsid w:val="001179CF"/>
    <w:rsid w:val="00130296"/>
    <w:rsid w:val="001317AE"/>
    <w:rsid w:val="00132297"/>
    <w:rsid w:val="0013305E"/>
    <w:rsid w:val="001335DA"/>
    <w:rsid w:val="00135B65"/>
    <w:rsid w:val="00142037"/>
    <w:rsid w:val="001423B6"/>
    <w:rsid w:val="001448A7"/>
    <w:rsid w:val="00146621"/>
    <w:rsid w:val="001539C9"/>
    <w:rsid w:val="001600F9"/>
    <w:rsid w:val="00161CD3"/>
    <w:rsid w:val="00162325"/>
    <w:rsid w:val="00164CEA"/>
    <w:rsid w:val="001660CA"/>
    <w:rsid w:val="00170D13"/>
    <w:rsid w:val="00174616"/>
    <w:rsid w:val="001859B7"/>
    <w:rsid w:val="001951DA"/>
    <w:rsid w:val="001A2CB5"/>
    <w:rsid w:val="001A4B7F"/>
    <w:rsid w:val="001A78D0"/>
    <w:rsid w:val="001B0E45"/>
    <w:rsid w:val="001B3CA7"/>
    <w:rsid w:val="001C3269"/>
    <w:rsid w:val="001C53BA"/>
    <w:rsid w:val="001C585D"/>
    <w:rsid w:val="001D0172"/>
    <w:rsid w:val="001D1175"/>
    <w:rsid w:val="001D1DB4"/>
    <w:rsid w:val="001D5C9E"/>
    <w:rsid w:val="001D669C"/>
    <w:rsid w:val="001E1D94"/>
    <w:rsid w:val="001E3F14"/>
    <w:rsid w:val="001E764C"/>
    <w:rsid w:val="001E7DBB"/>
    <w:rsid w:val="001F25B6"/>
    <w:rsid w:val="001F284F"/>
    <w:rsid w:val="001F60D1"/>
    <w:rsid w:val="001F6707"/>
    <w:rsid w:val="0020009D"/>
    <w:rsid w:val="00200E85"/>
    <w:rsid w:val="00201740"/>
    <w:rsid w:val="002069C0"/>
    <w:rsid w:val="00206F09"/>
    <w:rsid w:val="002133F1"/>
    <w:rsid w:val="002147B5"/>
    <w:rsid w:val="00220482"/>
    <w:rsid w:val="0022272D"/>
    <w:rsid w:val="0022312E"/>
    <w:rsid w:val="00234969"/>
    <w:rsid w:val="00236165"/>
    <w:rsid w:val="002412BC"/>
    <w:rsid w:val="00247B43"/>
    <w:rsid w:val="002574F9"/>
    <w:rsid w:val="00260F39"/>
    <w:rsid w:val="00262B61"/>
    <w:rsid w:val="0026302B"/>
    <w:rsid w:val="002724FF"/>
    <w:rsid w:val="00275491"/>
    <w:rsid w:val="00275FA6"/>
    <w:rsid w:val="00276811"/>
    <w:rsid w:val="00276C9A"/>
    <w:rsid w:val="00282699"/>
    <w:rsid w:val="00284859"/>
    <w:rsid w:val="00286FC8"/>
    <w:rsid w:val="00290CB6"/>
    <w:rsid w:val="00291747"/>
    <w:rsid w:val="002926DF"/>
    <w:rsid w:val="00292DBF"/>
    <w:rsid w:val="002965B0"/>
    <w:rsid w:val="00296697"/>
    <w:rsid w:val="002A2C38"/>
    <w:rsid w:val="002A36C0"/>
    <w:rsid w:val="002A4D80"/>
    <w:rsid w:val="002A7E9B"/>
    <w:rsid w:val="002B0472"/>
    <w:rsid w:val="002B6B12"/>
    <w:rsid w:val="002B79E0"/>
    <w:rsid w:val="002C4289"/>
    <w:rsid w:val="002C4659"/>
    <w:rsid w:val="002C6053"/>
    <w:rsid w:val="002C7E57"/>
    <w:rsid w:val="002D0020"/>
    <w:rsid w:val="002D0170"/>
    <w:rsid w:val="002D24A5"/>
    <w:rsid w:val="002D554A"/>
    <w:rsid w:val="002E454C"/>
    <w:rsid w:val="002E6140"/>
    <w:rsid w:val="002E6985"/>
    <w:rsid w:val="002E71B6"/>
    <w:rsid w:val="002F77C8"/>
    <w:rsid w:val="003012B5"/>
    <w:rsid w:val="00304F22"/>
    <w:rsid w:val="00305162"/>
    <w:rsid w:val="003061E1"/>
    <w:rsid w:val="00306C7C"/>
    <w:rsid w:val="00311E43"/>
    <w:rsid w:val="00317B04"/>
    <w:rsid w:val="00320E70"/>
    <w:rsid w:val="00322EDD"/>
    <w:rsid w:val="00327D10"/>
    <w:rsid w:val="00331616"/>
    <w:rsid w:val="00332320"/>
    <w:rsid w:val="003417F1"/>
    <w:rsid w:val="00347D72"/>
    <w:rsid w:val="00350088"/>
    <w:rsid w:val="00350757"/>
    <w:rsid w:val="00357611"/>
    <w:rsid w:val="0036186D"/>
    <w:rsid w:val="00367237"/>
    <w:rsid w:val="00367ACC"/>
    <w:rsid w:val="0037077F"/>
    <w:rsid w:val="00370D51"/>
    <w:rsid w:val="00372411"/>
    <w:rsid w:val="00372E66"/>
    <w:rsid w:val="00373882"/>
    <w:rsid w:val="003751B5"/>
    <w:rsid w:val="003766F2"/>
    <w:rsid w:val="003843DB"/>
    <w:rsid w:val="00384BFA"/>
    <w:rsid w:val="003901AC"/>
    <w:rsid w:val="0039174C"/>
    <w:rsid w:val="00392E81"/>
    <w:rsid w:val="00393761"/>
    <w:rsid w:val="00393E03"/>
    <w:rsid w:val="00394B48"/>
    <w:rsid w:val="00397D18"/>
    <w:rsid w:val="003A0271"/>
    <w:rsid w:val="003A1B36"/>
    <w:rsid w:val="003A3114"/>
    <w:rsid w:val="003A3927"/>
    <w:rsid w:val="003A440F"/>
    <w:rsid w:val="003A4977"/>
    <w:rsid w:val="003A7048"/>
    <w:rsid w:val="003B1454"/>
    <w:rsid w:val="003B18B6"/>
    <w:rsid w:val="003B4C47"/>
    <w:rsid w:val="003C59E0"/>
    <w:rsid w:val="003C6C8D"/>
    <w:rsid w:val="003D00E5"/>
    <w:rsid w:val="003D3B24"/>
    <w:rsid w:val="003D4F95"/>
    <w:rsid w:val="003D5F42"/>
    <w:rsid w:val="003D60A9"/>
    <w:rsid w:val="003F4C97"/>
    <w:rsid w:val="003F60EB"/>
    <w:rsid w:val="003F7FE6"/>
    <w:rsid w:val="00400193"/>
    <w:rsid w:val="00407024"/>
    <w:rsid w:val="004212E7"/>
    <w:rsid w:val="00421B30"/>
    <w:rsid w:val="004227D5"/>
    <w:rsid w:val="0042446D"/>
    <w:rsid w:val="00427BF8"/>
    <w:rsid w:val="00427F11"/>
    <w:rsid w:val="00430B36"/>
    <w:rsid w:val="00430B3C"/>
    <w:rsid w:val="00431C02"/>
    <w:rsid w:val="00431C08"/>
    <w:rsid w:val="00432D34"/>
    <w:rsid w:val="00437395"/>
    <w:rsid w:val="00443C00"/>
    <w:rsid w:val="00445047"/>
    <w:rsid w:val="00445F90"/>
    <w:rsid w:val="00450616"/>
    <w:rsid w:val="00451C83"/>
    <w:rsid w:val="00454E14"/>
    <w:rsid w:val="004566AB"/>
    <w:rsid w:val="00456C2F"/>
    <w:rsid w:val="0045762F"/>
    <w:rsid w:val="00457C6C"/>
    <w:rsid w:val="004601AC"/>
    <w:rsid w:val="00463E39"/>
    <w:rsid w:val="0046537F"/>
    <w:rsid w:val="004657FC"/>
    <w:rsid w:val="00467DDF"/>
    <w:rsid w:val="00470F75"/>
    <w:rsid w:val="004733F6"/>
    <w:rsid w:val="00474E69"/>
    <w:rsid w:val="00477F80"/>
    <w:rsid w:val="00491B74"/>
    <w:rsid w:val="00493217"/>
    <w:rsid w:val="004957AB"/>
    <w:rsid w:val="0049621B"/>
    <w:rsid w:val="0049705B"/>
    <w:rsid w:val="004A5B48"/>
    <w:rsid w:val="004B2EAB"/>
    <w:rsid w:val="004C1895"/>
    <w:rsid w:val="004C4610"/>
    <w:rsid w:val="004C6D40"/>
    <w:rsid w:val="004C7FCB"/>
    <w:rsid w:val="004E1912"/>
    <w:rsid w:val="004F0C3C"/>
    <w:rsid w:val="004F63FC"/>
    <w:rsid w:val="00501F76"/>
    <w:rsid w:val="00502E6F"/>
    <w:rsid w:val="00502F8C"/>
    <w:rsid w:val="00505A92"/>
    <w:rsid w:val="005112CE"/>
    <w:rsid w:val="00511F19"/>
    <w:rsid w:val="00514030"/>
    <w:rsid w:val="0051646A"/>
    <w:rsid w:val="00516A50"/>
    <w:rsid w:val="005203F1"/>
    <w:rsid w:val="0052058B"/>
    <w:rsid w:val="00521BC3"/>
    <w:rsid w:val="00526A58"/>
    <w:rsid w:val="00533632"/>
    <w:rsid w:val="0053648F"/>
    <w:rsid w:val="00541C0F"/>
    <w:rsid w:val="00541E6E"/>
    <w:rsid w:val="0054251F"/>
    <w:rsid w:val="005432E5"/>
    <w:rsid w:val="00550653"/>
    <w:rsid w:val="005520D8"/>
    <w:rsid w:val="005521A2"/>
    <w:rsid w:val="00552484"/>
    <w:rsid w:val="00556BF8"/>
    <w:rsid w:val="00556CF1"/>
    <w:rsid w:val="00562A3A"/>
    <w:rsid w:val="00564C34"/>
    <w:rsid w:val="00564DC8"/>
    <w:rsid w:val="00566A43"/>
    <w:rsid w:val="00571BA5"/>
    <w:rsid w:val="005762A7"/>
    <w:rsid w:val="0058676C"/>
    <w:rsid w:val="005877DE"/>
    <w:rsid w:val="00590926"/>
    <w:rsid w:val="005916D7"/>
    <w:rsid w:val="00593CF4"/>
    <w:rsid w:val="005965E9"/>
    <w:rsid w:val="005A047A"/>
    <w:rsid w:val="005A2784"/>
    <w:rsid w:val="005A698C"/>
    <w:rsid w:val="005B388D"/>
    <w:rsid w:val="005C1AF8"/>
    <w:rsid w:val="005C5EF8"/>
    <w:rsid w:val="005D1BCF"/>
    <w:rsid w:val="005D1C04"/>
    <w:rsid w:val="005D470D"/>
    <w:rsid w:val="005E0799"/>
    <w:rsid w:val="005E2757"/>
    <w:rsid w:val="005E782A"/>
    <w:rsid w:val="005F0477"/>
    <w:rsid w:val="005F4399"/>
    <w:rsid w:val="005F5A80"/>
    <w:rsid w:val="006044FF"/>
    <w:rsid w:val="00605951"/>
    <w:rsid w:val="00607CC5"/>
    <w:rsid w:val="00612A16"/>
    <w:rsid w:val="006149F0"/>
    <w:rsid w:val="00615A26"/>
    <w:rsid w:val="006233B9"/>
    <w:rsid w:val="00631666"/>
    <w:rsid w:val="00631DAD"/>
    <w:rsid w:val="00633014"/>
    <w:rsid w:val="0063437B"/>
    <w:rsid w:val="00635568"/>
    <w:rsid w:val="00643286"/>
    <w:rsid w:val="006476FF"/>
    <w:rsid w:val="0066542B"/>
    <w:rsid w:val="0066616C"/>
    <w:rsid w:val="006673CA"/>
    <w:rsid w:val="006715EE"/>
    <w:rsid w:val="00673C26"/>
    <w:rsid w:val="0067430E"/>
    <w:rsid w:val="00674A8B"/>
    <w:rsid w:val="006812AF"/>
    <w:rsid w:val="00682537"/>
    <w:rsid w:val="00682B23"/>
    <w:rsid w:val="0068327D"/>
    <w:rsid w:val="00683EDE"/>
    <w:rsid w:val="00685123"/>
    <w:rsid w:val="006900F6"/>
    <w:rsid w:val="00691225"/>
    <w:rsid w:val="00694AF0"/>
    <w:rsid w:val="0069687E"/>
    <w:rsid w:val="0069693F"/>
    <w:rsid w:val="0069739D"/>
    <w:rsid w:val="006A4251"/>
    <w:rsid w:val="006A4686"/>
    <w:rsid w:val="006B0E9E"/>
    <w:rsid w:val="006B208D"/>
    <w:rsid w:val="006B20B4"/>
    <w:rsid w:val="006B5AE4"/>
    <w:rsid w:val="006B7686"/>
    <w:rsid w:val="006C1539"/>
    <w:rsid w:val="006D086E"/>
    <w:rsid w:val="006D1507"/>
    <w:rsid w:val="006D37E6"/>
    <w:rsid w:val="006D4054"/>
    <w:rsid w:val="006D6B72"/>
    <w:rsid w:val="006E02EC"/>
    <w:rsid w:val="006E0402"/>
    <w:rsid w:val="006E1F27"/>
    <w:rsid w:val="00701C5E"/>
    <w:rsid w:val="007034D7"/>
    <w:rsid w:val="00704D66"/>
    <w:rsid w:val="007059D5"/>
    <w:rsid w:val="007162EB"/>
    <w:rsid w:val="007211B1"/>
    <w:rsid w:val="00722B4A"/>
    <w:rsid w:val="007239D2"/>
    <w:rsid w:val="0072400B"/>
    <w:rsid w:val="00724688"/>
    <w:rsid w:val="007259AF"/>
    <w:rsid w:val="00732168"/>
    <w:rsid w:val="0073223D"/>
    <w:rsid w:val="007324D0"/>
    <w:rsid w:val="007324DB"/>
    <w:rsid w:val="00733D55"/>
    <w:rsid w:val="007364D7"/>
    <w:rsid w:val="00746187"/>
    <w:rsid w:val="00751D7D"/>
    <w:rsid w:val="00752A67"/>
    <w:rsid w:val="00753C31"/>
    <w:rsid w:val="00761070"/>
    <w:rsid w:val="007624DC"/>
    <w:rsid w:val="0076254F"/>
    <w:rsid w:val="00777CA3"/>
    <w:rsid w:val="007801F5"/>
    <w:rsid w:val="00783B68"/>
    <w:rsid w:val="00783CA4"/>
    <w:rsid w:val="007842FB"/>
    <w:rsid w:val="00786124"/>
    <w:rsid w:val="0078756B"/>
    <w:rsid w:val="00792E24"/>
    <w:rsid w:val="0079514B"/>
    <w:rsid w:val="007A2DC1"/>
    <w:rsid w:val="007B2CB7"/>
    <w:rsid w:val="007B3BF3"/>
    <w:rsid w:val="007B4A2D"/>
    <w:rsid w:val="007B74D8"/>
    <w:rsid w:val="007C161B"/>
    <w:rsid w:val="007D3319"/>
    <w:rsid w:val="007D335D"/>
    <w:rsid w:val="007E184E"/>
    <w:rsid w:val="007E1C44"/>
    <w:rsid w:val="007E3314"/>
    <w:rsid w:val="007E4B03"/>
    <w:rsid w:val="007F324B"/>
    <w:rsid w:val="007F4D36"/>
    <w:rsid w:val="00802A9A"/>
    <w:rsid w:val="0080551D"/>
    <w:rsid w:val="0080553C"/>
    <w:rsid w:val="00805B46"/>
    <w:rsid w:val="008153B3"/>
    <w:rsid w:val="00820461"/>
    <w:rsid w:val="00820B10"/>
    <w:rsid w:val="00822548"/>
    <w:rsid w:val="0082498D"/>
    <w:rsid w:val="00825DC2"/>
    <w:rsid w:val="00831172"/>
    <w:rsid w:val="00834AD3"/>
    <w:rsid w:val="008362A4"/>
    <w:rsid w:val="008378E7"/>
    <w:rsid w:val="0083798B"/>
    <w:rsid w:val="008434BA"/>
    <w:rsid w:val="00843795"/>
    <w:rsid w:val="0084421C"/>
    <w:rsid w:val="00847F0F"/>
    <w:rsid w:val="00852448"/>
    <w:rsid w:val="008526A5"/>
    <w:rsid w:val="00854143"/>
    <w:rsid w:val="008544D0"/>
    <w:rsid w:val="008552EE"/>
    <w:rsid w:val="00860006"/>
    <w:rsid w:val="00861173"/>
    <w:rsid w:val="00862B46"/>
    <w:rsid w:val="00874A1E"/>
    <w:rsid w:val="00877C5E"/>
    <w:rsid w:val="0088258A"/>
    <w:rsid w:val="00883071"/>
    <w:rsid w:val="008832C4"/>
    <w:rsid w:val="00883763"/>
    <w:rsid w:val="008850FF"/>
    <w:rsid w:val="00886332"/>
    <w:rsid w:val="00891A48"/>
    <w:rsid w:val="00895E58"/>
    <w:rsid w:val="00897D11"/>
    <w:rsid w:val="008A26D9"/>
    <w:rsid w:val="008A78B9"/>
    <w:rsid w:val="008A7FA1"/>
    <w:rsid w:val="008B0AF7"/>
    <w:rsid w:val="008B22DF"/>
    <w:rsid w:val="008B4AE0"/>
    <w:rsid w:val="008B7301"/>
    <w:rsid w:val="008C0C29"/>
    <w:rsid w:val="008C7A01"/>
    <w:rsid w:val="008D368B"/>
    <w:rsid w:val="008D6D8B"/>
    <w:rsid w:val="008E5CBF"/>
    <w:rsid w:val="008F07F6"/>
    <w:rsid w:val="008F3638"/>
    <w:rsid w:val="008F4441"/>
    <w:rsid w:val="008F557F"/>
    <w:rsid w:val="008F6F31"/>
    <w:rsid w:val="008F74DF"/>
    <w:rsid w:val="008F7D3F"/>
    <w:rsid w:val="009011AC"/>
    <w:rsid w:val="00905229"/>
    <w:rsid w:val="009127BA"/>
    <w:rsid w:val="00912A0C"/>
    <w:rsid w:val="00916782"/>
    <w:rsid w:val="00916C2A"/>
    <w:rsid w:val="00917264"/>
    <w:rsid w:val="0091773F"/>
    <w:rsid w:val="00917CCF"/>
    <w:rsid w:val="009227A6"/>
    <w:rsid w:val="00930ED9"/>
    <w:rsid w:val="00933B26"/>
    <w:rsid w:val="00933EC1"/>
    <w:rsid w:val="00934246"/>
    <w:rsid w:val="00942DCA"/>
    <w:rsid w:val="0094377F"/>
    <w:rsid w:val="009530DB"/>
    <w:rsid w:val="009535EE"/>
    <w:rsid w:val="00953676"/>
    <w:rsid w:val="00953726"/>
    <w:rsid w:val="009555D4"/>
    <w:rsid w:val="00956380"/>
    <w:rsid w:val="00957624"/>
    <w:rsid w:val="009630F7"/>
    <w:rsid w:val="00964D8C"/>
    <w:rsid w:val="009661AB"/>
    <w:rsid w:val="009705EE"/>
    <w:rsid w:val="00971217"/>
    <w:rsid w:val="009740F2"/>
    <w:rsid w:val="00977927"/>
    <w:rsid w:val="0098135C"/>
    <w:rsid w:val="0098156A"/>
    <w:rsid w:val="00984363"/>
    <w:rsid w:val="0098788B"/>
    <w:rsid w:val="00990133"/>
    <w:rsid w:val="00991BAC"/>
    <w:rsid w:val="009927CE"/>
    <w:rsid w:val="00996132"/>
    <w:rsid w:val="009963D7"/>
    <w:rsid w:val="009A1431"/>
    <w:rsid w:val="009A2155"/>
    <w:rsid w:val="009A3154"/>
    <w:rsid w:val="009A4F1C"/>
    <w:rsid w:val="009A6EA0"/>
    <w:rsid w:val="009B1399"/>
    <w:rsid w:val="009B2E0E"/>
    <w:rsid w:val="009B746F"/>
    <w:rsid w:val="009B76FA"/>
    <w:rsid w:val="009C1335"/>
    <w:rsid w:val="009C1AB2"/>
    <w:rsid w:val="009C2037"/>
    <w:rsid w:val="009C30CD"/>
    <w:rsid w:val="009C3469"/>
    <w:rsid w:val="009C375D"/>
    <w:rsid w:val="009C50CF"/>
    <w:rsid w:val="009C5407"/>
    <w:rsid w:val="009C55D4"/>
    <w:rsid w:val="009C7251"/>
    <w:rsid w:val="009E1FE1"/>
    <w:rsid w:val="009E2E91"/>
    <w:rsid w:val="009E3BF4"/>
    <w:rsid w:val="009E3F12"/>
    <w:rsid w:val="009E3FA7"/>
    <w:rsid w:val="009E410D"/>
    <w:rsid w:val="009E5ADA"/>
    <w:rsid w:val="009E79F7"/>
    <w:rsid w:val="009F0CD2"/>
    <w:rsid w:val="009F5461"/>
    <w:rsid w:val="009F5815"/>
    <w:rsid w:val="009F5CBC"/>
    <w:rsid w:val="00A03DB9"/>
    <w:rsid w:val="00A04E4F"/>
    <w:rsid w:val="00A070C6"/>
    <w:rsid w:val="00A07F00"/>
    <w:rsid w:val="00A12435"/>
    <w:rsid w:val="00A139F5"/>
    <w:rsid w:val="00A14D69"/>
    <w:rsid w:val="00A2136A"/>
    <w:rsid w:val="00A34A25"/>
    <w:rsid w:val="00A34C24"/>
    <w:rsid w:val="00A365F4"/>
    <w:rsid w:val="00A37CE0"/>
    <w:rsid w:val="00A459FF"/>
    <w:rsid w:val="00A460E6"/>
    <w:rsid w:val="00A4654C"/>
    <w:rsid w:val="00A46BD5"/>
    <w:rsid w:val="00A47937"/>
    <w:rsid w:val="00A47D80"/>
    <w:rsid w:val="00A51BB2"/>
    <w:rsid w:val="00A5224E"/>
    <w:rsid w:val="00A53132"/>
    <w:rsid w:val="00A55B73"/>
    <w:rsid w:val="00A563F2"/>
    <w:rsid w:val="00A566E8"/>
    <w:rsid w:val="00A62DE9"/>
    <w:rsid w:val="00A70EBF"/>
    <w:rsid w:val="00A712C4"/>
    <w:rsid w:val="00A810F9"/>
    <w:rsid w:val="00A86ECC"/>
    <w:rsid w:val="00A86FCC"/>
    <w:rsid w:val="00A93892"/>
    <w:rsid w:val="00AA0891"/>
    <w:rsid w:val="00AA13BD"/>
    <w:rsid w:val="00AA451B"/>
    <w:rsid w:val="00AA710D"/>
    <w:rsid w:val="00AB6D25"/>
    <w:rsid w:val="00AC264A"/>
    <w:rsid w:val="00AC3E42"/>
    <w:rsid w:val="00AD0B46"/>
    <w:rsid w:val="00AD4947"/>
    <w:rsid w:val="00AE20FD"/>
    <w:rsid w:val="00AE2D4B"/>
    <w:rsid w:val="00AE3075"/>
    <w:rsid w:val="00AE4D5B"/>
    <w:rsid w:val="00AE4F99"/>
    <w:rsid w:val="00AE6B84"/>
    <w:rsid w:val="00AE6BE7"/>
    <w:rsid w:val="00AE751C"/>
    <w:rsid w:val="00AF1D28"/>
    <w:rsid w:val="00AF6AEA"/>
    <w:rsid w:val="00AF7617"/>
    <w:rsid w:val="00B040AC"/>
    <w:rsid w:val="00B05BC8"/>
    <w:rsid w:val="00B06265"/>
    <w:rsid w:val="00B11B69"/>
    <w:rsid w:val="00B14952"/>
    <w:rsid w:val="00B210CA"/>
    <w:rsid w:val="00B25DCD"/>
    <w:rsid w:val="00B31E5A"/>
    <w:rsid w:val="00B322EC"/>
    <w:rsid w:val="00B32730"/>
    <w:rsid w:val="00B3466B"/>
    <w:rsid w:val="00B37F5A"/>
    <w:rsid w:val="00B40DD0"/>
    <w:rsid w:val="00B5056F"/>
    <w:rsid w:val="00B50A80"/>
    <w:rsid w:val="00B51B1A"/>
    <w:rsid w:val="00B605DE"/>
    <w:rsid w:val="00B609CE"/>
    <w:rsid w:val="00B63C9E"/>
    <w:rsid w:val="00B653AB"/>
    <w:rsid w:val="00B65F9E"/>
    <w:rsid w:val="00B66B19"/>
    <w:rsid w:val="00B70FDA"/>
    <w:rsid w:val="00B74022"/>
    <w:rsid w:val="00B853EC"/>
    <w:rsid w:val="00B86E2F"/>
    <w:rsid w:val="00B914E9"/>
    <w:rsid w:val="00B93713"/>
    <w:rsid w:val="00B94737"/>
    <w:rsid w:val="00B94D9A"/>
    <w:rsid w:val="00B956EE"/>
    <w:rsid w:val="00B97152"/>
    <w:rsid w:val="00B97C47"/>
    <w:rsid w:val="00BA0B97"/>
    <w:rsid w:val="00BA1932"/>
    <w:rsid w:val="00BA2BA1"/>
    <w:rsid w:val="00BA3562"/>
    <w:rsid w:val="00BA3BDE"/>
    <w:rsid w:val="00BA5A42"/>
    <w:rsid w:val="00BA7A76"/>
    <w:rsid w:val="00BB4773"/>
    <w:rsid w:val="00BB4F09"/>
    <w:rsid w:val="00BB63A9"/>
    <w:rsid w:val="00BC1505"/>
    <w:rsid w:val="00BC17C7"/>
    <w:rsid w:val="00BC50F0"/>
    <w:rsid w:val="00BD4CA6"/>
    <w:rsid w:val="00BD4E33"/>
    <w:rsid w:val="00BD71BA"/>
    <w:rsid w:val="00BE09A5"/>
    <w:rsid w:val="00BE4B65"/>
    <w:rsid w:val="00C00EDA"/>
    <w:rsid w:val="00C030DE"/>
    <w:rsid w:val="00C07C7D"/>
    <w:rsid w:val="00C11EFD"/>
    <w:rsid w:val="00C16D56"/>
    <w:rsid w:val="00C22105"/>
    <w:rsid w:val="00C23F3B"/>
    <w:rsid w:val="00C244B6"/>
    <w:rsid w:val="00C27D75"/>
    <w:rsid w:val="00C3702F"/>
    <w:rsid w:val="00C4500A"/>
    <w:rsid w:val="00C45479"/>
    <w:rsid w:val="00C55C91"/>
    <w:rsid w:val="00C56E95"/>
    <w:rsid w:val="00C62E44"/>
    <w:rsid w:val="00C64A37"/>
    <w:rsid w:val="00C64C70"/>
    <w:rsid w:val="00C662A5"/>
    <w:rsid w:val="00C7158E"/>
    <w:rsid w:val="00C72186"/>
    <w:rsid w:val="00C7218F"/>
    <w:rsid w:val="00C7250B"/>
    <w:rsid w:val="00C7346B"/>
    <w:rsid w:val="00C73B5E"/>
    <w:rsid w:val="00C77C0E"/>
    <w:rsid w:val="00C8000E"/>
    <w:rsid w:val="00C83D7C"/>
    <w:rsid w:val="00C91687"/>
    <w:rsid w:val="00C924A8"/>
    <w:rsid w:val="00C92AF8"/>
    <w:rsid w:val="00C945FE"/>
    <w:rsid w:val="00C950B4"/>
    <w:rsid w:val="00C96FAA"/>
    <w:rsid w:val="00C97A04"/>
    <w:rsid w:val="00CA107B"/>
    <w:rsid w:val="00CA37A0"/>
    <w:rsid w:val="00CA484D"/>
    <w:rsid w:val="00CA4FB6"/>
    <w:rsid w:val="00CA5FC4"/>
    <w:rsid w:val="00CB565C"/>
    <w:rsid w:val="00CC03C3"/>
    <w:rsid w:val="00CC0BBE"/>
    <w:rsid w:val="00CC5EDC"/>
    <w:rsid w:val="00CC739E"/>
    <w:rsid w:val="00CD1E2E"/>
    <w:rsid w:val="00CD2371"/>
    <w:rsid w:val="00CD32D0"/>
    <w:rsid w:val="00CD58B7"/>
    <w:rsid w:val="00CD77D9"/>
    <w:rsid w:val="00CD7CB6"/>
    <w:rsid w:val="00CD7D5E"/>
    <w:rsid w:val="00CE019A"/>
    <w:rsid w:val="00CE52F0"/>
    <w:rsid w:val="00CF031B"/>
    <w:rsid w:val="00CF08EF"/>
    <w:rsid w:val="00CF3F64"/>
    <w:rsid w:val="00CF4099"/>
    <w:rsid w:val="00CF4349"/>
    <w:rsid w:val="00CF4C96"/>
    <w:rsid w:val="00D00796"/>
    <w:rsid w:val="00D02D2C"/>
    <w:rsid w:val="00D03342"/>
    <w:rsid w:val="00D05DAC"/>
    <w:rsid w:val="00D066F3"/>
    <w:rsid w:val="00D076D6"/>
    <w:rsid w:val="00D11CF3"/>
    <w:rsid w:val="00D20C21"/>
    <w:rsid w:val="00D23C2A"/>
    <w:rsid w:val="00D23F61"/>
    <w:rsid w:val="00D261A2"/>
    <w:rsid w:val="00D27CD4"/>
    <w:rsid w:val="00D329DC"/>
    <w:rsid w:val="00D3418B"/>
    <w:rsid w:val="00D35A8F"/>
    <w:rsid w:val="00D372FB"/>
    <w:rsid w:val="00D37A41"/>
    <w:rsid w:val="00D4654D"/>
    <w:rsid w:val="00D538E4"/>
    <w:rsid w:val="00D616D2"/>
    <w:rsid w:val="00D63B5F"/>
    <w:rsid w:val="00D7066F"/>
    <w:rsid w:val="00D70EF7"/>
    <w:rsid w:val="00D815F5"/>
    <w:rsid w:val="00D8397C"/>
    <w:rsid w:val="00D83D64"/>
    <w:rsid w:val="00D83F2F"/>
    <w:rsid w:val="00D84DE7"/>
    <w:rsid w:val="00D94EED"/>
    <w:rsid w:val="00D96026"/>
    <w:rsid w:val="00DA0243"/>
    <w:rsid w:val="00DA2264"/>
    <w:rsid w:val="00DA433C"/>
    <w:rsid w:val="00DA4531"/>
    <w:rsid w:val="00DA5DA2"/>
    <w:rsid w:val="00DA7C1C"/>
    <w:rsid w:val="00DB0D53"/>
    <w:rsid w:val="00DB147A"/>
    <w:rsid w:val="00DB1B7A"/>
    <w:rsid w:val="00DB220F"/>
    <w:rsid w:val="00DB51F0"/>
    <w:rsid w:val="00DB5680"/>
    <w:rsid w:val="00DB78DA"/>
    <w:rsid w:val="00DC226C"/>
    <w:rsid w:val="00DC6708"/>
    <w:rsid w:val="00DC7CFA"/>
    <w:rsid w:val="00DD4A41"/>
    <w:rsid w:val="00DE0AFD"/>
    <w:rsid w:val="00DE1402"/>
    <w:rsid w:val="00DE775D"/>
    <w:rsid w:val="00DF5C74"/>
    <w:rsid w:val="00DF712D"/>
    <w:rsid w:val="00DF74D8"/>
    <w:rsid w:val="00E01436"/>
    <w:rsid w:val="00E01E27"/>
    <w:rsid w:val="00E045BD"/>
    <w:rsid w:val="00E07B73"/>
    <w:rsid w:val="00E16C02"/>
    <w:rsid w:val="00E17A9F"/>
    <w:rsid w:val="00E17B77"/>
    <w:rsid w:val="00E22635"/>
    <w:rsid w:val="00E23337"/>
    <w:rsid w:val="00E23761"/>
    <w:rsid w:val="00E259EA"/>
    <w:rsid w:val="00E27E85"/>
    <w:rsid w:val="00E303FF"/>
    <w:rsid w:val="00E30793"/>
    <w:rsid w:val="00E32061"/>
    <w:rsid w:val="00E37F13"/>
    <w:rsid w:val="00E4151F"/>
    <w:rsid w:val="00E41FCF"/>
    <w:rsid w:val="00E42FF9"/>
    <w:rsid w:val="00E4714C"/>
    <w:rsid w:val="00E51AEB"/>
    <w:rsid w:val="00E522A7"/>
    <w:rsid w:val="00E54452"/>
    <w:rsid w:val="00E616DF"/>
    <w:rsid w:val="00E664C5"/>
    <w:rsid w:val="00E66A5B"/>
    <w:rsid w:val="00E671A2"/>
    <w:rsid w:val="00E67C66"/>
    <w:rsid w:val="00E70563"/>
    <w:rsid w:val="00E70D5C"/>
    <w:rsid w:val="00E76D26"/>
    <w:rsid w:val="00E87FB4"/>
    <w:rsid w:val="00E95BE5"/>
    <w:rsid w:val="00E9681A"/>
    <w:rsid w:val="00EB02C9"/>
    <w:rsid w:val="00EB0AF7"/>
    <w:rsid w:val="00EB1390"/>
    <w:rsid w:val="00EB2C71"/>
    <w:rsid w:val="00EB4340"/>
    <w:rsid w:val="00EB485C"/>
    <w:rsid w:val="00EB5222"/>
    <w:rsid w:val="00EB556D"/>
    <w:rsid w:val="00EB5A7D"/>
    <w:rsid w:val="00EC2527"/>
    <w:rsid w:val="00ED24F1"/>
    <w:rsid w:val="00ED55C0"/>
    <w:rsid w:val="00ED63E8"/>
    <w:rsid w:val="00ED682B"/>
    <w:rsid w:val="00ED75FA"/>
    <w:rsid w:val="00EE41D5"/>
    <w:rsid w:val="00EE696D"/>
    <w:rsid w:val="00EF6301"/>
    <w:rsid w:val="00EF7B36"/>
    <w:rsid w:val="00F027A2"/>
    <w:rsid w:val="00F037A4"/>
    <w:rsid w:val="00F04C11"/>
    <w:rsid w:val="00F0593C"/>
    <w:rsid w:val="00F06F36"/>
    <w:rsid w:val="00F07B22"/>
    <w:rsid w:val="00F12FEC"/>
    <w:rsid w:val="00F161AC"/>
    <w:rsid w:val="00F1770E"/>
    <w:rsid w:val="00F20A4B"/>
    <w:rsid w:val="00F24CE7"/>
    <w:rsid w:val="00F26013"/>
    <w:rsid w:val="00F27C8F"/>
    <w:rsid w:val="00F30A0C"/>
    <w:rsid w:val="00F32749"/>
    <w:rsid w:val="00F3314D"/>
    <w:rsid w:val="00F34A33"/>
    <w:rsid w:val="00F37172"/>
    <w:rsid w:val="00F42DB8"/>
    <w:rsid w:val="00F4477E"/>
    <w:rsid w:val="00F455A2"/>
    <w:rsid w:val="00F45717"/>
    <w:rsid w:val="00F479EB"/>
    <w:rsid w:val="00F52335"/>
    <w:rsid w:val="00F65EEC"/>
    <w:rsid w:val="00F6637E"/>
    <w:rsid w:val="00F67D8F"/>
    <w:rsid w:val="00F70C4A"/>
    <w:rsid w:val="00F739B3"/>
    <w:rsid w:val="00F7414E"/>
    <w:rsid w:val="00F74897"/>
    <w:rsid w:val="00F74B10"/>
    <w:rsid w:val="00F74FFC"/>
    <w:rsid w:val="00F75C6D"/>
    <w:rsid w:val="00F80247"/>
    <w:rsid w:val="00F802BE"/>
    <w:rsid w:val="00F80E93"/>
    <w:rsid w:val="00F81CC7"/>
    <w:rsid w:val="00F823A8"/>
    <w:rsid w:val="00F86024"/>
    <w:rsid w:val="00F8611A"/>
    <w:rsid w:val="00F86C02"/>
    <w:rsid w:val="00F90A0D"/>
    <w:rsid w:val="00F90BB1"/>
    <w:rsid w:val="00F92824"/>
    <w:rsid w:val="00F93CA3"/>
    <w:rsid w:val="00F96C68"/>
    <w:rsid w:val="00FA4663"/>
    <w:rsid w:val="00FA4EC6"/>
    <w:rsid w:val="00FA5128"/>
    <w:rsid w:val="00FB2277"/>
    <w:rsid w:val="00FB42D4"/>
    <w:rsid w:val="00FB5906"/>
    <w:rsid w:val="00FB762F"/>
    <w:rsid w:val="00FC0106"/>
    <w:rsid w:val="00FC143D"/>
    <w:rsid w:val="00FC2AED"/>
    <w:rsid w:val="00FC303F"/>
    <w:rsid w:val="00FC6885"/>
    <w:rsid w:val="00FD11D4"/>
    <w:rsid w:val="00FD5EA7"/>
    <w:rsid w:val="00FD6659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8ED4A3-E4A9-4628-A836-FEA0A202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0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ED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ED9"/>
    <w:rPr>
      <w:rFonts w:ascii="Fira Sans" w:hAnsi="Fira Sans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55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4C4610"/>
    <w:rPr>
      <w:color w:val="954F72" w:themeColor="followedHyperlink"/>
      <w:u w:val="single"/>
    </w:rPr>
  </w:style>
  <w:style w:type="table" w:customStyle="1" w:styleId="Siatkatabelijasna111">
    <w:name w:val="Siatka tabeli — jasna111"/>
    <w:basedOn w:val="Standardowy"/>
    <w:uiPriority w:val="40"/>
    <w:rsid w:val="00260F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eader" Target="header1.xml"/><Relationship Id="rId26" Type="http://schemas.openxmlformats.org/officeDocument/2006/relationships/hyperlink" Target="https://twitter.com/StatPoland" TargetMode="External"/><Relationship Id="rId39" Type="http://schemas.openxmlformats.org/officeDocument/2006/relationships/hyperlink" Target="http://stat.gov.pl/en/latest-statistical-news/news-releases/" TargetMode="External"/><Relationship Id="rId21" Type="http://schemas.openxmlformats.org/officeDocument/2006/relationships/footer" Target="footer2.xml"/><Relationship Id="rId34" Type="http://schemas.openxmlformats.org/officeDocument/2006/relationships/hyperlink" Target="http://stat.gov.pl/en/topics/prices-trade/price-indices/" TargetMode="External"/><Relationship Id="rId42" Type="http://schemas.openxmlformats.org/officeDocument/2006/relationships/hyperlink" Target="https://bdl.stat.gov.pl/BDL/start?lang=en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9" Type="http://schemas.openxmlformats.org/officeDocument/2006/relationships/hyperlink" Target="http://stat.gov.pl/en/latest-statistical-news/communications-and-announcements/" TargetMode="External"/><Relationship Id="rId11" Type="http://schemas.openxmlformats.org/officeDocument/2006/relationships/image" Target="media/image3.emf"/><Relationship Id="rId24" Type="http://schemas.openxmlformats.org/officeDocument/2006/relationships/hyperlink" Target="https://stat.gov.pl/en/" TargetMode="External"/><Relationship Id="rId32" Type="http://schemas.openxmlformats.org/officeDocument/2006/relationships/hyperlink" Target="http://bdm.stat.gov.pl/" TargetMode="External"/><Relationship Id="rId37" Type="http://schemas.openxmlformats.org/officeDocument/2006/relationships/hyperlink" Target="http://stat.gov.pl/en/metainformations/glossary/terms-used-in-official-statistics/32,term.html" TargetMode="External"/><Relationship Id="rId40" Type="http://schemas.openxmlformats.org/officeDocument/2006/relationships/hyperlink" Target="http://swaid.stat.gov.pl/EN/SitePagesDBW/Ceny.aspx" TargetMode="External"/><Relationship Id="rId45" Type="http://schemas.openxmlformats.org/officeDocument/2006/relationships/hyperlink" Target="http://stat.gov.pl/en/metainformations/glossary/terms-used-in-official-statistics/711,term.html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image" Target="media/image5.png"/><Relationship Id="rId28" Type="http://schemas.openxmlformats.org/officeDocument/2006/relationships/hyperlink" Target="https://www.facebook.com/GlownyUrzadStatystyczny/" TargetMode="External"/><Relationship Id="rId36" Type="http://schemas.openxmlformats.org/officeDocument/2006/relationships/hyperlink" Target="http://stat.gov.pl/en/metainformations/glossary/terms-used-in-official-statistics/711,term.html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://swaid.stat.gov.pl/EN/SitePagesDBW/Ceny.aspx" TargetMode="External"/><Relationship Id="rId44" Type="http://schemas.openxmlformats.org/officeDocument/2006/relationships/hyperlink" Target="http://stat.gov.pl/en/topics/prices-trade/pric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://stat.gov.pl/en/latest-statistical-news/news-releases/" TargetMode="External"/><Relationship Id="rId35" Type="http://schemas.openxmlformats.org/officeDocument/2006/relationships/hyperlink" Target="http://stat.gov.pl/en/topics/prices-trade/prices/" TargetMode="External"/><Relationship Id="rId43" Type="http://schemas.openxmlformats.org/officeDocument/2006/relationships/hyperlink" Target="http://stat.gov.pl/en/topics/prices-trade/price-indices/" TargetMode="External"/><Relationship Id="rId48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hyperlink" Target="https://stat.gov.pl/obszary-tematyczne/ceny-handel/wskazniki-cen/wytyczne-dotyczace-opracowania-hicp-w-kontekscie-kryzysu-zwiazanego-z-covid-19,19,1.html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s://bdl.stat.gov.pl/BDL/start?lang=en" TargetMode="External"/><Relationship Id="rId38" Type="http://schemas.openxmlformats.org/officeDocument/2006/relationships/hyperlink" Target="http://stat.gov.pl/en/latest-statistical-news/communications-and-announcements/" TargetMode="External"/><Relationship Id="rId46" Type="http://schemas.openxmlformats.org/officeDocument/2006/relationships/hyperlink" Target="http://stat.gov.pl/en/metainformations/glossary/terms-used-in-official-statistics/32,term.html" TargetMode="External"/><Relationship Id="rId20" Type="http://schemas.openxmlformats.org/officeDocument/2006/relationships/header" Target="header2.xml"/><Relationship Id="rId41" Type="http://schemas.openxmlformats.org/officeDocument/2006/relationships/hyperlink" Target="http://bdm.stat.gov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0573497194536257"/>
          <c:y val="5.3855356053736994E-2"/>
          <c:w val="0.52658061332077077"/>
          <c:h val="0.830296655722462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4A92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7.4279464360269484E-3"/>
                  <c:y val="9.151541316541554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954768209071298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95085711603821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9588774350967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9588774350967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9588774350968982E-3"/>
                  <c:y val="-3.993507008366277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948386428271628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009818427616871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6.9129952044939755E-3"/>
                  <c:y val="-3.416951606715857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WPŁYWY!$A$52:$A$64</c:f>
              <c:strCache>
                <c:ptCount val="13"/>
                <c:pt idx="0">
                  <c:v>Fruit</c:v>
                </c:pt>
                <c:pt idx="1">
                  <c:v>Telephone and telefax services</c:v>
                </c:pt>
                <c:pt idx="2">
                  <c:v>Package holidays</c:v>
                </c:pt>
                <c:pt idx="3">
                  <c:v>Purchase of vehicles</c:v>
                </c:pt>
                <c:pt idx="4">
                  <c:v>Personal care</c:v>
                </c:pt>
                <c:pt idx="5">
                  <c:v>Catering services</c:v>
                </c:pt>
                <c:pt idx="6">
                  <c:v>Meat</c:v>
                </c:pt>
                <c:pt idx="7">
                  <c:v>Oils and fats</c:v>
                </c:pt>
                <c:pt idx="8">
                  <c:v>Milk, cheese and eggs</c:v>
                </c:pt>
                <c:pt idx="9">
                  <c:v>Bread and cereals</c:v>
                </c:pt>
                <c:pt idx="10">
                  <c:v>Vegetables</c:v>
                </c:pt>
                <c:pt idx="11">
                  <c:v>Fuels for personal transport equipment</c:v>
                </c:pt>
                <c:pt idx="12">
                  <c:v>Electricity, gas and other fuels</c:v>
                </c:pt>
              </c:strCache>
            </c:strRef>
          </c:cat>
          <c:val>
            <c:numRef>
              <c:f>WPŁYWY!$C$52:$C$64</c:f>
              <c:numCache>
                <c:formatCode>0.00</c:formatCode>
                <c:ptCount val="13"/>
                <c:pt idx="0">
                  <c:v>-0.02</c:v>
                </c:pt>
                <c:pt idx="1">
                  <c:v>-0.02</c:v>
                </c:pt>
                <c:pt idx="2">
                  <c:v>0.02</c:v>
                </c:pt>
                <c:pt idx="3">
                  <c:v>0.02</c:v>
                </c:pt>
                <c:pt idx="4">
                  <c:v>0.02</c:v>
                </c:pt>
                <c:pt idx="5">
                  <c:v>0.05</c:v>
                </c:pt>
                <c:pt idx="6">
                  <c:v>0.05</c:v>
                </c:pt>
                <c:pt idx="7">
                  <c:v>0.06</c:v>
                </c:pt>
                <c:pt idx="8">
                  <c:v>0.06</c:v>
                </c:pt>
                <c:pt idx="9">
                  <c:v>0.06</c:v>
                </c:pt>
                <c:pt idx="10">
                  <c:v>0.11</c:v>
                </c:pt>
                <c:pt idx="11">
                  <c:v>0.15</c:v>
                </c:pt>
                <c:pt idx="12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759876112"/>
        <c:axId val="-1806309936"/>
      </c:barChart>
      <c:catAx>
        <c:axId val="-1759876112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low"/>
        <c:spPr>
          <a:noFill/>
          <a:ln w="6350">
            <a:solidFill>
              <a:schemeClr val="bg1">
                <a:lumMod val="50000"/>
              </a:schemeClr>
            </a:solidFill>
          </a:ln>
        </c:spPr>
        <c:txPr>
          <a:bodyPr rot="0"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1806309936"/>
        <c:crossesAt val="0"/>
        <c:auto val="1"/>
        <c:lblAlgn val="ctr"/>
        <c:lblOffset val="200"/>
        <c:tickMarkSkip val="1"/>
        <c:noMultiLvlLbl val="0"/>
      </c:catAx>
      <c:valAx>
        <c:axId val="-1806309936"/>
        <c:scaling>
          <c:orientation val="minMax"/>
          <c:max val="0.35000000000000003"/>
          <c:min val="-5.000000000000001E-2"/>
        </c:scaling>
        <c:delete val="0"/>
        <c:axPos val="b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0" sourceLinked="1"/>
        <c:majorTickMark val="out"/>
        <c:minorTickMark val="none"/>
        <c:tickLblPos val="nextTo"/>
        <c:spPr>
          <a:ln w="6350"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1759876112"/>
        <c:crosses val="autoZero"/>
        <c:crossBetween val="between"/>
        <c:majorUnit val="5.000000000000001E-2"/>
        <c:minorUnit val="5.000000000000001E-2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2863205691702072"/>
          <c:y val="0"/>
          <c:w val="0.50516191605646488"/>
          <c:h val="0.9376366773261244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4A92"/>
            </a:solidFill>
          </c:spPr>
          <c:invertIfNegative val="0"/>
          <c:dLbls>
            <c:numFmt formatCode="#,##0.00" sourceLinked="0"/>
            <c:spPr>
              <a:noFill/>
              <a:ln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'SYSTEM WAG'!$B$24:$B$35</c:f>
              <c:strCache>
                <c:ptCount val="12"/>
                <c:pt idx="0">
                  <c:v>Miscellaneous goods and services</c:v>
                </c:pt>
                <c:pt idx="1">
                  <c:v>Restaurants and hotels</c:v>
                </c:pt>
                <c:pt idx="2">
                  <c:v>Education</c:v>
                </c:pt>
                <c:pt idx="3">
                  <c:v>Recreation and culture</c:v>
                </c:pt>
                <c:pt idx="4">
                  <c:v>Communiaction</c:v>
                </c:pt>
                <c:pt idx="5">
                  <c:v>Transport</c:v>
                </c:pt>
                <c:pt idx="6">
                  <c:v>Health</c:v>
                </c:pt>
                <c:pt idx="7">
                  <c:v>Furnishings, household equipment and routine household maintenance</c:v>
                </c:pt>
                <c:pt idx="8">
                  <c:v>Housing, water, electricity, gas and other fuels</c:v>
                </c:pt>
                <c:pt idx="9">
                  <c:v>Clothing and footwear</c:v>
                </c:pt>
                <c:pt idx="10">
                  <c:v>Alcoholic beverages and tobacco</c:v>
                </c:pt>
                <c:pt idx="11">
                  <c:v>Food and non-alcoholic beverages</c:v>
                </c:pt>
              </c:strCache>
            </c:strRef>
          </c:cat>
          <c:val>
            <c:numRef>
              <c:f>'SYSTEM WAG'!$I$24:$I$35</c:f>
              <c:numCache>
                <c:formatCode>0.00</c:formatCode>
                <c:ptCount val="12"/>
                <c:pt idx="0">
                  <c:v>5.51</c:v>
                </c:pt>
                <c:pt idx="1">
                  <c:v>4.5599999999999996</c:v>
                </c:pt>
                <c:pt idx="2">
                  <c:v>1.02</c:v>
                </c:pt>
                <c:pt idx="3">
                  <c:v>5.78</c:v>
                </c:pt>
                <c:pt idx="4">
                  <c:v>5</c:v>
                </c:pt>
                <c:pt idx="5">
                  <c:v>8.8800000000000008</c:v>
                </c:pt>
                <c:pt idx="6">
                  <c:v>5.39</c:v>
                </c:pt>
                <c:pt idx="7">
                  <c:v>5.83</c:v>
                </c:pt>
                <c:pt idx="8">
                  <c:v>19.14</c:v>
                </c:pt>
                <c:pt idx="9">
                  <c:v>4.21</c:v>
                </c:pt>
                <c:pt idx="10">
                  <c:v>6.91</c:v>
                </c:pt>
                <c:pt idx="11">
                  <c:v>27.77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806299600"/>
        <c:axId val="-1806300144"/>
      </c:barChart>
      <c:catAx>
        <c:axId val="-1806299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 rot="0" vert="horz"/>
          <a:lstStyle/>
          <a:p>
            <a:pPr algn="r">
              <a:defRPr sz="800"/>
            </a:pPr>
            <a:endParaRPr lang="pl-PL"/>
          </a:p>
        </c:txPr>
        <c:crossAx val="-1806300144"/>
        <c:crosses val="autoZero"/>
        <c:auto val="0"/>
        <c:lblAlgn val="ctr"/>
        <c:lblOffset val="100"/>
        <c:noMultiLvlLbl val="0"/>
      </c:catAx>
      <c:valAx>
        <c:axId val="-1806300144"/>
        <c:scaling>
          <c:orientation val="minMax"/>
        </c:scaling>
        <c:delete val="0"/>
        <c:axPos val="b"/>
        <c:majorGridlines>
          <c:spPr>
            <a:ln w="3175">
              <a:solidFill>
                <a:srgbClr val="B2B2B2"/>
              </a:solidFill>
              <a:prstDash val="sysDot"/>
            </a:ln>
          </c:spPr>
        </c:majorGridlines>
        <c:title>
          <c:tx>
            <c:rich>
              <a:bodyPr anchor="b" anchorCtr="1"/>
              <a:lstStyle/>
              <a:p>
                <a:pPr algn="r">
                  <a:defRPr/>
                </a:pPr>
                <a:r>
                  <a:rPr lang="pl-PL" b="0"/>
                  <a:t>%</a:t>
                </a:r>
              </a:p>
            </c:rich>
          </c:tx>
          <c:layout>
            <c:manualLayout>
              <c:xMode val="edge"/>
              <c:yMode val="edge"/>
              <c:x val="0.95812715179429186"/>
              <c:y val="0.94744569842647841"/>
            </c:manualLayout>
          </c:layout>
          <c:overlay val="0"/>
          <c:spPr>
            <a:noFill/>
            <a:ln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noFill/>
          <a:ln w="6350">
            <a:noFill/>
            <a:prstDash val="sysDot"/>
          </a:ln>
        </c:spPr>
        <c:crossAx val="-18062996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Fira Sans" pitchFamily="34" charset="0"/>
          <a:ea typeface="Fira Sans" pitchFamily="34" charset="0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4"/>
            <c:bubble3D val="0"/>
          </c:dPt>
          <c:dPt>
            <c:idx val="25"/>
            <c:bubble3D val="0"/>
          </c:dPt>
          <c:dLbls>
            <c:dLbl>
              <c:idx val="0"/>
              <c:layout>
                <c:manualLayout>
                  <c:x val="-5.7773430980108523E-2"/>
                  <c:y val="-8.624825511268967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0496726356592751E-3"/>
                  <c:y val="-6.896002623447645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615621595355434E-2"/>
                  <c:y val="-1.5999904020208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9820018442960726E-2"/>
                  <c:y val="2.00986774057389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328926164153794E-2"/>
                  <c:y val="3.00885740784031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7650070743307097E-2"/>
                  <c:y val="-3.1897284171805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2411726404863392E-2"/>
                  <c:y val="3.1839478160779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8334441174356775E-2"/>
                  <c:y val="1.8459386187417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3892698740829886E-2"/>
                  <c:y val="-1.60867093683068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5244626412851088E-2"/>
                  <c:y val="-3.9472672932216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8.4217903405436161E-3"/>
                  <c:y val="-3.44346371505627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7.815919625889084E-2"/>
                  <c:y val="-3.69526958871965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8884079305446252E-2"/>
                  <c:y val="-3.42429721160526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2715023361202775E-2"/>
                  <c:y val="8.8595891992195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8314333988281306E-2"/>
                  <c:y val="-2.630467232903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1.0273604233833078E-2"/>
                  <c:y val="-4.760420437978860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1.1032801515540902E-2"/>
                  <c:y val="-8.673552832525133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1.1023362332995482E-2"/>
                  <c:y val="1.203981600074117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1.4226561377294949E-2"/>
                  <c:y val="-2.35132129044607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1.2040664618799757E-2"/>
                  <c:y val="-2.025391744792641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1.031667032657629E-2"/>
                  <c:y val="4.0887937315070891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4481102655028101E-2"/>
                  <c:y val="-3.7627998737679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1.731307387245988E-2"/>
                  <c:y val="-4.021420730326093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9046740856278519E-2"/>
                      <c:h val="5.7987352364877884E-2"/>
                    </c:manualLayout>
                  </c15:layout>
                </c:ext>
              </c:extLst>
            </c:dLbl>
            <c:dLbl>
              <c:idx val="23"/>
              <c:layout>
                <c:manualLayout>
                  <c:x val="-2.0207080109406424E-2"/>
                  <c:y val="2.4581435829328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1.2706263649173445E-2"/>
                  <c:y val="-1.1793070563663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1.0805536778012678E-2"/>
                  <c:y val="3.5187216772928874E-3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0,5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8.6797997334896321E-3"/>
                  <c:y val="-7.466194384530057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'M-1'!$B$50:$B$72</c:f>
              <c:strCache>
                <c:ptCount val="23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'M-1'!$C$50:$C$72</c:f>
              <c:numCache>
                <c:formatCode>0.0</c:formatCode>
                <c:ptCount val="23"/>
                <c:pt idx="0">
                  <c:v>0.9</c:v>
                </c:pt>
                <c:pt idx="1">
                  <c:v>0.7</c:v>
                </c:pt>
                <c:pt idx="2">
                  <c:v>0.2</c:v>
                </c:pt>
                <c:pt idx="3">
                  <c:v>-0.1</c:v>
                </c:pt>
                <c:pt idx="4">
                  <c:v>-0.2</c:v>
                </c:pt>
                <c:pt idx="5">
                  <c:v>0.6</c:v>
                </c:pt>
                <c:pt idx="6">
                  <c:v>-0.2</c:v>
                </c:pt>
                <c:pt idx="7">
                  <c:v>-0.1</c:v>
                </c:pt>
                <c:pt idx="8">
                  <c:v>0.2</c:v>
                </c:pt>
                <c:pt idx="9">
                  <c:v>0.1</c:v>
                </c:pt>
                <c:pt idx="10">
                  <c:v>0.1</c:v>
                </c:pt>
                <c:pt idx="11">
                  <c:v>0.1</c:v>
                </c:pt>
                <c:pt idx="12">
                  <c:v>1.3</c:v>
                </c:pt>
                <c:pt idx="13">
                  <c:v>0.5</c:v>
                </c:pt>
                <c:pt idx="14">
                  <c:v>1</c:v>
                </c:pt>
                <c:pt idx="15">
                  <c:v>0.8</c:v>
                </c:pt>
                <c:pt idx="16">
                  <c:v>0.3</c:v>
                </c:pt>
                <c:pt idx="17">
                  <c:v>0.1</c:v>
                </c:pt>
                <c:pt idx="18">
                  <c:v>0.4</c:v>
                </c:pt>
                <c:pt idx="19">
                  <c:v>0.3</c:v>
                </c:pt>
                <c:pt idx="20">
                  <c:v>0.7</c:v>
                </c:pt>
                <c:pt idx="21">
                  <c:v>1.1000000000000001</c:v>
                </c:pt>
                <c:pt idx="22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806313200"/>
        <c:axId val="-1806308304"/>
      </c:lineChart>
      <c:dateAx>
        <c:axId val="-1806313200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1806308304"/>
        <c:crossesAt val="0"/>
        <c:auto val="0"/>
        <c:lblOffset val="100"/>
        <c:baseTimeUnit val="days"/>
      </c:dateAx>
      <c:valAx>
        <c:axId val="-1806308304"/>
        <c:scaling>
          <c:orientation val="minMax"/>
          <c:max val="1.6"/>
          <c:min val="-0.60000000000000009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1806313200"/>
        <c:crossesAt val="1"/>
        <c:crossBetween val="between"/>
        <c:majorUnit val="0.2"/>
        <c:minorUnit val="0.1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17"/>
            <c:bubble3D val="0"/>
          </c:dPt>
          <c:dPt>
            <c:idx val="20"/>
            <c:bubble3D val="0"/>
          </c:dPt>
          <c:dPt>
            <c:idx val="24"/>
            <c:bubble3D val="0"/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6651810769841942E-2"/>
                  <c:y val="-3.0530899247716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895546061576822E-2"/>
                  <c:y val="-3.0188790921305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474730081350762E-2"/>
                  <c:y val="-4.0139876455124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257386709145552E-2"/>
                  <c:y val="8.456823127627712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4471166187900766E-2"/>
                  <c:y val="1.89935228279375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129413211596967E-2"/>
                  <c:y val="3.8530788762905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1708955216596441E-2"/>
                  <c:y val="2.74310111135882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9063112183494774E-2"/>
                  <c:y val="2.2579149543164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3284178657453214E-2"/>
                  <c:y val="4.07580271420471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5197738624062842E-2"/>
                  <c:y val="3.24312380020399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9779835999488533E-2"/>
                  <c:y val="3.30838875659209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733244480566425E-2"/>
                  <c:y val="3.7083615441287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7908252996384034E-2"/>
                  <c:y val="-4.0667339204279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7736273587738942E-2"/>
                  <c:y val="3.75951884235684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3713743698245986E-2"/>
                  <c:y val="1.45193713698180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6889246059500914E-2"/>
                      <c:h val="5.7450489075958532E-2"/>
                    </c:manualLayout>
                  </c15:layout>
                </c:ext>
              </c:extLst>
            </c:dLbl>
            <c:dLbl>
              <c:idx val="15"/>
              <c:layout>
                <c:manualLayout>
                  <c:x val="-2.0570224240409603E-2"/>
                  <c:y val="2.90092885376259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7794689944158619E-2"/>
                  <c:y val="-3.14635094316543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0148094031844953E-2"/>
                      <c:h val="6.2016597442832687E-2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-9.5341940651647392E-3"/>
                  <c:y val="5.327722566220580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6.9233489842188802E-3"/>
                  <c:y val="4.01466533177696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1.3633169360505973E-2"/>
                  <c:y val="1.73509156954744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1.0813617552900757E-2"/>
                  <c:y val="-1.283865597093991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1.047643310112472E-2"/>
                  <c:y val="-1.9571595144192544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1.417030011449387E-2"/>
                  <c:y val="-6.3351201620970017E-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anchor="t" anchorCtr="0"/>
                <a:lstStyle/>
                <a:p>
                  <a:pPr>
                    <a:defRPr sz="800">
                      <a:latin typeface="Fira Sans" pitchFamily="34" charset="0"/>
                      <a:ea typeface="Fira Sans" pitchFamily="34" charset="0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940024231140017E-2"/>
                      <c:h val="6.2314612858493025E-2"/>
                    </c:manualLayout>
                  </c15:layout>
                </c:ext>
              </c:extLst>
            </c:dLbl>
            <c:dLbl>
              <c:idx val="23"/>
              <c:layout>
                <c:manualLayout>
                  <c:x val="-2.5182942264628565E-2"/>
                  <c:y val="3.65870454903195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2.0220578893524733E-2"/>
                  <c:y val="-3.56613919925674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2.31383842691824E-2"/>
                  <c:y val="3.6824473683294438E-2"/>
                </c:manualLayout>
              </c:layout>
              <c:spPr/>
              <c:txPr>
                <a:bodyPr anchor="t" anchorCtr="0"/>
                <a:lstStyle/>
                <a:p>
                  <a:pPr algn="ctr" rtl="0">
                    <a:defRPr lang="en-US" sz="700" b="0" i="0" u="none" strike="noStrike" kern="1200" baseline="0">
                      <a:solidFill>
                        <a:sysClr val="windowText" lastClr="000000"/>
                      </a:solidFill>
                      <a:latin typeface="Fira Sans" pitchFamily="34" charset="0"/>
                      <a:ea typeface="Fira Sans" pitchFamily="34" charset="0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961411244358282E-2"/>
                      <c:h val="5.713281828994788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9.049228508449669E-3"/>
                  <c:y val="-1.14564993489962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7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(+FE)'!$B$50:$B$72</c:f>
              <c:strCache>
                <c:ptCount val="23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'M-12 (+FE)'!$C$50:$C$72</c:f>
              <c:numCache>
                <c:formatCode>0.0</c:formatCode>
                <c:ptCount val="23"/>
                <c:pt idx="0">
                  <c:v>4.3</c:v>
                </c:pt>
                <c:pt idx="1">
                  <c:v>4.7</c:v>
                </c:pt>
                <c:pt idx="2">
                  <c:v>4.5999999999999996</c:v>
                </c:pt>
                <c:pt idx="3">
                  <c:v>3.4</c:v>
                </c:pt>
                <c:pt idx="4">
                  <c:v>2.9</c:v>
                </c:pt>
                <c:pt idx="5">
                  <c:v>3.3</c:v>
                </c:pt>
                <c:pt idx="6">
                  <c:v>3</c:v>
                </c:pt>
                <c:pt idx="7">
                  <c:v>2.9</c:v>
                </c:pt>
                <c:pt idx="8">
                  <c:v>3.2</c:v>
                </c:pt>
                <c:pt idx="9">
                  <c:v>3.1</c:v>
                </c:pt>
                <c:pt idx="10">
                  <c:v>3</c:v>
                </c:pt>
                <c:pt idx="11">
                  <c:v>2.4</c:v>
                </c:pt>
                <c:pt idx="12">
                  <c:v>2.6</c:v>
                </c:pt>
                <c:pt idx="13">
                  <c:v>2.4</c:v>
                </c:pt>
                <c:pt idx="14">
                  <c:v>3.2</c:v>
                </c:pt>
                <c:pt idx="15">
                  <c:v>4.3</c:v>
                </c:pt>
                <c:pt idx="16">
                  <c:v>4.7</c:v>
                </c:pt>
                <c:pt idx="17">
                  <c:v>4.4000000000000004</c:v>
                </c:pt>
                <c:pt idx="18">
                  <c:v>5</c:v>
                </c:pt>
                <c:pt idx="19">
                  <c:v>5.5</c:v>
                </c:pt>
                <c:pt idx="20">
                  <c:v>5.9</c:v>
                </c:pt>
                <c:pt idx="21">
                  <c:v>6.8</c:v>
                </c:pt>
                <c:pt idx="22">
                  <c:v>7.8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806302320"/>
        <c:axId val="-1806312112"/>
      </c:lineChart>
      <c:dateAx>
        <c:axId val="-1806302320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1806312112"/>
        <c:crossesAt val="0"/>
        <c:auto val="0"/>
        <c:lblOffset val="100"/>
        <c:baseTimeUnit val="days"/>
      </c:dateAx>
      <c:valAx>
        <c:axId val="-1806312112"/>
        <c:scaling>
          <c:orientation val="minMax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1806302320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103308106031142E-2"/>
          <c:y val="5.2791985907422512E-2"/>
          <c:w val="0.86402212918953414"/>
          <c:h val="0.80215749189155816"/>
        </c:manualLayout>
      </c:layout>
      <c:lineChart>
        <c:grouping val="standard"/>
        <c:varyColors val="0"/>
        <c:ser>
          <c:idx val="0"/>
          <c:order val="0"/>
          <c:tx>
            <c:strRef>
              <c:f>'CPI_HICP m-12'!$B$2:$C$2</c:f>
              <c:strCache>
                <c:ptCount val="1"/>
                <c:pt idx="0">
                  <c:v>CPI</c:v>
                </c:pt>
              </c:strCache>
            </c:strRef>
          </c:tx>
          <c:spPr>
            <a:ln w="19050">
              <a:solidFill>
                <a:srgbClr val="001D77"/>
              </a:solidFill>
            </a:ln>
          </c:spPr>
          <c:marker>
            <c:symbol val="none"/>
          </c:marker>
          <c:cat>
            <c:strRef>
              <c:f>'CPI_HICP m-12'!$B$51:$B$73</c:f>
              <c:strCache>
                <c:ptCount val="23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'CPI_HICP m-12'!$C$51:$C$73</c:f>
              <c:numCache>
                <c:formatCode>0.0</c:formatCode>
                <c:ptCount val="23"/>
                <c:pt idx="0">
                  <c:v>4.3</c:v>
                </c:pt>
                <c:pt idx="1">
                  <c:v>4.7</c:v>
                </c:pt>
                <c:pt idx="2">
                  <c:v>4.5999999999999996</c:v>
                </c:pt>
                <c:pt idx="3">
                  <c:v>3.4</c:v>
                </c:pt>
                <c:pt idx="4">
                  <c:v>2.9</c:v>
                </c:pt>
                <c:pt idx="5">
                  <c:v>3.3</c:v>
                </c:pt>
                <c:pt idx="6">
                  <c:v>3</c:v>
                </c:pt>
                <c:pt idx="7">
                  <c:v>2.9</c:v>
                </c:pt>
                <c:pt idx="8">
                  <c:v>3.2</c:v>
                </c:pt>
                <c:pt idx="9">
                  <c:v>3.1</c:v>
                </c:pt>
                <c:pt idx="10">
                  <c:v>3</c:v>
                </c:pt>
                <c:pt idx="11">
                  <c:v>2.4</c:v>
                </c:pt>
                <c:pt idx="12">
                  <c:v>2.6</c:v>
                </c:pt>
                <c:pt idx="13">
                  <c:v>2.4</c:v>
                </c:pt>
                <c:pt idx="14">
                  <c:v>3.2</c:v>
                </c:pt>
                <c:pt idx="15">
                  <c:v>4.3</c:v>
                </c:pt>
                <c:pt idx="16">
                  <c:v>4.7</c:v>
                </c:pt>
                <c:pt idx="17">
                  <c:v>4.4000000000000004</c:v>
                </c:pt>
                <c:pt idx="18">
                  <c:v>5</c:v>
                </c:pt>
                <c:pt idx="19">
                  <c:v>5.5</c:v>
                </c:pt>
                <c:pt idx="20">
                  <c:v>5.9</c:v>
                </c:pt>
                <c:pt idx="21">
                  <c:v>6.8</c:v>
                </c:pt>
                <c:pt idx="22">
                  <c:v>7.8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'CPI_HICP m-12'!$D$2:$E$2</c:f>
              <c:strCache>
                <c:ptCount val="1"/>
                <c:pt idx="0">
                  <c:v>HICP</c:v>
                </c:pt>
              </c:strCache>
            </c:strRef>
          </c:tx>
          <c:spPr>
            <a:ln w="19050">
              <a:solidFill>
                <a:srgbClr val="99A5C9"/>
              </a:solidFill>
            </a:ln>
          </c:spPr>
          <c:marker>
            <c:symbol val="none"/>
          </c:marker>
          <c:cat>
            <c:strRef>
              <c:f>'CPI_HICP m-12'!$B$51:$B$73</c:f>
              <c:strCache>
                <c:ptCount val="23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'CPI_HICP m-12'!$E$51:$E$72</c:f>
              <c:numCache>
                <c:formatCode>0.0</c:formatCode>
                <c:ptCount val="22"/>
                <c:pt idx="0">
                  <c:v>3.8</c:v>
                </c:pt>
                <c:pt idx="1">
                  <c:v>4.0999999999999996</c:v>
                </c:pt>
                <c:pt idx="2">
                  <c:v>3.9</c:v>
                </c:pt>
                <c:pt idx="3">
                  <c:v>2.9</c:v>
                </c:pt>
                <c:pt idx="4">
                  <c:v>3.4</c:v>
                </c:pt>
                <c:pt idx="5">
                  <c:v>3.8</c:v>
                </c:pt>
                <c:pt idx="6">
                  <c:v>3.7</c:v>
                </c:pt>
                <c:pt idx="7">
                  <c:v>3.7</c:v>
                </c:pt>
                <c:pt idx="8">
                  <c:v>3.8</c:v>
                </c:pt>
                <c:pt idx="9">
                  <c:v>3.8</c:v>
                </c:pt>
                <c:pt idx="10">
                  <c:v>3.7</c:v>
                </c:pt>
                <c:pt idx="11">
                  <c:v>3.4</c:v>
                </c:pt>
                <c:pt idx="12">
                  <c:v>3.6</c:v>
                </c:pt>
                <c:pt idx="13">
                  <c:v>3.6</c:v>
                </c:pt>
                <c:pt idx="14">
                  <c:v>4.4000000000000004</c:v>
                </c:pt>
                <c:pt idx="15">
                  <c:v>5.0999999999999996</c:v>
                </c:pt>
                <c:pt idx="16">
                  <c:v>4.5999999999999996</c:v>
                </c:pt>
                <c:pt idx="17">
                  <c:v>4.0999999999999996</c:v>
                </c:pt>
                <c:pt idx="18">
                  <c:v>4.7</c:v>
                </c:pt>
                <c:pt idx="19">
                  <c:v>5</c:v>
                </c:pt>
                <c:pt idx="20">
                  <c:v>5.6</c:v>
                </c:pt>
                <c:pt idx="21">
                  <c:v>6.4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969429664"/>
        <c:axId val="-1969425856"/>
      </c:lineChart>
      <c:catAx>
        <c:axId val="-1969429664"/>
        <c:scaling>
          <c:orientation val="minMax"/>
        </c:scaling>
        <c:delete val="0"/>
        <c:axPos val="b"/>
        <c:numFmt formatCode="d/mm" sourceLinked="0"/>
        <c:majorTickMark val="out"/>
        <c:minorTickMark val="none"/>
        <c:tickLblPos val="low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-1969425856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-1969425856"/>
        <c:scaling>
          <c:orientation val="minMax"/>
          <c:max val="8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-1969429664"/>
        <c:crosses val="autoZero"/>
        <c:crossBetween val="between"/>
        <c:majorUnit val="1"/>
        <c:minorUnit val="0.1"/>
      </c:valAx>
      <c:spPr>
        <a:noFill/>
        <a:ln w="3175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80241520572293645"/>
          <c:y val="0.57775246619352427"/>
          <c:w val="0.11602738896666102"/>
          <c:h val="0.14737378640231696"/>
        </c:manualLayout>
      </c:layout>
      <c:overlay val="0"/>
      <c:spPr>
        <a:noFill/>
        <a:ln w="38100">
          <a:noFill/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Fira Sans" pitchFamily="34" charset="0"/>
              <a:ea typeface="Fira Sans" pitchFamily="34" charset="0"/>
              <a:cs typeface="Arial CE"/>
            </a:defRPr>
          </a:pPr>
          <a:endParaRPr lang="pl-PL"/>
        </a:p>
      </c:txPr>
    </c:legend>
    <c:plotVisOnly val="0"/>
    <c:dispBlanksAs val="gap"/>
    <c:showDLblsOverMax val="0"/>
  </c:chart>
  <c:spPr>
    <a:noFill/>
    <a:ln w="9525">
      <a:noFill/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0.06988</cdr:x>
      <cdr:y>0.93898</cdr:y>
    </cdr:from>
    <cdr:to>
      <cdr:x>0.64722</cdr:x>
      <cdr:y>0.99323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58042" y="2444751"/>
          <a:ext cx="2958124" cy="1412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0.06721</cdr:x>
      <cdr:y>0.9279</cdr:y>
    </cdr:from>
    <cdr:to>
      <cdr:x>0.48735</cdr:x>
      <cdr:y>0.99268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4362" y="2371725"/>
          <a:ext cx="2152654" cy="1655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0.06933</cdr:x>
      <cdr:y>0.92366</cdr:y>
    </cdr:from>
    <cdr:to>
      <cdr:x>0.51844</cdr:x>
      <cdr:y>0.99212</cdr:y>
    </cdr:to>
    <cdr:sp macro="" textlink="">
      <cdr:nvSpPr>
        <cdr:cNvPr id="56" name="pole tekstowe 1"/>
        <cdr:cNvSpPr txBox="1"/>
      </cdr:nvSpPr>
      <cdr:spPr>
        <a:xfrm xmlns:a="http://schemas.openxmlformats.org/drawingml/2006/main">
          <a:off x="355147" y="2385391"/>
          <a:ext cx="2300590" cy="1768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0.51844</cdr:x>
      <cdr:y>0.92058</cdr:y>
    </cdr:from>
    <cdr:to>
      <cdr:x>0.93035</cdr:x>
      <cdr:y>0.99136</cdr:y>
    </cdr:to>
    <cdr:sp macro="" textlink="">
      <cdr:nvSpPr>
        <cdr:cNvPr id="9" name="pole tekstowe 1"/>
        <cdr:cNvSpPr txBox="1"/>
      </cdr:nvSpPr>
      <cdr:spPr>
        <a:xfrm xmlns:a="http://schemas.openxmlformats.org/drawingml/2006/main">
          <a:off x="2655737" y="2377441"/>
          <a:ext cx="2110024" cy="1827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2021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0.51674</cdr:x>
      <cdr:y>0.86653</cdr:y>
    </cdr:from>
    <cdr:to>
      <cdr:x>0.51674</cdr:x>
      <cdr:y>0.93756</cdr:y>
    </cdr:to>
    <cdr:cxnSp macro="">
      <cdr:nvCxnSpPr>
        <cdr:cNvPr id="6" name="Łącznik prosty 5"/>
        <cdr:cNvCxnSpPr/>
      </cdr:nvCxnSpPr>
      <cdr:spPr bwMode="auto">
        <a:xfrm xmlns:a="http://schemas.openxmlformats.org/drawingml/2006/main">
          <a:off x="2647009" y="2237853"/>
          <a:ext cx="0" cy="183438"/>
        </a:xfrm>
        <a:prstGeom xmlns:a="http://schemas.openxmlformats.org/drawingml/2006/main" prst="line">
          <a:avLst/>
        </a:prstGeom>
        <a:solidFill xmlns:a="http://schemas.openxmlformats.org/drawingml/2006/main">
          <a:srgbClr val="FFFFFF"/>
        </a:solidFill>
        <a:ln xmlns:a="http://schemas.openxmlformats.org/drawingml/2006/main" w="3175" cap="flat" cmpd="sng" algn="ctr">
          <a:solidFill>
            <a:schemeClr val="bg1">
              <a:lumMod val="50000"/>
            </a:schemeClr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0.06855</cdr:x>
      <cdr:y>0.62926</cdr:y>
    </cdr:from>
    <cdr:to>
      <cdr:x>0.92823</cdr:x>
      <cdr:y>0.62926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51129" y="1594713"/>
          <a:ext cx="4403751" cy="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0.06639</cdr:x>
      <cdr:y>0.93049</cdr:y>
    </cdr:from>
    <cdr:to>
      <cdr:x>0.46539</cdr:x>
      <cdr:y>0.99633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1169" y="2389435"/>
          <a:ext cx="2050416" cy="1690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 flipV="1">
          <a:off x="0" y="0"/>
          <a:ext cx="0" cy="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0.06978</cdr:x>
      <cdr:y>0.92556</cdr:y>
    </cdr:from>
    <cdr:to>
      <cdr:x>0.51999</cdr:x>
      <cdr:y>1</cdr:y>
    </cdr:to>
    <cdr:sp macro="" textlink="">
      <cdr:nvSpPr>
        <cdr:cNvPr id="22" name="pole tekstowe 1"/>
        <cdr:cNvSpPr txBox="1"/>
      </cdr:nvSpPr>
      <cdr:spPr>
        <a:xfrm xmlns:a="http://schemas.openxmlformats.org/drawingml/2006/main">
          <a:off x="357452" y="2345635"/>
          <a:ext cx="2306236" cy="188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0.323</cdr:x>
      <cdr:y>0.46649</cdr:y>
    </cdr:from>
    <cdr:to>
      <cdr:x>0.63293</cdr:x>
      <cdr:y>0.56415</cdr:y>
    </cdr:to>
    <cdr:sp macro="" textlink="">
      <cdr:nvSpPr>
        <cdr:cNvPr id="24" name="pole tekstowe 1"/>
        <cdr:cNvSpPr txBox="1"/>
      </cdr:nvSpPr>
      <cdr:spPr>
        <a:xfrm xmlns:a="http://schemas.openxmlformats.org/drawingml/2006/main">
          <a:off x="1654587" y="1182215"/>
          <a:ext cx="1587600" cy="2474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Deviation</a:t>
          </a:r>
          <a:r>
            <a:rPr lang="pl-PL" sz="70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from inlation target</a:t>
          </a:r>
          <a:endParaRPr lang="pl-PL" sz="700" b="0">
            <a:solidFill>
              <a:sysClr val="windowText" lastClr="000000"/>
            </a:solidFill>
            <a:latin typeface="Fira Sans" pitchFamily="34" charset="0"/>
            <a:ea typeface="Fira Sans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0.32388</cdr:x>
      <cdr:y>0.71281</cdr:y>
    </cdr:from>
    <cdr:to>
      <cdr:x>0.63381</cdr:x>
      <cdr:y>0.77984</cdr:y>
    </cdr:to>
    <cdr:sp macro="" textlink="">
      <cdr:nvSpPr>
        <cdr:cNvPr id="25" name="pole tekstowe 1"/>
        <cdr:cNvSpPr txBox="1"/>
      </cdr:nvSpPr>
      <cdr:spPr>
        <a:xfrm xmlns:a="http://schemas.openxmlformats.org/drawingml/2006/main">
          <a:off x="1659079" y="1806470"/>
          <a:ext cx="1587630" cy="1698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Deviation</a:t>
          </a:r>
          <a:r>
            <a:rPr lang="pl-PL" sz="70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from inflation target</a:t>
          </a:r>
          <a:endParaRPr lang="pl-PL" sz="700" b="0">
            <a:solidFill>
              <a:sysClr val="windowText" lastClr="000000"/>
            </a:solidFill>
            <a:latin typeface="Fira Sans" pitchFamily="34" charset="0"/>
            <a:ea typeface="Fira Sans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0.70617</cdr:x>
      <cdr:y>0.56359</cdr:y>
    </cdr:from>
    <cdr:to>
      <cdr:x>0.89768</cdr:x>
      <cdr:y>0.64444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17377" y="1428286"/>
          <a:ext cx="981019" cy="2048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700" b="0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Inflation target 2,5</a:t>
          </a:r>
        </a:p>
      </cdr:txBody>
    </cdr:sp>
  </cdr:relSizeAnchor>
  <cdr:relSizeAnchor xmlns:cdr="http://schemas.openxmlformats.org/drawingml/2006/chartDrawing">
    <cdr:from>
      <cdr:x>0.51844</cdr:x>
      <cdr:y>0.9287</cdr:y>
    </cdr:from>
    <cdr:to>
      <cdr:x>0.92863</cdr:x>
      <cdr:y>1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2655736" y="2353586"/>
          <a:ext cx="2101213" cy="1806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2021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0.06961</cdr:x>
      <cdr:y>0.72162</cdr:y>
    </cdr:from>
    <cdr:to>
      <cdr:x>0.92667</cdr:x>
      <cdr:y>0.72441</cdr:y>
    </cdr:to>
    <cdr:sp macro="" textlink="">
      <cdr:nvSpPr>
        <cdr:cNvPr id="12" name="Łącznik prosty 11"/>
        <cdr:cNvSpPr/>
      </cdr:nvSpPr>
      <cdr:spPr bwMode="auto">
        <a:xfrm xmlns:a="http://schemas.openxmlformats.org/drawingml/2006/main" flipV="1">
          <a:off x="356582" y="1828791"/>
          <a:ext cx="4390328" cy="707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sp>
  </cdr:relSizeAnchor>
  <cdr:relSizeAnchor xmlns:cdr="http://schemas.openxmlformats.org/drawingml/2006/chartDrawing">
    <cdr:from>
      <cdr:x>0.5164</cdr:x>
      <cdr:y>0.86721</cdr:y>
    </cdr:from>
    <cdr:to>
      <cdr:x>0.5164</cdr:x>
      <cdr:y>0.9396</cdr:y>
    </cdr:to>
    <cdr:cxnSp macro="">
      <cdr:nvCxnSpPr>
        <cdr:cNvPr id="20" name="Łącznik prosty 19"/>
        <cdr:cNvCxnSpPr/>
      </cdr:nvCxnSpPr>
      <cdr:spPr bwMode="auto">
        <a:xfrm xmlns:a="http://schemas.openxmlformats.org/drawingml/2006/main">
          <a:off x="2645272" y="2197764"/>
          <a:ext cx="0" cy="183453"/>
        </a:xfrm>
        <a:prstGeom xmlns:a="http://schemas.openxmlformats.org/drawingml/2006/main" prst="line">
          <a:avLst/>
        </a:prstGeom>
        <a:solidFill xmlns:a="http://schemas.openxmlformats.org/drawingml/2006/main">
          <a:srgbClr val="FFFFFF"/>
        </a:solidFill>
        <a:ln xmlns:a="http://schemas.openxmlformats.org/drawingml/2006/main" w="3175" cap="flat" cmpd="sng" algn="ctr">
          <a:solidFill>
            <a:schemeClr val="bg1">
              <a:lumMod val="50000"/>
            </a:schemeClr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</cdr:cxnSp>
  </cdr:relSizeAnchor>
  <cdr:relSizeAnchor xmlns:cdr="http://schemas.openxmlformats.org/drawingml/2006/chartDrawing">
    <cdr:from>
      <cdr:x>0.0714</cdr:x>
      <cdr:y>0.52902</cdr:y>
    </cdr:from>
    <cdr:to>
      <cdr:x>0.9263</cdr:x>
      <cdr:y>0.53077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>
          <a:off x="365750" y="1340686"/>
          <a:ext cx="4379245" cy="4434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0.06337</cdr:x>
      <cdr:y>0.0639</cdr:y>
    </cdr:from>
    <cdr:to>
      <cdr:x>0.12174</cdr:x>
      <cdr:y>0.18421</cdr:y>
    </cdr:to>
    <cdr:sp macro="" textlink="">
      <cdr:nvSpPr>
        <cdr:cNvPr id="135168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4736" y="165552"/>
          <a:ext cx="299115" cy="3116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1351684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  <cdr:relSizeAnchor xmlns:cdr="http://schemas.openxmlformats.org/drawingml/2006/chartDrawing">
    <cdr:from>
      <cdr:x>0.08308</cdr:x>
      <cdr:y>0.92137</cdr:y>
    </cdr:from>
    <cdr:to>
      <cdr:x>0.45083</cdr:x>
      <cdr:y>1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424455" y="2372591"/>
          <a:ext cx="1878863" cy="2024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0.06514</cdr:x>
      <cdr:y>0.91693</cdr:y>
    </cdr:from>
    <cdr:to>
      <cdr:x>0.51844</cdr:x>
      <cdr:y>0.99054</cdr:y>
    </cdr:to>
    <cdr:sp macro="" textlink="">
      <cdr:nvSpPr>
        <cdr:cNvPr id="11" name="pole tekstowe 1"/>
        <cdr:cNvSpPr txBox="1"/>
      </cdr:nvSpPr>
      <cdr:spPr>
        <a:xfrm xmlns:a="http://schemas.openxmlformats.org/drawingml/2006/main">
          <a:off x="333683" y="2266121"/>
          <a:ext cx="2322053" cy="1819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0.51689</cdr:x>
      <cdr:y>0.91693</cdr:y>
    </cdr:from>
    <cdr:to>
      <cdr:x>0.93133</cdr:x>
      <cdr:y>1</cdr:y>
    </cdr:to>
    <cdr:sp macro="" textlink="">
      <cdr:nvSpPr>
        <cdr:cNvPr id="7" name="pole tekstowe 1"/>
        <cdr:cNvSpPr txBox="1"/>
      </cdr:nvSpPr>
      <cdr:spPr>
        <a:xfrm xmlns:a="http://schemas.openxmlformats.org/drawingml/2006/main">
          <a:off x="2647786" y="2266121"/>
          <a:ext cx="2122998" cy="2052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pl-PL" sz="800">
              <a:latin typeface="Fira Sans" panose="020B0503050000020004" pitchFamily="34" charset="0"/>
              <a:ea typeface="Fira Sans" panose="020B0503050000020004" pitchFamily="34" charset="0"/>
            </a:rPr>
            <a:t>2021</a:t>
          </a:r>
        </a:p>
      </cdr:txBody>
    </cdr:sp>
  </cdr:relSizeAnchor>
  <cdr:relSizeAnchor xmlns:cdr="http://schemas.openxmlformats.org/drawingml/2006/chartDrawing">
    <cdr:from>
      <cdr:x>0.517</cdr:x>
      <cdr:y>0.85191</cdr:y>
    </cdr:from>
    <cdr:to>
      <cdr:x>0.517</cdr:x>
      <cdr:y>0.92614</cdr:y>
    </cdr:to>
    <cdr:cxnSp macro="">
      <cdr:nvCxnSpPr>
        <cdr:cNvPr id="8" name="Łącznik prosty 7"/>
        <cdr:cNvCxnSpPr/>
      </cdr:nvCxnSpPr>
      <cdr:spPr bwMode="auto">
        <a:xfrm xmlns:a="http://schemas.openxmlformats.org/drawingml/2006/main">
          <a:off x="2648374" y="2105433"/>
          <a:ext cx="0" cy="183457"/>
        </a:xfrm>
        <a:prstGeom xmlns:a="http://schemas.openxmlformats.org/drawingml/2006/main" prst="line">
          <a:avLst/>
        </a:prstGeom>
        <a:solidFill xmlns:a="http://schemas.openxmlformats.org/drawingml/2006/main">
          <a:srgbClr val="FFFFFF"/>
        </a:solidFill>
        <a:ln xmlns:a="http://schemas.openxmlformats.org/drawingml/2006/main" w="3175" cap="flat" cmpd="sng" algn="ctr">
          <a:solidFill>
            <a:schemeClr val="bg1">
              <a:lumMod val="50000"/>
            </a:schemeClr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</cdr:cxn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3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8AC7DE-DFF8-4E69-B7A3-D0B2ABB4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price indices in November 2021</dc:title>
  <dc:subject/>
  <dc:creator>Statistics Poland</dc:creator>
  <cp:keywords/>
  <dc:description/>
  <cp:lastModifiedBy>Putkowska Beata</cp:lastModifiedBy>
  <cp:revision>3</cp:revision>
  <cp:lastPrinted>2021-06-14T12:53:00Z</cp:lastPrinted>
  <dcterms:created xsi:type="dcterms:W3CDTF">2021-08-11T14:12:00Z</dcterms:created>
  <dcterms:modified xsi:type="dcterms:W3CDTF">2021-12-15T07:59:00Z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