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90EAA" w:rsidRDefault="00890EAA" w:rsidP="00074DD8">
      <w:pPr>
        <w:pStyle w:val="tytuinformacji"/>
        <w:rPr>
          <w:shd w:val="clear" w:color="auto" w:fill="FFFFFF"/>
          <w:lang w:val="en-GB"/>
        </w:rPr>
      </w:pPr>
      <w:r w:rsidRPr="00890EAA">
        <w:rPr>
          <w:shd w:val="clear" w:color="auto" w:fill="FFFFFF"/>
          <w:lang w:val="en-GB"/>
        </w:rPr>
        <w:t>Consumer price indices by voivodships</w:t>
      </w:r>
      <w:r w:rsidR="00E049F1" w:rsidRPr="00890EAA">
        <w:rPr>
          <w:shd w:val="clear" w:color="auto" w:fill="FFFFFF"/>
          <w:lang w:val="en-GB"/>
        </w:rPr>
        <w:t xml:space="preserve"> </w:t>
      </w:r>
      <w:r w:rsidR="00E049F1" w:rsidRPr="00890EAA">
        <w:rPr>
          <w:shd w:val="clear" w:color="auto" w:fill="FFFFFF"/>
          <w:lang w:val="en-GB"/>
        </w:rPr>
        <w:br/>
      </w:r>
      <w:bookmarkStart w:id="0" w:name="_GoBack"/>
      <w:r>
        <w:rPr>
          <w:shd w:val="clear" w:color="auto" w:fill="FFFFFF"/>
          <w:lang w:val="en-GB"/>
        </w:rPr>
        <w:t>in</w:t>
      </w:r>
      <w:r w:rsidRPr="00D72C56">
        <w:rPr>
          <w:shd w:val="clear" w:color="auto" w:fill="FFFFFF"/>
          <w:lang w:val="en-GB"/>
        </w:rPr>
        <w:t xml:space="preserve"> the</w:t>
      </w:r>
      <w:r>
        <w:rPr>
          <w:shd w:val="clear" w:color="auto" w:fill="FFFFFF"/>
          <w:lang w:val="en-GB"/>
        </w:rPr>
        <w:t xml:space="preserve"> third </w:t>
      </w:r>
      <w:r w:rsidRPr="00D72C56">
        <w:rPr>
          <w:shd w:val="clear" w:color="auto" w:fill="FFFFFF"/>
          <w:lang w:val="en-GB"/>
        </w:rPr>
        <w:t xml:space="preserve">quarter of </w:t>
      </w:r>
      <w:r w:rsidRPr="00FC5282">
        <w:rPr>
          <w:bCs/>
          <w:shd w:val="clear" w:color="auto" w:fill="FFFFFF"/>
          <w:lang w:val="en-GB"/>
        </w:rPr>
        <w:t>2020</w:t>
      </w:r>
      <w:bookmarkEnd w:id="0"/>
    </w:p>
    <w:p w:rsidR="00393761" w:rsidRPr="00890EAA" w:rsidRDefault="00393761" w:rsidP="00074DD8">
      <w:pPr>
        <w:pStyle w:val="tytuinformacji"/>
        <w:rPr>
          <w:sz w:val="32"/>
          <w:lang w:val="en-GB"/>
        </w:rPr>
      </w:pPr>
    </w:p>
    <w:p w:rsidR="00116087" w:rsidRPr="00642F07" w:rsidRDefault="00642F07" w:rsidP="00E049F1">
      <w:pPr>
        <w:pStyle w:val="tytuwykresu"/>
        <w:rPr>
          <w:bCs/>
          <w:lang w:val="en-GB"/>
        </w:rPr>
      </w:pPr>
      <w:r w:rsidRPr="00ED5084">
        <w:rPr>
          <w:lang w:val="en-GB"/>
        </w:rPr>
        <w:t xml:space="preserve">Table 1. </w:t>
      </w:r>
      <w:r w:rsidRPr="00D72C56">
        <w:rPr>
          <w:lang w:val="en-GB"/>
        </w:rPr>
        <w:t>Consumer price indices by voivodshi</w:t>
      </w:r>
      <w:r>
        <w:rPr>
          <w:lang w:val="en-GB"/>
        </w:rPr>
        <w:t>ps in the third quarter of 2020</w:t>
      </w:r>
    </w:p>
    <w:p w:rsidR="002D1E16" w:rsidRPr="00642F07" w:rsidRDefault="002D1E16" w:rsidP="00E049F1">
      <w:pPr>
        <w:pStyle w:val="tytuwykresu"/>
        <w:rPr>
          <w:lang w:val="en-GB"/>
        </w:rPr>
      </w:pP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297E61" w:rsidRPr="00246BD7" w:rsidTr="001C43CC">
        <w:trPr>
          <w:trHeight w:val="57"/>
        </w:trPr>
        <w:tc>
          <w:tcPr>
            <w:tcW w:w="3494" w:type="dxa"/>
            <w:vMerge w:val="restart"/>
            <w:vAlign w:val="center"/>
          </w:tcPr>
          <w:p w:rsidR="00297E61" w:rsidRPr="00642F07" w:rsidRDefault="00642F07" w:rsidP="002D1E16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642F07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574" w:type="dxa"/>
            <w:gridSpan w:val="3"/>
            <w:vAlign w:val="center"/>
          </w:tcPr>
          <w:p w:rsidR="00297E61" w:rsidRPr="00246BD7" w:rsidRDefault="00642F07" w:rsidP="00773907">
            <w:pPr>
              <w:pStyle w:val="Nagwek3"/>
              <w:spacing w:before="0" w:after="120"/>
              <w:jc w:val="center"/>
              <w:rPr>
                <w:rFonts w:ascii="Fira Sans" w:eastAsiaTheme="majorEastAsia" w:hAnsi="Fira Sans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Fira Sans" w:eastAsiaTheme="majorEastAsia" w:hAnsi="Fira Sans" w:cstheme="majorBidi"/>
                <w:bCs/>
                <w:color w:val="000000" w:themeColor="text1"/>
                <w:sz w:val="16"/>
                <w:szCs w:val="16"/>
                <w:lang w:val="en-GB"/>
              </w:rPr>
              <w:t>III</w:t>
            </w:r>
            <w:r w:rsidRPr="003210D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3210D6">
              <w:rPr>
                <w:rFonts w:ascii="Fira Sans" w:eastAsiaTheme="majorEastAsia" w:hAnsi="Fira Sans" w:cstheme="majorBidi"/>
                <w:bCs/>
                <w:color w:val="000000" w:themeColor="text1"/>
                <w:sz w:val="16"/>
                <w:szCs w:val="16"/>
                <w:lang w:val="en-GB"/>
              </w:rPr>
              <w:t>quarter 2020</w:t>
            </w:r>
          </w:p>
        </w:tc>
      </w:tr>
      <w:tr w:rsidR="00642F07" w:rsidRPr="00246BD7" w:rsidTr="00CE3F3D">
        <w:trPr>
          <w:gridAfter w:val="1"/>
          <w:wAfter w:w="18" w:type="dxa"/>
          <w:trHeight w:val="575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642F07" w:rsidRPr="00246BD7" w:rsidRDefault="00642F07" w:rsidP="00642F07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642F07" w:rsidRPr="00925EFB" w:rsidRDefault="00642F07" w:rsidP="00642F07">
            <w:pPr>
              <w:spacing w:before="60" w:after="60"/>
              <w:jc w:val="center"/>
              <w:rPr>
                <w:rFonts w:eastAsiaTheme="minorHAnsi" w:cstheme="minorBidi"/>
                <w:color w:val="000000" w:themeColor="text1"/>
                <w:sz w:val="16"/>
                <w:szCs w:val="16"/>
                <w:lang w:val="en-GB"/>
              </w:rPr>
            </w:pPr>
            <w:r w:rsidRPr="00BB737C">
              <w:rPr>
                <w:rFonts w:eastAsiaTheme="minorHAnsi" w:cstheme="minorBidi"/>
                <w:bCs/>
                <w:color w:val="000000" w:themeColor="text1"/>
                <w:sz w:val="16"/>
                <w:szCs w:val="16"/>
                <w:lang w:val="en-GB"/>
              </w:rPr>
              <w:t>corresponding</w:t>
            </w:r>
            <w:r w:rsidRPr="00BB737C">
              <w:rPr>
                <w:rFonts w:eastAsia="Times New Roman"/>
                <w:bCs/>
                <w:color w:val="000000"/>
                <w:sz w:val="16"/>
                <w:szCs w:val="16"/>
                <w:lang w:val="en-GB"/>
              </w:rPr>
              <w:t xml:space="preserve"> quarter</w:t>
            </w:r>
            <w:r w:rsidRPr="00BB737C">
              <w:rPr>
                <w:rFonts w:eastAsiaTheme="minorHAnsi" w:cstheme="minorBidi"/>
                <w:bCs/>
                <w:color w:val="000000" w:themeColor="text1"/>
                <w:sz w:val="16"/>
                <w:szCs w:val="16"/>
                <w:lang w:val="en-GB"/>
              </w:rPr>
              <w:br/>
              <w:t xml:space="preserve">of the previous year </w:t>
            </w:r>
            <w:r w:rsidRPr="00BB737C">
              <w:rPr>
                <w:rFonts w:eastAsiaTheme="minorHAnsi" w:cstheme="minorBidi"/>
                <w:color w:val="000000" w:themeColor="text1"/>
                <w:sz w:val="16"/>
                <w:szCs w:val="16"/>
                <w:lang w:val="en-GB"/>
              </w:rPr>
              <w:t>= 100</w:t>
            </w:r>
          </w:p>
        </w:tc>
        <w:tc>
          <w:tcPr>
            <w:tcW w:w="2278" w:type="dxa"/>
            <w:vAlign w:val="center"/>
          </w:tcPr>
          <w:p w:rsidR="00642F07" w:rsidRPr="00246BD7" w:rsidRDefault="00642F07" w:rsidP="00642F07">
            <w:pPr>
              <w:spacing w:before="60" w:after="60"/>
              <w:jc w:val="center"/>
              <w:rPr>
                <w:rFonts w:eastAsiaTheme="minorHAnsi" w:cstheme="minorBidi"/>
                <w:color w:val="000000" w:themeColor="text1"/>
                <w:sz w:val="16"/>
                <w:szCs w:val="16"/>
              </w:rPr>
            </w:pPr>
            <w:r w:rsidRPr="00BB737C">
              <w:rPr>
                <w:rFonts w:eastAsia="Times New Roman"/>
                <w:bCs/>
                <w:color w:val="000000"/>
                <w:sz w:val="16"/>
                <w:szCs w:val="16"/>
                <w:lang w:val="en-GB"/>
              </w:rPr>
              <w:t xml:space="preserve">previous </w:t>
            </w:r>
            <w:r w:rsidRPr="00BB737C">
              <w:rPr>
                <w:rFonts w:eastAsia="Times New Roman"/>
                <w:bCs/>
                <w:color w:val="000000"/>
                <w:sz w:val="16"/>
                <w:szCs w:val="16"/>
                <w:lang w:val="en-GB"/>
              </w:rPr>
              <w:br/>
              <w:t xml:space="preserve">quarter </w:t>
            </w:r>
            <w:r w:rsidRPr="00BB737C">
              <w:rPr>
                <w:color w:val="000000"/>
                <w:sz w:val="16"/>
                <w:szCs w:val="16"/>
                <w:lang w:val="en-GB"/>
              </w:rPr>
              <w:t>= 100</w:t>
            </w:r>
          </w:p>
        </w:tc>
      </w:tr>
      <w:tr w:rsidR="005B2A90" w:rsidRPr="00246BD7" w:rsidTr="0027106C">
        <w:trPr>
          <w:trHeight w:val="57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5B2A90" w:rsidRPr="00642F07" w:rsidRDefault="00642F07" w:rsidP="005B2A90">
            <w:pPr>
              <w:pStyle w:val="Nagwek5"/>
              <w:tabs>
                <w:tab w:val="right" w:leader="dot" w:pos="4156"/>
              </w:tabs>
              <w:spacing w:before="80" w:after="80"/>
              <w:contextualSpacing/>
              <w:rPr>
                <w:rFonts w:ascii="Fira Sans" w:eastAsiaTheme="majorEastAsia" w:hAnsi="Fira Sans" w:cstheme="majorBidi"/>
                <w:b/>
                <w:color w:val="000000" w:themeColor="text1"/>
                <w:sz w:val="16"/>
                <w:szCs w:val="16"/>
              </w:rPr>
            </w:pPr>
            <w:r w:rsidRPr="00642F07">
              <w:rPr>
                <w:rFonts w:ascii="Fira Sans" w:eastAsiaTheme="majorEastAsia" w:hAnsi="Fira Sans" w:cstheme="majorBidi"/>
                <w:b/>
                <w:color w:val="000000" w:themeColor="text1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2278" w:type="dxa"/>
            <w:tcBorders>
              <w:top w:val="single" w:sz="12" w:space="0" w:color="212492"/>
            </w:tcBorders>
            <w:vAlign w:val="center"/>
          </w:tcPr>
          <w:p w:rsidR="005B2A90" w:rsidRPr="00501FD5" w:rsidRDefault="005B2A90" w:rsidP="005B2A90">
            <w:pPr>
              <w:spacing w:before="80" w:after="80"/>
              <w:jc w:val="right"/>
              <w:rPr>
                <w:rFonts w:eastAsiaTheme="minorHAnsi" w:cs="Arial"/>
                <w:b/>
                <w:sz w:val="16"/>
                <w:szCs w:val="16"/>
              </w:rPr>
            </w:pPr>
            <w:r w:rsidRPr="00501FD5">
              <w:rPr>
                <w:rFonts w:eastAsiaTheme="minorHAnsi" w:cs="Arial"/>
                <w:b/>
                <w:sz w:val="16"/>
                <w:szCs w:val="16"/>
              </w:rPr>
              <w:t>103,0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  <w:vAlign w:val="center"/>
          </w:tcPr>
          <w:p w:rsidR="005B2A90" w:rsidRPr="005B2A90" w:rsidRDefault="005B2A90" w:rsidP="005B2A90">
            <w:pPr>
              <w:spacing w:before="80" w:after="80"/>
              <w:jc w:val="right"/>
              <w:rPr>
                <w:rFonts w:eastAsiaTheme="minorHAnsi" w:cs="Arial"/>
                <w:b/>
                <w:sz w:val="16"/>
                <w:szCs w:val="16"/>
              </w:rPr>
            </w:pPr>
            <w:r w:rsidRPr="005B2A90">
              <w:rPr>
                <w:rFonts w:eastAsiaTheme="minorHAnsi" w:cs="Arial"/>
                <w:b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Dolnośląskie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102,8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Kujawsko-pomorskie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103,2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99,9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Lubelskie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102,3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100,0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Lubuskie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102,6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Łódzkie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103,4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99,8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Małopolskie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103,6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100,3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Mazowieckie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103,1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100,0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Opolskie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102,9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Podkarpackie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102,7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Podlaskie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102,6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100,3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Pomorskie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103,2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100,1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Śląskie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103,4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100,3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Świętokrzyskie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103,2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100,4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Warmińsko-mazurskie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103,2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100,4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Wielkopolskie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103,1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100,2</w:t>
            </w:r>
          </w:p>
        </w:tc>
      </w:tr>
      <w:tr w:rsidR="00642F07" w:rsidRPr="00246BD7" w:rsidTr="00C865D3">
        <w:trPr>
          <w:trHeight w:val="57"/>
        </w:trPr>
        <w:tc>
          <w:tcPr>
            <w:tcW w:w="3494" w:type="dxa"/>
            <w:vAlign w:val="center"/>
          </w:tcPr>
          <w:p w:rsidR="00642F07" w:rsidRPr="00ED5084" w:rsidRDefault="00642F07" w:rsidP="00642F0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ED508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Zachodniopomorskie </w:t>
            </w:r>
          </w:p>
        </w:tc>
        <w:tc>
          <w:tcPr>
            <w:tcW w:w="2278" w:type="dxa"/>
            <w:vAlign w:val="center"/>
          </w:tcPr>
          <w:p w:rsidR="00642F07" w:rsidRPr="00501FD5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01FD5">
              <w:rPr>
                <w:rFonts w:eastAsiaTheme="minorHAnsi" w:cs="Arial"/>
                <w:sz w:val="16"/>
                <w:szCs w:val="16"/>
              </w:rPr>
              <w:t>103,1</w:t>
            </w:r>
          </w:p>
        </w:tc>
        <w:tc>
          <w:tcPr>
            <w:tcW w:w="2296" w:type="dxa"/>
            <w:gridSpan w:val="2"/>
            <w:vAlign w:val="center"/>
          </w:tcPr>
          <w:p w:rsidR="00642F07" w:rsidRPr="005B2A90" w:rsidRDefault="00642F07" w:rsidP="00642F07">
            <w:pPr>
              <w:spacing w:before="80" w:after="80"/>
              <w:jc w:val="right"/>
              <w:rPr>
                <w:rFonts w:eastAsiaTheme="minorHAnsi" w:cs="Arial"/>
                <w:sz w:val="16"/>
                <w:szCs w:val="16"/>
              </w:rPr>
            </w:pPr>
            <w:r w:rsidRPr="005B2A90">
              <w:rPr>
                <w:rFonts w:eastAsiaTheme="minorHAnsi" w:cs="Arial"/>
                <w:sz w:val="16"/>
                <w:szCs w:val="16"/>
              </w:rPr>
              <w:t>100,2</w:t>
            </w:r>
          </w:p>
        </w:tc>
      </w:tr>
    </w:tbl>
    <w:p w:rsidR="00D42345" w:rsidRDefault="00D42345" w:rsidP="00E76D26">
      <w:pPr>
        <w:rPr>
          <w:sz w:val="18"/>
        </w:rPr>
      </w:pPr>
    </w:p>
    <w:p w:rsidR="00D42345" w:rsidRPr="00642F07" w:rsidRDefault="00642F07" w:rsidP="00E76D26">
      <w:pPr>
        <w:rPr>
          <w:sz w:val="18"/>
          <w:lang w:val="en-GB"/>
        </w:rPr>
        <w:sectPr w:rsidR="00D42345" w:rsidRPr="00642F07" w:rsidSect="003B18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D72C56">
        <w:rPr>
          <w:rFonts w:eastAsiaTheme="minorHAnsi" w:cstheme="minorBidi"/>
          <w:color w:val="222222"/>
          <w:szCs w:val="19"/>
          <w:lang w:val="en-GB"/>
        </w:rPr>
        <w:t xml:space="preserve">In case of quoting Statistics Poland data, please provide information: “Source of data: </w:t>
      </w:r>
      <w:r>
        <w:rPr>
          <w:rFonts w:eastAsiaTheme="minorHAnsi" w:cstheme="minorBidi"/>
          <w:color w:val="222222"/>
          <w:szCs w:val="19"/>
          <w:lang w:val="en-GB"/>
        </w:rPr>
        <w:br/>
      </w:r>
      <w:r w:rsidRPr="00D72C56">
        <w:rPr>
          <w:rFonts w:eastAsiaTheme="minorHAnsi" w:cstheme="minorBidi"/>
          <w:color w:val="222222"/>
          <w:szCs w:val="19"/>
          <w:lang w:val="en-GB"/>
        </w:rPr>
        <w:t>Statistics Poland”, and in case of publishing calculations made on data published by Statistics Poland, please include the following disclaimer: “Own study based on figures from Statistics Poland”.</w:t>
      </w:r>
    </w:p>
    <w:p w:rsidR="000470AA" w:rsidRPr="00642F07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E550C6" w:rsidRPr="00642F07" w:rsidTr="00E550C6">
        <w:trPr>
          <w:trHeight w:val="1912"/>
        </w:trPr>
        <w:tc>
          <w:tcPr>
            <w:tcW w:w="4359" w:type="dxa"/>
          </w:tcPr>
          <w:p w:rsidR="00642F07" w:rsidRPr="00BB737C" w:rsidRDefault="00642F07" w:rsidP="00642F07">
            <w:pPr>
              <w:spacing w:before="0" w:after="0" w:line="240" w:lineRule="auto"/>
              <w:rPr>
                <w:rFonts w:cs="Arial"/>
                <w:color w:val="000000"/>
                <w:sz w:val="20"/>
                <w:lang w:val="en-GB"/>
              </w:rPr>
            </w:pPr>
            <w:r w:rsidRPr="00BB737C">
              <w:rPr>
                <w:rFonts w:cs="Arial"/>
                <w:color w:val="000000"/>
                <w:sz w:val="20"/>
                <w:lang w:val="en-GB"/>
              </w:rPr>
              <w:t>Prepared by:</w:t>
            </w:r>
          </w:p>
          <w:p w:rsidR="00642F07" w:rsidRPr="00BB737C" w:rsidRDefault="00642F07" w:rsidP="00642F07">
            <w:pPr>
              <w:spacing w:before="0" w:after="0" w:line="240" w:lineRule="auto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BB737C">
              <w:rPr>
                <w:rFonts w:cs="Arial"/>
                <w:b/>
                <w:color w:val="000000"/>
                <w:sz w:val="20"/>
                <w:lang w:val="en-GB"/>
              </w:rPr>
              <w:t>Trade and Services Department</w:t>
            </w:r>
          </w:p>
          <w:p w:rsidR="00642F07" w:rsidRPr="00ED5084" w:rsidRDefault="00642F07" w:rsidP="00642F07">
            <w:pPr>
              <w:keepNext/>
              <w:keepLines/>
              <w:spacing w:before="0" w:after="0" w:line="240" w:lineRule="auto"/>
              <w:outlineLvl w:val="2"/>
              <w:rPr>
                <w:rFonts w:eastAsia="Times New Roman" w:cs="Arial"/>
                <w:b/>
                <w:color w:val="000000"/>
                <w:sz w:val="20"/>
                <w:szCs w:val="28"/>
                <w:lang w:val="en-GB"/>
              </w:rPr>
            </w:pPr>
            <w:r w:rsidRPr="00ED5084">
              <w:rPr>
                <w:rFonts w:eastAsia="Times New Roman" w:cs="Arial"/>
                <w:b/>
                <w:color w:val="000000"/>
                <w:sz w:val="20"/>
                <w:szCs w:val="28"/>
                <w:lang w:val="en-GB"/>
              </w:rPr>
              <w:t>Director Ewa Adach-Stankiewicz</w:t>
            </w:r>
          </w:p>
          <w:p w:rsidR="00E550C6" w:rsidRDefault="00642F07" w:rsidP="00642F0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ED5084">
              <w:rPr>
                <w:rFonts w:ascii="Fira Sans" w:hAnsi="Fira Sans" w:cs="Arial"/>
                <w:color w:val="000000"/>
                <w:sz w:val="20"/>
                <w:szCs w:val="28"/>
                <w:lang w:val="en-GB"/>
              </w:rPr>
              <w:t>Office: tel. (+48 22) 608 31 24</w:t>
            </w:r>
          </w:p>
          <w:p w:rsidR="00957575" w:rsidRPr="00957575" w:rsidRDefault="00957575" w:rsidP="00305C13">
            <w:pPr>
              <w:rPr>
                <w:lang w:val="fi-FI"/>
              </w:rPr>
            </w:pPr>
          </w:p>
        </w:tc>
        <w:tc>
          <w:tcPr>
            <w:tcW w:w="3924" w:type="dxa"/>
          </w:tcPr>
          <w:p w:rsidR="00642F07" w:rsidRPr="00BB737C" w:rsidRDefault="00642F07" w:rsidP="00642F0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BB737C">
              <w:rPr>
                <w:rFonts w:cs="Arial"/>
                <w:color w:val="000000"/>
                <w:sz w:val="20"/>
                <w:lang w:val="en-GB"/>
              </w:rPr>
              <w:t>Issued by:</w:t>
            </w:r>
            <w:r w:rsidRPr="00BB737C">
              <w:rPr>
                <w:rFonts w:cs="Arial"/>
                <w:color w:val="000000"/>
                <w:sz w:val="20"/>
                <w:lang w:val="en-GB"/>
              </w:rPr>
              <w:br/>
            </w:r>
            <w:r w:rsidRPr="00BB737C">
              <w:rPr>
                <w:rFonts w:cs="Arial"/>
                <w:b/>
                <w:color w:val="000000"/>
                <w:sz w:val="20"/>
                <w:lang w:val="en-GB"/>
              </w:rPr>
              <w:t xml:space="preserve">The Spokesperson for the President </w:t>
            </w:r>
          </w:p>
          <w:p w:rsidR="00642F07" w:rsidRPr="00BB737C" w:rsidRDefault="00642F07" w:rsidP="00642F0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color w:val="000000"/>
                <w:sz w:val="20"/>
                <w:lang w:val="en-GB"/>
              </w:rPr>
              <w:t xml:space="preserve">of </w:t>
            </w:r>
            <w:r w:rsidRPr="00BB737C">
              <w:rPr>
                <w:rFonts w:cs="Arial"/>
                <w:b/>
                <w:color w:val="000000"/>
                <w:sz w:val="20"/>
                <w:lang w:val="en-GB"/>
              </w:rPr>
              <w:t>Statistics Poland</w:t>
            </w:r>
          </w:p>
          <w:p w:rsidR="00642F07" w:rsidRPr="001A1F15" w:rsidRDefault="00642F07" w:rsidP="00642F0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A1F1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Banaszek</w:t>
            </w:r>
          </w:p>
          <w:p w:rsidR="00E550C6" w:rsidRPr="008F3638" w:rsidRDefault="00642F07" w:rsidP="00642F0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D45A2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 </w:t>
            </w:r>
            <w:r w:rsidRPr="00D45A2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011</w:t>
            </w:r>
          </w:p>
        </w:tc>
      </w:tr>
    </w:tbl>
    <w:p w:rsidR="000470AA" w:rsidRPr="00E049F1" w:rsidRDefault="000470AA" w:rsidP="000470AA">
      <w:pPr>
        <w:rPr>
          <w:sz w:val="20"/>
          <w:lang w:val="en-US"/>
        </w:rPr>
      </w:pPr>
    </w:p>
    <w:p w:rsidR="000470AA" w:rsidRPr="00E049F1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642F07" w:rsidTr="00CE3F3D">
        <w:trPr>
          <w:trHeight w:val="610"/>
        </w:trPr>
        <w:tc>
          <w:tcPr>
            <w:tcW w:w="2721" w:type="pct"/>
            <w:vMerge w:val="restart"/>
          </w:tcPr>
          <w:p w:rsidR="00642F07" w:rsidRPr="00BB737C" w:rsidRDefault="00642F07" w:rsidP="00642F07">
            <w:pPr>
              <w:spacing w:before="240"/>
              <w:rPr>
                <w:b/>
                <w:sz w:val="20"/>
                <w:lang w:val="en-GB"/>
              </w:rPr>
            </w:pPr>
            <w:r w:rsidRPr="00BB737C">
              <w:rPr>
                <w:b/>
                <w:sz w:val="20"/>
                <w:lang w:val="en-GB"/>
              </w:rPr>
              <w:t>Press Office</w:t>
            </w:r>
          </w:p>
          <w:p w:rsidR="00642F07" w:rsidRPr="00BB737C" w:rsidRDefault="00642F07" w:rsidP="00642F07">
            <w:pPr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640A5C">
              <w:rPr>
                <w:sz w:val="20"/>
                <w:lang w:val="en-GB"/>
              </w:rPr>
              <w:t xml:space="preserve">el: </w:t>
            </w:r>
            <w:r w:rsidRPr="00BB737C">
              <w:rPr>
                <w:sz w:val="20"/>
                <w:lang w:val="en-GB"/>
              </w:rPr>
              <w:t>+48 22 608 34 91, 22 608 38 04</w:t>
            </w:r>
            <w:r w:rsidRPr="00BB737C">
              <w:rPr>
                <w:rFonts w:eastAsiaTheme="minorHAnsi" w:cstheme="minorBidi"/>
                <w:sz w:val="20"/>
                <w:lang w:val="en-GB"/>
              </w:rPr>
              <w:t xml:space="preserve"> </w:t>
            </w:r>
          </w:p>
          <w:p w:rsidR="000470AA" w:rsidRPr="00246BD7" w:rsidRDefault="00642F07" w:rsidP="00642F07">
            <w:pPr>
              <w:rPr>
                <w:rFonts w:eastAsiaTheme="minorHAnsi" w:cstheme="minorBidi"/>
                <w:sz w:val="18"/>
                <w:lang w:val="en-US"/>
              </w:rPr>
            </w:pPr>
            <w:r w:rsidRPr="00F314EA">
              <w:rPr>
                <w:b/>
                <w:color w:val="000000" w:themeColor="text1"/>
                <w:sz w:val="20"/>
                <w:lang w:val="en-GB"/>
              </w:rPr>
              <w:t>e-mail:</w:t>
            </w:r>
            <w:r w:rsidRPr="00F314EA">
              <w:rPr>
                <w:color w:val="000000" w:themeColor="text1"/>
                <w:sz w:val="20"/>
                <w:lang w:val="en-GB"/>
              </w:rPr>
              <w:t xml:space="preserve"> </w:t>
            </w:r>
            <w:hyperlink r:id="rId15" w:history="1">
              <w:r w:rsidRPr="00F314EA">
                <w:rPr>
                  <w:rFonts w:cs="Arial"/>
                  <w:b/>
                  <w:color w:val="000000" w:themeColor="text1"/>
                  <w:sz w:val="20"/>
                  <w:szCs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246BD7" w:rsidRDefault="00315F36" w:rsidP="000470AA">
            <w:pPr>
              <w:rPr>
                <w:rFonts w:eastAsiaTheme="minorHAnsi" w:cstheme="minorBidi"/>
                <w:sz w:val="18"/>
                <w:lang w:val="en-US"/>
              </w:rPr>
            </w:pPr>
            <w:r>
              <w:rPr>
                <w:rFonts w:eastAsiaTheme="min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1F736E24" wp14:editId="2A551FA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19050" t="0" r="0" b="0"/>
                  <wp:wrapNone/>
                  <wp:docPr id="1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642F07" w:rsidRDefault="009A14DE" w:rsidP="000470AA">
            <w:pPr>
              <w:rPr>
                <w:rFonts w:eastAsiaTheme="minorHAnsi" w:cstheme="minorBidi"/>
                <w:sz w:val="18"/>
                <w:lang w:val="en-US"/>
              </w:rPr>
            </w:pPr>
            <w:hyperlink r:id="rId17" w:history="1">
              <w:r w:rsidR="00642F07" w:rsidRPr="00A62C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246BD7" w:rsidTr="00246BD7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642F07" w:rsidRDefault="000470AA" w:rsidP="000470AA">
            <w:pPr>
              <w:rPr>
                <w:rFonts w:eastAsiaTheme="minorHAnsi" w:cstheme="minorBid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642F07" w:rsidRDefault="00315F36" w:rsidP="000470AA">
            <w:pPr>
              <w:rPr>
                <w:rFonts w:eastAsiaTheme="minorHAnsi" w:cstheme="minorBidi"/>
                <w:sz w:val="18"/>
                <w:lang w:val="en-US"/>
              </w:rPr>
            </w:pPr>
            <w:r>
              <w:rPr>
                <w:rFonts w:eastAsiaTheme="min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1905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246BD7" w:rsidRDefault="009A14DE" w:rsidP="000470AA">
            <w:pPr>
              <w:rPr>
                <w:rFonts w:eastAsiaTheme="minorHAnsi" w:cstheme="minorBidi"/>
                <w:sz w:val="18"/>
              </w:rPr>
            </w:pPr>
            <w:hyperlink r:id="rId19" w:history="1">
              <w:r w:rsidR="00642F07" w:rsidRPr="00A62C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@StatPoland</w:t>
              </w:r>
            </w:hyperlink>
          </w:p>
        </w:tc>
      </w:tr>
      <w:tr w:rsidR="000470AA" w:rsidRPr="00246BD7" w:rsidTr="00246BD7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246BD7" w:rsidRDefault="000470AA" w:rsidP="000470AA">
            <w:pPr>
              <w:rPr>
                <w:rFonts w:eastAsiaTheme="minorHAnsi" w:cstheme="minorBid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246BD7" w:rsidRDefault="00315F36" w:rsidP="000470AA">
            <w:pPr>
              <w:rPr>
                <w:rFonts w:eastAsiaTheme="minorHAnsi" w:cstheme="minorBidi"/>
                <w:sz w:val="18"/>
              </w:rPr>
            </w:pPr>
            <w:r>
              <w:rPr>
                <w:rFonts w:eastAsiaTheme="min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19050" t="0" r="0" b="0"/>
                  <wp:wrapNone/>
                  <wp:docPr id="1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246BD7" w:rsidRDefault="000470AA" w:rsidP="000470AA">
            <w:pPr>
              <w:rPr>
                <w:rFonts w:eastAsiaTheme="minorHAnsi" w:cstheme="minorBidi"/>
                <w:sz w:val="20"/>
              </w:rPr>
            </w:pPr>
            <w:r w:rsidRPr="00246BD7">
              <w:rPr>
                <w:rFonts w:eastAsiaTheme="minorHAnsi" w:cstheme="minorBidi"/>
                <w:sz w:val="20"/>
              </w:rPr>
              <w:t>@GlownyUrzadStatystyczny</w:t>
            </w:r>
          </w:p>
        </w:tc>
      </w:tr>
    </w:tbl>
    <w:p w:rsidR="00D261A2" w:rsidRPr="00001C5B" w:rsidRDefault="0079747D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9525" t="13335" r="12700" b="1079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54" w:rsidRDefault="0066125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642F07" w:rsidRPr="00FE01AA" w:rsidRDefault="00642F07" w:rsidP="00642F0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E01AA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1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2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642F07" w:rsidRPr="00FE01AA" w:rsidRDefault="00642F07" w:rsidP="00642F07">
                            <w:pPr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</w:pPr>
                          </w:p>
                          <w:p w:rsidR="00642F07" w:rsidRPr="00FE01AA" w:rsidRDefault="00642F07" w:rsidP="00642F07">
                            <w:pPr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</w:pPr>
                            <w:r w:rsidRPr="00FE01AA"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3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Knowledge Databases (DBW) Prices</w:t>
                              </w:r>
                            </w:hyperlink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4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Macroeconomic Data Bank (BDM)</w:t>
                              </w:r>
                            </w:hyperlink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Local Data Bank (BDL)</w:t>
                              </w:r>
                            </w:hyperlink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  <w:r w:rsidR="00642F07" w:rsidRPr="00FE01A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  <w:t xml:space="preserve"> </w:t>
                            </w:r>
                          </w:p>
                          <w:p w:rsidR="00642F07" w:rsidRPr="00FE01AA" w:rsidRDefault="00642F07" w:rsidP="00642F07">
                            <w:pPr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</w:pPr>
                          </w:p>
                          <w:p w:rsidR="00642F07" w:rsidRPr="00FE01AA" w:rsidRDefault="00642F07" w:rsidP="00642F07">
                            <w:pPr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</w:pPr>
                            <w:r w:rsidRPr="00FE01AA">
                              <w:rPr>
                                <w:b/>
                                <w:color w:val="000000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642F07" w:rsidRPr="00FE01AA" w:rsidRDefault="009A14DE" w:rsidP="00642F07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661254" w:rsidRPr="00E233EA" w:rsidRDefault="009A14DE" w:rsidP="00642F0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642F07" w:rsidRPr="00FE01AA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" fillcolor="#f2f2f2" strokecolor="white">
                <v:textbox>
                  <w:txbxContent>
                    <w:p w:rsidR="00661254" w:rsidRDefault="00661254" w:rsidP="00AB6D25">
                      <w:pPr>
                        <w:rPr>
                          <w:b/>
                        </w:rPr>
                      </w:pPr>
                    </w:p>
                    <w:p w:rsidR="00642F07" w:rsidRPr="00FE01AA" w:rsidRDefault="00642F07" w:rsidP="00642F07">
                      <w:pPr>
                        <w:rPr>
                          <w:b/>
                          <w:lang w:val="en-GB"/>
                        </w:rPr>
                      </w:pPr>
                      <w:r w:rsidRPr="00FE01AA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0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1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642F07" w:rsidRPr="00FE01AA" w:rsidRDefault="00642F07" w:rsidP="00642F07">
                      <w:pPr>
                        <w:rPr>
                          <w:b/>
                          <w:color w:val="000000"/>
                          <w:szCs w:val="24"/>
                          <w:lang w:val="en-GB"/>
                        </w:rPr>
                      </w:pPr>
                    </w:p>
                    <w:p w:rsidR="00642F07" w:rsidRPr="00FE01AA" w:rsidRDefault="00642F07" w:rsidP="00642F07">
                      <w:pPr>
                        <w:rPr>
                          <w:b/>
                          <w:color w:val="000000"/>
                          <w:szCs w:val="24"/>
                          <w:lang w:val="en-GB"/>
                        </w:rPr>
                      </w:pPr>
                      <w:r w:rsidRPr="00FE01AA">
                        <w:rPr>
                          <w:b/>
                          <w:color w:val="000000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2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Knowledge Databases (DBW) Prices</w:t>
                        </w:r>
                      </w:hyperlink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3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Macroeconomic Data Bank (BDM)</w:t>
                        </w:r>
                      </w:hyperlink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Local Data Bank (BDL)</w:t>
                        </w:r>
                      </w:hyperlink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  <w:r w:rsidR="00642F07" w:rsidRPr="00FE01A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  <w:t xml:space="preserve"> </w:t>
                      </w:r>
                    </w:p>
                    <w:p w:rsidR="00642F07" w:rsidRPr="00FE01AA" w:rsidRDefault="00642F07" w:rsidP="00642F07">
                      <w:pPr>
                        <w:rPr>
                          <w:b/>
                          <w:color w:val="000000"/>
                          <w:szCs w:val="24"/>
                          <w:lang w:val="en-GB"/>
                        </w:rPr>
                      </w:pPr>
                    </w:p>
                    <w:p w:rsidR="00642F07" w:rsidRPr="00FE01AA" w:rsidRDefault="00642F07" w:rsidP="00642F07">
                      <w:pPr>
                        <w:rPr>
                          <w:b/>
                          <w:color w:val="000000"/>
                          <w:szCs w:val="24"/>
                          <w:lang w:val="en-GB"/>
                        </w:rPr>
                      </w:pPr>
                      <w:r w:rsidRPr="00FE01AA">
                        <w:rPr>
                          <w:b/>
                          <w:color w:val="000000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642F07" w:rsidRPr="00FE01AA" w:rsidRDefault="009A14DE" w:rsidP="00642F07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661254" w:rsidRPr="00E233EA" w:rsidRDefault="009A14DE" w:rsidP="00642F0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642F07" w:rsidRPr="00FE01AA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9"/>
      <w:footerReference w:type="default" r:id="rId4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DE" w:rsidRDefault="009A14DE" w:rsidP="000662E2">
      <w:pPr>
        <w:spacing w:after="0" w:line="240" w:lineRule="auto"/>
      </w:pPr>
      <w:r>
        <w:separator/>
      </w:r>
    </w:p>
  </w:endnote>
  <w:endnote w:type="continuationSeparator" w:id="0">
    <w:p w:rsidR="009A14DE" w:rsidRDefault="009A14D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297E61" w:rsidP="003B18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2A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297E61" w:rsidP="003B18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086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297E61" w:rsidP="003B18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08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DE" w:rsidRDefault="009A14DE" w:rsidP="000662E2">
      <w:pPr>
        <w:spacing w:after="0" w:line="240" w:lineRule="auto"/>
      </w:pPr>
      <w:r>
        <w:separator/>
      </w:r>
    </w:p>
  </w:footnote>
  <w:footnote w:type="continuationSeparator" w:id="0">
    <w:p w:rsidR="009A14DE" w:rsidRDefault="009A14D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79747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61ADC0" wp14:editId="29539B9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4445" t="2540" r="0" b="0"/>
              <wp:wrapNone/>
              <wp:docPr id="1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0B45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" fillcolor="#f2f2f2" stroked="f" strokeweight="1pt"/>
          </w:pict>
        </mc:Fallback>
      </mc:AlternateContent>
    </w:r>
  </w:p>
  <w:p w:rsidR="00661254" w:rsidRDefault="00661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9A640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FDF4EE" wp14:editId="5BAA26A6">
              <wp:simplePos x="0" y="0"/>
              <wp:positionH relativeFrom="column">
                <wp:posOffset>5219700</wp:posOffset>
              </wp:positionH>
              <wp:positionV relativeFrom="paragraph">
                <wp:posOffset>201295</wp:posOffset>
              </wp:positionV>
              <wp:extent cx="1871980" cy="10304145"/>
              <wp:effectExtent l="0" t="0" r="0" b="1905"/>
              <wp:wrapTight wrapText="bothSides">
                <wp:wrapPolygon edited="0">
                  <wp:start x="0" y="0"/>
                  <wp:lineTo x="0" y="21564"/>
                  <wp:lineTo x="21322" y="21564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414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5D08B" id="Prostokąt 10" o:spid="_x0000_s1026" style="position:absolute;margin-left:411pt;margin-top:15.85pt;width:147.4pt;height:8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  <w:r w:rsidR="00890EAA">
      <w:rPr>
        <w:noProof/>
        <w:lang w:eastAsia="pl-PL"/>
      </w:rPr>
      <w:drawing>
        <wp:inline distT="0" distB="0" distL="0" distR="0" wp14:anchorId="2999A67E" wp14:editId="0694F0BD">
          <wp:extent cx="2080803" cy="7196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ang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3" cy="71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4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448A5" wp14:editId="42C3AE7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1254" w:rsidRPr="003C6C8D" w:rsidRDefault="00890EA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B737C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448A5" id="Schemat blokowy: opóźnienie 6" o:spid="_x0000_s1027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61254" w:rsidRPr="003C6C8D" w:rsidRDefault="00890EA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B737C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</w:p>
  <w:p w:rsidR="00661254" w:rsidRDefault="0079747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8081059" wp14:editId="1868045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254" w:rsidRPr="00C97596" w:rsidRDefault="00501FD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30.11</w:t>
                          </w:r>
                          <w:r w:rsidR="007948D5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810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661254" w:rsidRPr="00C97596" w:rsidRDefault="00501FD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30.11</w:t>
                    </w:r>
                    <w:r w:rsidR="007948D5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4" w:rsidRDefault="00661254">
    <w:pPr>
      <w:pStyle w:val="Nagwek"/>
    </w:pPr>
  </w:p>
  <w:p w:rsidR="00661254" w:rsidRDefault="00661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31" type="#_x0000_t75" style="width:122.25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24FE"/>
    <w:rsid w:val="0004582E"/>
    <w:rsid w:val="000470AA"/>
    <w:rsid w:val="00057CA1"/>
    <w:rsid w:val="000662E2"/>
    <w:rsid w:val="00066883"/>
    <w:rsid w:val="00074DD8"/>
    <w:rsid w:val="000806F7"/>
    <w:rsid w:val="00097840"/>
    <w:rsid w:val="000B0727"/>
    <w:rsid w:val="000C135D"/>
    <w:rsid w:val="000D1D43"/>
    <w:rsid w:val="000D225C"/>
    <w:rsid w:val="000D2A5C"/>
    <w:rsid w:val="000E0918"/>
    <w:rsid w:val="000E14A8"/>
    <w:rsid w:val="001011C3"/>
    <w:rsid w:val="00110D87"/>
    <w:rsid w:val="00114DB9"/>
    <w:rsid w:val="00116087"/>
    <w:rsid w:val="00130296"/>
    <w:rsid w:val="001423B6"/>
    <w:rsid w:val="001448A7"/>
    <w:rsid w:val="00146621"/>
    <w:rsid w:val="00162325"/>
    <w:rsid w:val="001951DA"/>
    <w:rsid w:val="001C3269"/>
    <w:rsid w:val="001C43CC"/>
    <w:rsid w:val="001D1DB4"/>
    <w:rsid w:val="00212492"/>
    <w:rsid w:val="002173F0"/>
    <w:rsid w:val="00246BD7"/>
    <w:rsid w:val="00246C6E"/>
    <w:rsid w:val="00250523"/>
    <w:rsid w:val="002574F9"/>
    <w:rsid w:val="00262B61"/>
    <w:rsid w:val="00276811"/>
    <w:rsid w:val="00282699"/>
    <w:rsid w:val="002926DF"/>
    <w:rsid w:val="00296697"/>
    <w:rsid w:val="00297E61"/>
    <w:rsid w:val="002B0472"/>
    <w:rsid w:val="002B6B12"/>
    <w:rsid w:val="002D1E16"/>
    <w:rsid w:val="002D707C"/>
    <w:rsid w:val="002E6140"/>
    <w:rsid w:val="002E6985"/>
    <w:rsid w:val="002E71B6"/>
    <w:rsid w:val="002F77C8"/>
    <w:rsid w:val="00304F22"/>
    <w:rsid w:val="00305C13"/>
    <w:rsid w:val="00306C7C"/>
    <w:rsid w:val="00315F36"/>
    <w:rsid w:val="00322EDD"/>
    <w:rsid w:val="00332320"/>
    <w:rsid w:val="00347D72"/>
    <w:rsid w:val="00357611"/>
    <w:rsid w:val="00360F51"/>
    <w:rsid w:val="00367237"/>
    <w:rsid w:val="0037077F"/>
    <w:rsid w:val="00372411"/>
    <w:rsid w:val="00373882"/>
    <w:rsid w:val="003843DB"/>
    <w:rsid w:val="00393761"/>
    <w:rsid w:val="00397D18"/>
    <w:rsid w:val="003A1B36"/>
    <w:rsid w:val="003A755A"/>
    <w:rsid w:val="003B1454"/>
    <w:rsid w:val="003B18B6"/>
    <w:rsid w:val="003C59E0"/>
    <w:rsid w:val="003C6C8D"/>
    <w:rsid w:val="003D4F95"/>
    <w:rsid w:val="003D5F42"/>
    <w:rsid w:val="003D60A9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9621B"/>
    <w:rsid w:val="004C1895"/>
    <w:rsid w:val="004C6D40"/>
    <w:rsid w:val="004F0C3C"/>
    <w:rsid w:val="004F63FC"/>
    <w:rsid w:val="00501FD5"/>
    <w:rsid w:val="00505A92"/>
    <w:rsid w:val="005203F1"/>
    <w:rsid w:val="00521BC3"/>
    <w:rsid w:val="00533632"/>
    <w:rsid w:val="00541E6E"/>
    <w:rsid w:val="0054251F"/>
    <w:rsid w:val="005520D8"/>
    <w:rsid w:val="00556CF1"/>
    <w:rsid w:val="005762A7"/>
    <w:rsid w:val="00583779"/>
    <w:rsid w:val="005916D7"/>
    <w:rsid w:val="00595DD2"/>
    <w:rsid w:val="005A698C"/>
    <w:rsid w:val="005B2A90"/>
    <w:rsid w:val="005E0799"/>
    <w:rsid w:val="005F5A80"/>
    <w:rsid w:val="006044FF"/>
    <w:rsid w:val="00607CC5"/>
    <w:rsid w:val="00633014"/>
    <w:rsid w:val="0063437B"/>
    <w:rsid w:val="00642F07"/>
    <w:rsid w:val="00661254"/>
    <w:rsid w:val="006673CA"/>
    <w:rsid w:val="00673C26"/>
    <w:rsid w:val="006812AF"/>
    <w:rsid w:val="0068327D"/>
    <w:rsid w:val="00694AF0"/>
    <w:rsid w:val="006A4686"/>
    <w:rsid w:val="006B0E9E"/>
    <w:rsid w:val="006B5AE4"/>
    <w:rsid w:val="006D1507"/>
    <w:rsid w:val="006D4054"/>
    <w:rsid w:val="006E02EC"/>
    <w:rsid w:val="007211B1"/>
    <w:rsid w:val="00746187"/>
    <w:rsid w:val="0076254F"/>
    <w:rsid w:val="00773907"/>
    <w:rsid w:val="007801F5"/>
    <w:rsid w:val="00783CA4"/>
    <w:rsid w:val="007842FB"/>
    <w:rsid w:val="00786124"/>
    <w:rsid w:val="007948D5"/>
    <w:rsid w:val="0079514B"/>
    <w:rsid w:val="0079747D"/>
    <w:rsid w:val="007A2DC1"/>
    <w:rsid w:val="007D3319"/>
    <w:rsid w:val="007D335D"/>
    <w:rsid w:val="007E3314"/>
    <w:rsid w:val="007E4B03"/>
    <w:rsid w:val="007F324B"/>
    <w:rsid w:val="007F62AE"/>
    <w:rsid w:val="0080553C"/>
    <w:rsid w:val="00805B46"/>
    <w:rsid w:val="00825DC2"/>
    <w:rsid w:val="00834AD3"/>
    <w:rsid w:val="00843795"/>
    <w:rsid w:val="00844F2B"/>
    <w:rsid w:val="00847F0F"/>
    <w:rsid w:val="00852448"/>
    <w:rsid w:val="0088258A"/>
    <w:rsid w:val="00886332"/>
    <w:rsid w:val="00890EAA"/>
    <w:rsid w:val="0089699D"/>
    <w:rsid w:val="008A26D9"/>
    <w:rsid w:val="008C0862"/>
    <w:rsid w:val="008C0C29"/>
    <w:rsid w:val="008F3638"/>
    <w:rsid w:val="008F4441"/>
    <w:rsid w:val="008F6F31"/>
    <w:rsid w:val="008F74DF"/>
    <w:rsid w:val="009127BA"/>
    <w:rsid w:val="009227A6"/>
    <w:rsid w:val="00925FC9"/>
    <w:rsid w:val="00933EC1"/>
    <w:rsid w:val="009530DB"/>
    <w:rsid w:val="00953676"/>
    <w:rsid w:val="00957575"/>
    <w:rsid w:val="009705EE"/>
    <w:rsid w:val="00977927"/>
    <w:rsid w:val="0098135C"/>
    <w:rsid w:val="0098156A"/>
    <w:rsid w:val="00991BAC"/>
    <w:rsid w:val="009A14DE"/>
    <w:rsid w:val="009A640F"/>
    <w:rsid w:val="009A6EA0"/>
    <w:rsid w:val="009B4CDB"/>
    <w:rsid w:val="009B5DCA"/>
    <w:rsid w:val="009C1335"/>
    <w:rsid w:val="009C1AB2"/>
    <w:rsid w:val="009C7251"/>
    <w:rsid w:val="009D26BD"/>
    <w:rsid w:val="009E2E91"/>
    <w:rsid w:val="00A139F5"/>
    <w:rsid w:val="00A365F4"/>
    <w:rsid w:val="00A47D80"/>
    <w:rsid w:val="00A53132"/>
    <w:rsid w:val="00A563F2"/>
    <w:rsid w:val="00A566E8"/>
    <w:rsid w:val="00A73F02"/>
    <w:rsid w:val="00A810F9"/>
    <w:rsid w:val="00A86ECC"/>
    <w:rsid w:val="00A86FCC"/>
    <w:rsid w:val="00AA710D"/>
    <w:rsid w:val="00AB6D25"/>
    <w:rsid w:val="00AE2D4B"/>
    <w:rsid w:val="00AE4F99"/>
    <w:rsid w:val="00B11B69"/>
    <w:rsid w:val="00B14952"/>
    <w:rsid w:val="00B31E5A"/>
    <w:rsid w:val="00B653AB"/>
    <w:rsid w:val="00B65F9E"/>
    <w:rsid w:val="00B66B19"/>
    <w:rsid w:val="00B7349B"/>
    <w:rsid w:val="00B914E9"/>
    <w:rsid w:val="00B956EE"/>
    <w:rsid w:val="00BA2BA1"/>
    <w:rsid w:val="00BA3562"/>
    <w:rsid w:val="00BB4F09"/>
    <w:rsid w:val="00BD4E33"/>
    <w:rsid w:val="00C030DE"/>
    <w:rsid w:val="00C22105"/>
    <w:rsid w:val="00C244B6"/>
    <w:rsid w:val="00C3702F"/>
    <w:rsid w:val="00C4500A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C739E"/>
    <w:rsid w:val="00CD58B7"/>
    <w:rsid w:val="00CE3F3D"/>
    <w:rsid w:val="00CF0B82"/>
    <w:rsid w:val="00CF4099"/>
    <w:rsid w:val="00D00796"/>
    <w:rsid w:val="00D261A2"/>
    <w:rsid w:val="00D42345"/>
    <w:rsid w:val="00D616D2"/>
    <w:rsid w:val="00D61BC1"/>
    <w:rsid w:val="00D63B5F"/>
    <w:rsid w:val="00D70EF7"/>
    <w:rsid w:val="00D8397C"/>
    <w:rsid w:val="00D94EED"/>
    <w:rsid w:val="00D96026"/>
    <w:rsid w:val="00DA7C1C"/>
    <w:rsid w:val="00DB147A"/>
    <w:rsid w:val="00DB1B7A"/>
    <w:rsid w:val="00DC6708"/>
    <w:rsid w:val="00E01436"/>
    <w:rsid w:val="00E045BD"/>
    <w:rsid w:val="00E049F1"/>
    <w:rsid w:val="00E17B77"/>
    <w:rsid w:val="00E224AE"/>
    <w:rsid w:val="00E23337"/>
    <w:rsid w:val="00E259EA"/>
    <w:rsid w:val="00E32061"/>
    <w:rsid w:val="00E42FF9"/>
    <w:rsid w:val="00E4714C"/>
    <w:rsid w:val="00E51AEB"/>
    <w:rsid w:val="00E51D6D"/>
    <w:rsid w:val="00E522A7"/>
    <w:rsid w:val="00E54452"/>
    <w:rsid w:val="00E550C6"/>
    <w:rsid w:val="00E664C5"/>
    <w:rsid w:val="00E671A2"/>
    <w:rsid w:val="00E76D26"/>
    <w:rsid w:val="00EA7895"/>
    <w:rsid w:val="00EB1390"/>
    <w:rsid w:val="00EB2C71"/>
    <w:rsid w:val="00EB4340"/>
    <w:rsid w:val="00EB556D"/>
    <w:rsid w:val="00EB5A7D"/>
    <w:rsid w:val="00EB745F"/>
    <w:rsid w:val="00EC3C08"/>
    <w:rsid w:val="00ED55C0"/>
    <w:rsid w:val="00ED682B"/>
    <w:rsid w:val="00EE41D5"/>
    <w:rsid w:val="00F037A4"/>
    <w:rsid w:val="00F2669E"/>
    <w:rsid w:val="00F27C8F"/>
    <w:rsid w:val="00F32749"/>
    <w:rsid w:val="00F37172"/>
    <w:rsid w:val="00F4477E"/>
    <w:rsid w:val="00F67D8F"/>
    <w:rsid w:val="00F802BE"/>
    <w:rsid w:val="00F802EF"/>
    <w:rsid w:val="00F80E93"/>
    <w:rsid w:val="00F86024"/>
    <w:rsid w:val="00F8611A"/>
    <w:rsid w:val="00FA5128"/>
    <w:rsid w:val="00FB42D4"/>
    <w:rsid w:val="00FB5906"/>
    <w:rsid w:val="00FB762F"/>
    <w:rsid w:val="00FC2155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EF382-CB51-4B9D-8224-7A8CFD3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 Light" w:eastAsia="Fira Sans Light" w:hAnsi="Fira Sans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="Fira Sans Medium" w:eastAsia="Times New Roman" w:hAnsi="Fira Sans Medium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="Fira Sans Medium" w:eastAsia="Times New Roman" w:hAnsi="Fira Sans Medium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="Fira Sans Medium" w:eastAsia="Times New Roman" w:hAnsi="Fira Sans Medium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="Fira Sans Medium" w:eastAsia="Times New Roman" w:hAnsi="Fira Sans Medium"/>
      <w:color w:val="2E74B5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="Fira Sans Medium" w:eastAsia="Times New Roman" w:hAnsi="Fira Sans Medium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="Fira Sans Medium" w:eastAsia="Times New Roman" w:hAnsi="Fira Sans Medium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="Fira Sans Medium" w:eastAsia="Times New Roman" w:hAnsi="Fira Sans Medium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="Fira Sans Medium" w:eastAsia="Times New Roman" w:hAnsi="Fira Sans Medium" w:cs="Times New Roman"/>
      <w:color w:val="1F4D78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="Fira Sans Medium" w:eastAsia="Times New Roman" w:hAnsi="Fira Sans Medium" w:cs="Times New Roman"/>
      <w:color w:val="2E74B5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="Fira Sans Medium" w:eastAsia="Times New Roman" w:hAnsi="Fira Sans Medium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="Fira Sans Medium" w:eastAsia="Times New Roman" w:hAnsi="Fira Sans Medium" w:cs="Times New Roman"/>
      <w:i/>
      <w:iCs/>
      <w:color w:val="272727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="Fira Sans Medium" w:eastAsia="Times New Roman" w:hAnsi="Fira Sans Medium" w:cs="Times New Roman"/>
      <w:i/>
      <w:iCs/>
      <w:color w:val="2E74B5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26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yperlink" Target="http://stat.gov.pl/en/topics/prices-trade/price-indices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stat.gov.pl/en/latest-statistical-news/communications-and-announcements/" TargetMode="External"/><Relationship Id="rId34" Type="http://schemas.openxmlformats.org/officeDocument/2006/relationships/hyperlink" Target="https://bdl.stat.gov.pl/BDL/start?lang=en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stat.gov.pl/en/metainformations/glossary/terms-used-in-official-statistics/32,term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bdm.stat.gov.pl/" TargetMode="External"/><Relationship Id="rId32" Type="http://schemas.openxmlformats.org/officeDocument/2006/relationships/hyperlink" Target="http://swaid.stat.gov.pl/en/SitePages/StronaGlownaDBW.aspx" TargetMode="External"/><Relationship Id="rId37" Type="http://schemas.openxmlformats.org/officeDocument/2006/relationships/hyperlink" Target="http://stat.gov.pl/en/metainformations/glossary/terms-used-in-official-statistics/711,term.html" TargetMode="Externa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waid.stat.gov.pl/en/SitePages/StronaGlownaDBW.aspx" TargetMode="External"/><Relationship Id="rId28" Type="http://schemas.openxmlformats.org/officeDocument/2006/relationships/hyperlink" Target="http://stat.gov.pl/en/metainformations/glossary/terms-used-in-official-statistics/711,term.html" TargetMode="External"/><Relationship Id="rId36" Type="http://schemas.openxmlformats.org/officeDocument/2006/relationships/hyperlink" Target="http://stat.gov.pl/en/topics/prices-trade/pri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StatPoland" TargetMode="Externa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stat.gov.pl/en/latest-statistical-news/news-releases/" TargetMode="External"/><Relationship Id="rId27" Type="http://schemas.openxmlformats.org/officeDocument/2006/relationships/hyperlink" Target="http://stat.gov.pl/en/topics/prices-trade/prices/" TargetMode="External"/><Relationship Id="rId30" Type="http://schemas.openxmlformats.org/officeDocument/2006/relationships/hyperlink" Target="http://stat.gov.pl/en/latest-statistical-news/communications-and-announcements/" TargetMode="External"/><Relationship Id="rId35" Type="http://schemas.openxmlformats.org/officeDocument/2006/relationships/hyperlink" Target="http://stat.gov.pl/en/topics/prices-trade/price-indice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stat.gov.pl/en/" TargetMode="External"/><Relationship Id="rId25" Type="http://schemas.openxmlformats.org/officeDocument/2006/relationships/hyperlink" Target="https://bdl.stat.gov.pl/BDL/start?lang=en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en/metainformations/glossary/terms-used-in-official-statistics/32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12C38852-0E44-4FAA-BCF0-D357906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indices by voivodships in the third quarter of 2020</dc:title>
  <dc:subject>Consumer price indices by voivodships in the third quarter of 2020</dc:subject>
  <cp:revision>2</cp:revision>
  <cp:lastPrinted>2020-08-27T07:28:00Z</cp:lastPrinted>
  <dcterms:created xsi:type="dcterms:W3CDTF">2020-11-30T08:54:00Z</dcterms:created>
  <dcterms:modified xsi:type="dcterms:W3CDTF">2020-11-30T08:54:00Z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