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5C" w:rsidRPr="003A3169" w:rsidRDefault="00530074" w:rsidP="00074DD8">
      <w:pPr>
        <w:pStyle w:val="tytuinformacji"/>
        <w:rPr>
          <w:shd w:val="clear" w:color="auto" w:fill="FFFFFF"/>
        </w:rPr>
      </w:pPr>
      <w:r w:rsidRPr="00530074">
        <w:rPr>
          <w:shd w:val="clear" w:color="auto" w:fill="FFFFFF"/>
        </w:rPr>
        <w:t>Koniunktura konsumencka</w:t>
      </w:r>
      <w:r w:rsidR="00074DD8" w:rsidRPr="00530074">
        <w:rPr>
          <w:shd w:val="clear" w:color="auto" w:fill="FFFFFF"/>
        </w:rPr>
        <w:t xml:space="preserve"> </w:t>
      </w:r>
      <w:r w:rsidRPr="00530074">
        <w:rPr>
          <w:shd w:val="clear" w:color="auto" w:fill="FFFFFF"/>
        </w:rPr>
        <w:t xml:space="preserve">– </w:t>
      </w:r>
      <w:bookmarkStart w:id="0" w:name="_GoBack"/>
      <w:r w:rsidR="00661ECB">
        <w:rPr>
          <w:shd w:val="clear" w:color="auto" w:fill="FFFFFF"/>
        </w:rPr>
        <w:t>maj</w:t>
      </w:r>
      <w:r w:rsidRPr="00530074">
        <w:rPr>
          <w:shd w:val="clear" w:color="auto" w:fill="FFFFFF"/>
        </w:rPr>
        <w:t xml:space="preserve"> 2018 r.</w:t>
      </w:r>
      <w:bookmarkEnd w:id="0"/>
    </w:p>
    <w:p w:rsidR="00393761" w:rsidRPr="003A3169" w:rsidRDefault="00393761" w:rsidP="00074DD8">
      <w:pPr>
        <w:pStyle w:val="tytuinformacji"/>
        <w:rPr>
          <w:sz w:val="32"/>
        </w:rPr>
      </w:pPr>
      <w:r w:rsidRPr="00001C5B">
        <w:rPr>
          <w:rFonts w:ascii="Fira Sans" w:hAnsi="Fira Sans"/>
          <w:b/>
          <w:noProof/>
          <w:color w:val="212492"/>
          <w:spacing w:val="-2"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245745</wp:posOffset>
                </wp:positionV>
                <wp:extent cx="1725295" cy="1209675"/>
                <wp:effectExtent l="0" t="0" r="0" b="0"/>
                <wp:wrapTight wrapText="bothSides">
                  <wp:wrapPolygon edited="0">
                    <wp:start x="715" y="0"/>
                    <wp:lineTo x="715" y="21090"/>
                    <wp:lineTo x="20749" y="21090"/>
                    <wp:lineTo x="20749" y="0"/>
                    <wp:lineTo x="715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889" w:rsidRPr="00074DD8" w:rsidRDefault="004E6889" w:rsidP="00074DD8">
                            <w:pPr>
                              <w:pStyle w:val="tekstzboku"/>
                            </w:pPr>
                            <w:r>
                              <w:t>W maju</w:t>
                            </w:r>
                            <w:r w:rsidRPr="00AE6789">
                              <w:t xml:space="preserve"> 2018</w:t>
                            </w:r>
                            <w:r>
                              <w:t xml:space="preserve"> r. odnotowano  pogorszenie zarówno obecnych, jak i przyszłych nastrojów konsumenckich w stosunku do poprzedniego miesiąca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2.5pt;margin-top:19.35pt;width:135.85pt;height:95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" filled="f" stroked="f">
                <v:textbox>
                  <w:txbxContent>
                    <w:p w:rsidR="004E6889" w:rsidRPr="00074DD8" w:rsidRDefault="004E6889" w:rsidP="00074DD8">
                      <w:pPr>
                        <w:pStyle w:val="tekstzboku"/>
                      </w:pPr>
                      <w:r>
                        <w:t>W maju</w:t>
                      </w:r>
                      <w:r w:rsidRPr="00AE6789">
                        <w:t xml:space="preserve"> 2018</w:t>
                      </w:r>
                      <w:r>
                        <w:t xml:space="preserve"> r. odnotowano  pogorszenie zarówno obecnych, jak i przyszłych nastrojów konsumenckich w stosunku do poprzedniego miesiąca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B3A86" w:rsidRPr="003A3169" w:rsidRDefault="005B3A86" w:rsidP="005B3A86">
      <w:pPr>
        <w:pStyle w:val="LID"/>
      </w:pPr>
      <w:r w:rsidRPr="003A3169"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7F4ACDF2" wp14:editId="73CBBA6B">
                <wp:simplePos x="0" y="0"/>
                <wp:positionH relativeFrom="margin">
                  <wp:align>left</wp:align>
                </wp:positionH>
                <wp:positionV relativeFrom="paragraph">
                  <wp:posOffset>83427</wp:posOffset>
                </wp:positionV>
                <wp:extent cx="1828800" cy="1045845"/>
                <wp:effectExtent l="0" t="0" r="0" b="190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4584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889" w:rsidRPr="00BC44E4" w:rsidRDefault="004E6889" w:rsidP="005B3A86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27A04EF4" wp14:editId="4C019FE3">
                                  <wp:extent cx="334010" cy="334010"/>
                                  <wp:effectExtent l="0" t="0" r="8890" b="8890"/>
                                  <wp:docPr id="18" name="Obraz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34010" cy="334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5,9</w:t>
                            </w:r>
                          </w:p>
                          <w:p w:rsidR="004E6889" w:rsidRPr="00DD7916" w:rsidRDefault="004E6889" w:rsidP="005B3A86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DD7916">
                              <w:t>Bieżący wskaźnik ufności konsumenckiej (BWUK)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ACDF2" id="_x0000_s1027" type="#_x0000_t202" style="position:absolute;margin-left:0;margin-top:6.55pt;width:2in;height:82.35pt;z-index:2517575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pL7KgIAACo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" fillcolor="#001d77" stroked="f">
                <v:textbox>
                  <w:txbxContent>
                    <w:p w:rsidR="004E6889" w:rsidRPr="00BC44E4" w:rsidRDefault="004E6889" w:rsidP="005B3A86">
                      <w:pPr>
                        <w:pStyle w:val="Akapitzlist"/>
                        <w:spacing w:after="0" w:line="240" w:lineRule="auto"/>
                        <w:ind w:left="0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27A04EF4" wp14:editId="4C019FE3">
                            <wp:extent cx="334010" cy="334010"/>
                            <wp:effectExtent l="0" t="0" r="8890" b="8890"/>
                            <wp:docPr id="18" name="Obraz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34010" cy="334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22"/>
                        </w:rPr>
                        <w:t xml:space="preserve"> 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5,9</w:t>
                      </w:r>
                    </w:p>
                    <w:p w:rsidR="004E6889" w:rsidRPr="00DD7916" w:rsidRDefault="004E6889" w:rsidP="005B3A86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 w:rsidRPr="00DD7916">
                        <w:t>Bieżący wskaźnik ufności konsumenckiej (BWUK)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A3169">
        <w:t xml:space="preserve">Bieżący wskaźnik ufności konsumenckiej (BWUK), syntetycznie opisujący obecne tendencje konsumpcji indywidualnej ukształtował się na poziomie </w:t>
      </w:r>
      <w:r>
        <w:t>5,9</w:t>
      </w:r>
      <w:r>
        <w:rPr>
          <w:rStyle w:val="Odwoanieprzypisudolnego"/>
          <w:shd w:val="clear" w:color="auto" w:fill="FFFFFF"/>
        </w:rPr>
        <w:footnoteReference w:id="1"/>
      </w:r>
      <w:r>
        <w:t>.</w:t>
      </w:r>
    </w:p>
    <w:p w:rsidR="005B3A86" w:rsidRDefault="005B3A86" w:rsidP="005B3A86">
      <w:pPr>
        <w:pStyle w:val="Nagwek1"/>
        <w:rPr>
          <w:rFonts w:ascii="Fira Sans" w:hAnsi="Fira Sans"/>
          <w:b/>
          <w:color w:val="212492"/>
          <w:spacing w:val="-2"/>
          <w:szCs w:val="19"/>
        </w:rPr>
      </w:pPr>
    </w:p>
    <w:p w:rsidR="009A5A6D" w:rsidRDefault="009A5A6D" w:rsidP="00074DD8">
      <w:pPr>
        <w:pStyle w:val="Nagwek1"/>
      </w:pPr>
    </w:p>
    <w:p w:rsidR="00A217E6" w:rsidRDefault="00A217E6" w:rsidP="00074DD8">
      <w:pPr>
        <w:pStyle w:val="Nagwek1"/>
      </w:pPr>
    </w:p>
    <w:p w:rsidR="00C22105" w:rsidRPr="009A5A6D" w:rsidRDefault="009227A6" w:rsidP="00074DD8">
      <w:pPr>
        <w:pStyle w:val="Nagwek1"/>
      </w:pPr>
      <w:r w:rsidRPr="00633014">
        <w:rPr>
          <w:rFonts w:ascii="Fira Sans" w:hAnsi="Fira Sans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383C7874" wp14:editId="02E5C35A">
                <wp:simplePos x="0" y="0"/>
                <wp:positionH relativeFrom="column">
                  <wp:posOffset>5230495</wp:posOffset>
                </wp:positionH>
                <wp:positionV relativeFrom="paragraph">
                  <wp:posOffset>158750</wp:posOffset>
                </wp:positionV>
                <wp:extent cx="1725295" cy="1021080"/>
                <wp:effectExtent l="0" t="0" r="0" b="0"/>
                <wp:wrapTight wrapText="bothSides">
                  <wp:wrapPolygon edited="0">
                    <wp:start x="715" y="0"/>
                    <wp:lineTo x="715" y="20955"/>
                    <wp:lineTo x="20749" y="20955"/>
                    <wp:lineTo x="20749" y="0"/>
                    <wp:lineTo x="715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889" w:rsidRPr="00380DFD" w:rsidRDefault="004E6889" w:rsidP="00380DFD">
                            <w:pPr>
                              <w:pStyle w:val="tekstzboku"/>
                            </w:pPr>
                            <w:r>
                              <w:t>Bieżący wskaźnik ufności konsumenckiej (BWUK) był niższy o 1,9 p. proc. w stosunku do poprzedniego miesiąca</w:t>
                            </w:r>
                          </w:p>
                          <w:p w:rsidR="004E6889" w:rsidRPr="00D616D2" w:rsidRDefault="004E6889" w:rsidP="00D616D2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C7874" id="_x0000_s1028" type="#_x0000_t202" style="position:absolute;margin-left:411.85pt;margin-top:12.5pt;width:135.85pt;height:80.4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" filled="f" stroked="f">
                <v:textbox>
                  <w:txbxContent>
                    <w:p w:rsidR="004E6889" w:rsidRPr="00380DFD" w:rsidRDefault="004E6889" w:rsidP="00380DFD">
                      <w:pPr>
                        <w:pStyle w:val="tekstzboku"/>
                      </w:pPr>
                      <w:r>
                        <w:t>Bieżący wskaźnik ufności konsumenckiej (BWUK) był niższy o 1,9 p. proc. w stosunku do poprzedniego miesiąca</w:t>
                      </w:r>
                    </w:p>
                    <w:p w:rsidR="004E6889" w:rsidRPr="00D616D2" w:rsidRDefault="004E6889" w:rsidP="00D616D2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A5A6D" w:rsidRPr="009A5A6D">
        <w:t>Bieżący wska</w:t>
      </w:r>
      <w:r w:rsidR="009A5A6D">
        <w:t>ź</w:t>
      </w:r>
      <w:r w:rsidR="006404CD">
        <w:t xml:space="preserve">nik ufności konsumenckiej </w:t>
      </w:r>
      <w:r w:rsidR="00A217E6">
        <w:t xml:space="preserve"> (BWUK) </w:t>
      </w:r>
      <w:r w:rsidR="009A5A6D" w:rsidRPr="009A5A6D">
        <w:t xml:space="preserve">w </w:t>
      </w:r>
      <w:r w:rsidR="007004AD">
        <w:t>maju</w:t>
      </w:r>
      <w:r w:rsidR="009A5A6D" w:rsidRPr="009A5A6D">
        <w:t xml:space="preserve"> 2018 r.</w:t>
      </w:r>
    </w:p>
    <w:p w:rsidR="009A5A6D" w:rsidRPr="009A5A6D" w:rsidRDefault="009A5A6D" w:rsidP="002F5124">
      <w:pPr>
        <w:spacing w:after="0"/>
        <w:rPr>
          <w:shd w:val="clear" w:color="auto" w:fill="FFFFFF"/>
        </w:rPr>
      </w:pPr>
      <w:r w:rsidRPr="009A5A6D">
        <w:rPr>
          <w:shd w:val="clear" w:color="auto" w:fill="FFFFFF"/>
        </w:rPr>
        <w:t xml:space="preserve">Bieżący wskaźnik ufności konsumenckiej (BWUK), syntetycznie opisujący obecne tendencje konsumpcji indywidualnej, </w:t>
      </w:r>
      <w:r w:rsidR="007B7753">
        <w:rPr>
          <w:shd w:val="clear" w:color="auto" w:fill="FFFFFF"/>
        </w:rPr>
        <w:t xml:space="preserve">był </w:t>
      </w:r>
      <w:r w:rsidR="00967DF8">
        <w:rPr>
          <w:shd w:val="clear" w:color="auto" w:fill="FFFFFF"/>
        </w:rPr>
        <w:t>niższy</w:t>
      </w:r>
      <w:r w:rsidR="007B7753">
        <w:rPr>
          <w:shd w:val="clear" w:color="auto" w:fill="FFFFFF"/>
        </w:rPr>
        <w:t xml:space="preserve"> o </w:t>
      </w:r>
      <w:r w:rsidR="00967DF8">
        <w:rPr>
          <w:shd w:val="clear" w:color="auto" w:fill="FFFFFF"/>
        </w:rPr>
        <w:t>1</w:t>
      </w:r>
      <w:r w:rsidR="0053753D">
        <w:rPr>
          <w:shd w:val="clear" w:color="auto" w:fill="FFFFFF"/>
        </w:rPr>
        <w:t>,</w:t>
      </w:r>
      <w:r w:rsidR="00967DF8">
        <w:rPr>
          <w:shd w:val="clear" w:color="auto" w:fill="FFFFFF"/>
        </w:rPr>
        <w:t>9</w:t>
      </w:r>
      <w:r w:rsidR="007B7753">
        <w:rPr>
          <w:shd w:val="clear" w:color="auto" w:fill="FFFFFF"/>
        </w:rPr>
        <w:t xml:space="preserve"> p. proc.</w:t>
      </w:r>
      <w:r w:rsidRPr="009A5A6D">
        <w:rPr>
          <w:shd w:val="clear" w:color="auto" w:fill="FFFFFF"/>
        </w:rPr>
        <w:t xml:space="preserve"> w stosunku do poprzedniego miesiąca i</w:t>
      </w:r>
      <w:r w:rsidR="00C074FD">
        <w:rPr>
          <w:shd w:val="clear" w:color="auto" w:fill="FFFFFF"/>
        </w:rPr>
        <w:t> </w:t>
      </w:r>
      <w:r w:rsidR="0053753D">
        <w:rPr>
          <w:shd w:val="clear" w:color="auto" w:fill="FFFFFF"/>
        </w:rPr>
        <w:t xml:space="preserve">ukształtował się na poziomie </w:t>
      </w:r>
      <w:r w:rsidR="00967DF8">
        <w:rPr>
          <w:shd w:val="clear" w:color="auto" w:fill="FFFFFF"/>
        </w:rPr>
        <w:t>5</w:t>
      </w:r>
      <w:r w:rsidR="0053753D">
        <w:rPr>
          <w:shd w:val="clear" w:color="auto" w:fill="FFFFFF"/>
        </w:rPr>
        <w:t>,</w:t>
      </w:r>
      <w:r w:rsidR="00967DF8">
        <w:rPr>
          <w:shd w:val="clear" w:color="auto" w:fill="FFFFFF"/>
        </w:rPr>
        <w:t>9</w:t>
      </w:r>
      <w:r w:rsidR="00210F89" w:rsidRPr="00210F89">
        <w:rPr>
          <w:shd w:val="clear" w:color="auto" w:fill="FFFFFF"/>
          <w:vertAlign w:val="superscript"/>
        </w:rPr>
        <w:t>*</w:t>
      </w:r>
      <w:r w:rsidRPr="009A5A6D">
        <w:rPr>
          <w:shd w:val="clear" w:color="auto" w:fill="FFFFFF"/>
        </w:rPr>
        <w:t xml:space="preserve">. </w:t>
      </w:r>
    </w:p>
    <w:p w:rsidR="0098156A" w:rsidRDefault="00617810" w:rsidP="002F5124">
      <w:pPr>
        <w:spacing w:before="0"/>
        <w:rPr>
          <w:shd w:val="clear" w:color="auto" w:fill="FFFFFF"/>
        </w:rPr>
      </w:pPr>
      <w:r>
        <w:rPr>
          <w:shd w:val="clear" w:color="auto" w:fill="FFFFFF"/>
        </w:rPr>
        <w:t>Dla większości</w:t>
      </w:r>
      <w:r w:rsidR="00E832ED">
        <w:rPr>
          <w:shd w:val="clear" w:color="auto" w:fill="FFFFFF"/>
        </w:rPr>
        <w:t xml:space="preserve"> </w:t>
      </w:r>
      <w:r w:rsidR="00891FF7">
        <w:rPr>
          <w:shd w:val="clear" w:color="auto" w:fill="FFFFFF"/>
        </w:rPr>
        <w:t>składowych</w:t>
      </w:r>
      <w:r w:rsidR="009A5A6D" w:rsidRPr="00655E7E">
        <w:rPr>
          <w:shd w:val="clear" w:color="auto" w:fill="FFFFFF"/>
        </w:rPr>
        <w:t xml:space="preserve"> wskaźnika</w:t>
      </w:r>
      <w:r>
        <w:rPr>
          <w:shd w:val="clear" w:color="auto" w:fill="FFFFFF"/>
        </w:rPr>
        <w:t xml:space="preserve"> odnotowano wartości </w:t>
      </w:r>
      <w:r w:rsidR="00FF4C65">
        <w:rPr>
          <w:shd w:val="clear" w:color="auto" w:fill="FFFFFF"/>
        </w:rPr>
        <w:t>niższe</w:t>
      </w:r>
      <w:r w:rsidR="006765B6">
        <w:rPr>
          <w:shd w:val="clear" w:color="auto" w:fill="FFFFFF"/>
        </w:rPr>
        <w:t xml:space="preserve"> niż</w:t>
      </w:r>
      <w:r>
        <w:rPr>
          <w:shd w:val="clear" w:color="auto" w:fill="FFFFFF"/>
        </w:rPr>
        <w:t xml:space="preserve"> pr</w:t>
      </w:r>
      <w:r w:rsidR="00FF4C65">
        <w:rPr>
          <w:shd w:val="clear" w:color="auto" w:fill="FFFFFF"/>
        </w:rPr>
        <w:t>zed miesiącem. Największy spadek</w:t>
      </w:r>
      <w:r>
        <w:rPr>
          <w:shd w:val="clear" w:color="auto" w:fill="FFFFFF"/>
        </w:rPr>
        <w:t xml:space="preserve"> wystąpił w przypadku</w:t>
      </w:r>
      <w:r w:rsidR="00E832ED">
        <w:rPr>
          <w:shd w:val="clear" w:color="auto" w:fill="FFFFFF"/>
        </w:rPr>
        <w:t xml:space="preserve"> </w:t>
      </w:r>
      <w:r w:rsidR="00891FF7">
        <w:rPr>
          <w:shd w:val="clear" w:color="auto" w:fill="FFFFFF"/>
        </w:rPr>
        <w:t>ocen</w:t>
      </w:r>
      <w:r w:rsidR="00FF4C65">
        <w:rPr>
          <w:shd w:val="clear" w:color="auto" w:fill="FFFFFF"/>
        </w:rPr>
        <w:t>y</w:t>
      </w:r>
      <w:r w:rsidR="00891FF7">
        <w:rPr>
          <w:shd w:val="clear" w:color="auto" w:fill="FFFFFF"/>
        </w:rPr>
        <w:t xml:space="preserve"> </w:t>
      </w:r>
      <w:r>
        <w:rPr>
          <w:shd w:val="clear" w:color="auto" w:fill="FFFFFF"/>
        </w:rPr>
        <w:t>obecnej</w:t>
      </w:r>
      <w:r w:rsidR="00FF4C65">
        <w:rPr>
          <w:shd w:val="clear" w:color="auto" w:fill="FFFFFF"/>
        </w:rPr>
        <w:t xml:space="preserve"> sytuacji ekonomicznej </w:t>
      </w:r>
      <w:r w:rsidR="006D6C0E">
        <w:rPr>
          <w:shd w:val="clear" w:color="auto" w:fill="FFFFFF"/>
        </w:rPr>
        <w:t xml:space="preserve">kraju </w:t>
      </w:r>
      <w:r w:rsidR="00891FF7">
        <w:rPr>
          <w:shd w:val="clear" w:color="auto" w:fill="FFFFFF"/>
        </w:rPr>
        <w:t>(</w:t>
      </w:r>
      <w:r w:rsidR="006D6C0E">
        <w:rPr>
          <w:shd w:val="clear" w:color="auto" w:fill="FFFFFF"/>
        </w:rPr>
        <w:t>6</w:t>
      </w:r>
      <w:r>
        <w:rPr>
          <w:shd w:val="clear" w:color="auto" w:fill="FFFFFF"/>
        </w:rPr>
        <w:t>,</w:t>
      </w:r>
      <w:r w:rsidR="006D6C0E">
        <w:rPr>
          <w:shd w:val="clear" w:color="auto" w:fill="FFFFFF"/>
        </w:rPr>
        <w:t>5</w:t>
      </w:r>
      <w:r w:rsidR="00891FF7">
        <w:rPr>
          <w:shd w:val="clear" w:color="auto" w:fill="FFFFFF"/>
        </w:rPr>
        <w:t xml:space="preserve"> p. proc.)</w:t>
      </w:r>
      <w:r w:rsidR="00FF48BB">
        <w:rPr>
          <w:shd w:val="clear" w:color="auto" w:fill="FFFFFF"/>
        </w:rPr>
        <w:t xml:space="preserve">. </w:t>
      </w:r>
      <w:r w:rsidR="006D6C0E">
        <w:rPr>
          <w:shd w:val="clear" w:color="auto" w:fill="FFFFFF"/>
        </w:rPr>
        <w:t>Wzros</w:t>
      </w:r>
      <w:r w:rsidR="00A06A63">
        <w:rPr>
          <w:shd w:val="clear" w:color="auto" w:fill="FFFFFF"/>
        </w:rPr>
        <w:t>t o 3,0 p. proc. wystąpił jedynie dla oceny obecnej możliwości dokonywania ważnych zakupów.</w:t>
      </w:r>
      <w:r w:rsidR="006D6C0E">
        <w:rPr>
          <w:shd w:val="clear" w:color="auto" w:fill="FFFFFF"/>
        </w:rPr>
        <w:t xml:space="preserve"> </w:t>
      </w:r>
    </w:p>
    <w:p w:rsidR="00A06A63" w:rsidRPr="00396FC5" w:rsidRDefault="00A06A63" w:rsidP="00A06A63">
      <w:pPr>
        <w:pStyle w:val="Default"/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</w:pPr>
      <w:r w:rsidRPr="00396FC5"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  <w:t xml:space="preserve">W porównaniu do </w:t>
      </w:r>
      <w:r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  <w:t>maja</w:t>
      </w:r>
      <w:r w:rsidRPr="00396FC5"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  <w:t xml:space="preserve"> 2017 r. obecna war</w:t>
      </w:r>
      <w:r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  <w:t>tość BWUK jest wyższa o 2,8</w:t>
      </w:r>
      <w:r w:rsidRPr="00396FC5"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  <w:t xml:space="preserve"> p. proc. </w:t>
      </w:r>
    </w:p>
    <w:p w:rsidR="00A06A63" w:rsidRDefault="00A06A63" w:rsidP="002F5124">
      <w:pPr>
        <w:spacing w:before="0"/>
        <w:rPr>
          <w:shd w:val="clear" w:color="auto" w:fill="FFFFFF"/>
        </w:rPr>
      </w:pPr>
    </w:p>
    <w:p w:rsidR="00A06A63" w:rsidRPr="009A5A6D" w:rsidRDefault="00A06A63" w:rsidP="002F5124">
      <w:pPr>
        <w:spacing w:before="0"/>
      </w:pPr>
    </w:p>
    <w:p w:rsidR="00C074FD" w:rsidRDefault="00C074FD" w:rsidP="00C074FD">
      <w:pPr>
        <w:pStyle w:val="Nagwek1"/>
      </w:pPr>
    </w:p>
    <w:p w:rsidR="00C074FD" w:rsidRPr="00396FC5" w:rsidRDefault="00C074FD" w:rsidP="00C074FD">
      <w:pPr>
        <w:pStyle w:val="Nagwek1"/>
      </w:pPr>
      <w:r w:rsidRPr="00633014">
        <w:rPr>
          <w:rFonts w:ascii="Fira Sans" w:hAnsi="Fira Sans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1904E8F7" wp14:editId="6C6A03ED">
                <wp:simplePos x="0" y="0"/>
                <wp:positionH relativeFrom="column">
                  <wp:posOffset>5219065</wp:posOffset>
                </wp:positionH>
                <wp:positionV relativeFrom="paragraph">
                  <wp:posOffset>162560</wp:posOffset>
                </wp:positionV>
                <wp:extent cx="1725295" cy="985520"/>
                <wp:effectExtent l="0" t="0" r="0" b="5080"/>
                <wp:wrapTight wrapText="bothSides">
                  <wp:wrapPolygon edited="0">
                    <wp:start x="715" y="0"/>
                    <wp:lineTo x="715" y="21294"/>
                    <wp:lineTo x="20749" y="21294"/>
                    <wp:lineTo x="20749" y="0"/>
                    <wp:lineTo x="715" y="0"/>
                  </wp:wrapPolygon>
                </wp:wrapTight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985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889" w:rsidRPr="00380DFD" w:rsidRDefault="004E6889" w:rsidP="00A217E6">
                            <w:pPr>
                              <w:pStyle w:val="tekstzboku"/>
                            </w:pPr>
                            <w:r w:rsidRPr="00380DFD">
                              <w:t xml:space="preserve">Wyprzedzający wskaźnik ufności konsumenckiej </w:t>
                            </w:r>
                            <w:r>
                              <w:t>(WWUK) spadł o 2,9 p. proc. w stosunku do poprzedniego miesiąca</w:t>
                            </w:r>
                          </w:p>
                          <w:p w:rsidR="004E6889" w:rsidRPr="00380DFD" w:rsidRDefault="004E6889" w:rsidP="00C074FD">
                            <w:pPr>
                              <w:pStyle w:val="tekstzboku"/>
                            </w:pPr>
                          </w:p>
                          <w:p w:rsidR="004E6889" w:rsidRPr="00D616D2" w:rsidRDefault="004E6889" w:rsidP="00C074FD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4E8F7" id="Pole tekstowe 16" o:spid="_x0000_s1029" type="#_x0000_t202" style="position:absolute;margin-left:410.95pt;margin-top:12.8pt;width:135.85pt;height:77.6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" filled="f" stroked="f">
                <v:textbox>
                  <w:txbxContent>
                    <w:p w:rsidR="004E6889" w:rsidRPr="00380DFD" w:rsidRDefault="004E6889" w:rsidP="00A217E6">
                      <w:pPr>
                        <w:pStyle w:val="tekstzboku"/>
                      </w:pPr>
                      <w:r w:rsidRPr="00380DFD">
                        <w:t xml:space="preserve">Wyprzedzający wskaźnik ufności konsumenckiej </w:t>
                      </w:r>
                      <w:r>
                        <w:t>(WWUK) spadł o 2,9 p. proc. w stosunku do poprzedniego miesiąca</w:t>
                      </w:r>
                    </w:p>
                    <w:p w:rsidR="004E6889" w:rsidRPr="00380DFD" w:rsidRDefault="004E6889" w:rsidP="00C074FD">
                      <w:pPr>
                        <w:pStyle w:val="tekstzboku"/>
                      </w:pPr>
                    </w:p>
                    <w:p w:rsidR="004E6889" w:rsidRPr="00D616D2" w:rsidRDefault="004E6889" w:rsidP="00C074FD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396FC5">
        <w:t xml:space="preserve">Wyprzedzający </w:t>
      </w:r>
      <w:r w:rsidRPr="009A5A6D">
        <w:t>wska</w:t>
      </w:r>
      <w:r>
        <w:t>ź</w:t>
      </w:r>
      <w:r w:rsidR="006404CD">
        <w:t>nik ufności konsumenckiej</w:t>
      </w:r>
      <w:r w:rsidR="00A217E6">
        <w:t xml:space="preserve"> (WWUK)</w:t>
      </w:r>
      <w:r w:rsidRPr="009A5A6D">
        <w:t xml:space="preserve"> w </w:t>
      </w:r>
      <w:r w:rsidR="007004AD">
        <w:t>maju</w:t>
      </w:r>
      <w:r w:rsidRPr="009A5A6D">
        <w:t xml:space="preserve"> 2018 r.</w:t>
      </w:r>
    </w:p>
    <w:p w:rsidR="00C074FD" w:rsidRPr="00396FC5" w:rsidRDefault="00C074FD" w:rsidP="002F5124">
      <w:pPr>
        <w:spacing w:after="0"/>
        <w:rPr>
          <w:shd w:val="clear" w:color="auto" w:fill="FFFFFF"/>
        </w:rPr>
      </w:pPr>
      <w:r w:rsidRPr="00396FC5">
        <w:rPr>
          <w:shd w:val="clear" w:color="auto" w:fill="FFFFFF"/>
        </w:rPr>
        <w:t xml:space="preserve">Wyprzedzający wskaźnik ufności konsumenckiej (WWUK), syntetycznie opisujący oczekiwane w najbliższych miesiącach tendencje konsumpcji indywidualnej, </w:t>
      </w:r>
      <w:r w:rsidR="00967DF8">
        <w:rPr>
          <w:shd w:val="clear" w:color="auto" w:fill="FFFFFF"/>
        </w:rPr>
        <w:t>spadł o 2,9</w:t>
      </w:r>
      <w:r w:rsidRPr="00396FC5">
        <w:rPr>
          <w:shd w:val="clear" w:color="auto" w:fill="FFFFFF"/>
        </w:rPr>
        <w:t xml:space="preserve"> p. proc. w stosunku do poprzedniego miesiąca </w:t>
      </w:r>
      <w:r w:rsidR="00D62602">
        <w:rPr>
          <w:shd w:val="clear" w:color="auto" w:fill="FFFFFF"/>
        </w:rPr>
        <w:t xml:space="preserve">i ukształtował się na poziomie </w:t>
      </w:r>
      <w:r w:rsidR="00967DF8">
        <w:rPr>
          <w:shd w:val="clear" w:color="auto" w:fill="FFFFFF"/>
        </w:rPr>
        <w:t>2</w:t>
      </w:r>
      <w:r w:rsidRPr="00396FC5">
        <w:rPr>
          <w:shd w:val="clear" w:color="auto" w:fill="FFFFFF"/>
        </w:rPr>
        <w:t>,</w:t>
      </w:r>
      <w:r w:rsidR="00967DF8">
        <w:rPr>
          <w:shd w:val="clear" w:color="auto" w:fill="FFFFFF"/>
        </w:rPr>
        <w:t>8</w:t>
      </w:r>
      <w:r w:rsidR="00210F89" w:rsidRPr="00210F89">
        <w:rPr>
          <w:shd w:val="clear" w:color="auto" w:fill="FFFFFF"/>
          <w:vertAlign w:val="superscript"/>
        </w:rPr>
        <w:t>*</w:t>
      </w:r>
      <w:r w:rsidRPr="00396FC5">
        <w:rPr>
          <w:shd w:val="clear" w:color="auto" w:fill="FFFFFF"/>
        </w:rPr>
        <w:t xml:space="preserve">. </w:t>
      </w:r>
    </w:p>
    <w:p w:rsidR="004E61ED" w:rsidRDefault="00B27B18" w:rsidP="002F5124">
      <w:pPr>
        <w:spacing w:before="0"/>
        <w:rPr>
          <w:shd w:val="clear" w:color="auto" w:fill="FFFFFF"/>
        </w:rPr>
      </w:pPr>
      <w:r>
        <w:rPr>
          <w:shd w:val="clear" w:color="auto" w:fill="FFFFFF"/>
        </w:rPr>
        <w:t xml:space="preserve">Na </w:t>
      </w:r>
      <w:r w:rsidR="008C2B4B">
        <w:rPr>
          <w:shd w:val="clear" w:color="auto" w:fill="FFFFFF"/>
        </w:rPr>
        <w:t>spadek</w:t>
      </w:r>
      <w:r>
        <w:rPr>
          <w:shd w:val="clear" w:color="auto" w:fill="FFFFFF"/>
        </w:rPr>
        <w:t xml:space="preserve"> wartości wskaźnika wpłynęły</w:t>
      </w:r>
      <w:r w:rsidR="00CD49BB">
        <w:rPr>
          <w:shd w:val="clear" w:color="auto" w:fill="FFFFFF"/>
        </w:rPr>
        <w:t xml:space="preserve"> </w:t>
      </w:r>
      <w:r w:rsidR="00B46A9F">
        <w:rPr>
          <w:shd w:val="clear" w:color="auto" w:fill="FFFFFF"/>
        </w:rPr>
        <w:t>wszystkie jego składowe</w:t>
      </w:r>
      <w:r w:rsidR="006962BC">
        <w:rPr>
          <w:shd w:val="clear" w:color="auto" w:fill="FFFFFF"/>
        </w:rPr>
        <w:t xml:space="preserve">. </w:t>
      </w:r>
      <w:r w:rsidR="000B0D27">
        <w:rPr>
          <w:shd w:val="clear" w:color="auto" w:fill="FFFFFF"/>
        </w:rPr>
        <w:t xml:space="preserve">Największe </w:t>
      </w:r>
      <w:r w:rsidR="008C2B4B">
        <w:rPr>
          <w:shd w:val="clear" w:color="auto" w:fill="FFFFFF"/>
        </w:rPr>
        <w:t>spadki</w:t>
      </w:r>
      <w:r w:rsidR="006962BC">
        <w:rPr>
          <w:shd w:val="clear" w:color="auto" w:fill="FFFFFF"/>
        </w:rPr>
        <w:t xml:space="preserve"> odnotowano w ocenach dotyczących przyszłego poziomu b</w:t>
      </w:r>
      <w:r w:rsidR="00B46A9F">
        <w:rPr>
          <w:shd w:val="clear" w:color="auto" w:fill="FFFFFF"/>
        </w:rPr>
        <w:t>ezrobocia i</w:t>
      </w:r>
      <w:r w:rsidR="00C074FD" w:rsidRPr="00655E7E">
        <w:rPr>
          <w:shd w:val="clear" w:color="auto" w:fill="FFFFFF"/>
        </w:rPr>
        <w:t xml:space="preserve"> </w:t>
      </w:r>
      <w:r w:rsidR="00406761">
        <w:rPr>
          <w:shd w:val="clear" w:color="auto" w:fill="FFFFFF"/>
        </w:rPr>
        <w:t>możliwości przyszłego oszczędzania pieniędzy</w:t>
      </w:r>
      <w:r w:rsidRPr="00655E7E">
        <w:rPr>
          <w:shd w:val="clear" w:color="auto" w:fill="FFFFFF"/>
        </w:rPr>
        <w:t xml:space="preserve"> </w:t>
      </w:r>
      <w:r w:rsidR="00C074FD" w:rsidRPr="00655E7E">
        <w:rPr>
          <w:shd w:val="clear" w:color="auto" w:fill="FFFFFF"/>
        </w:rPr>
        <w:t>(</w:t>
      </w:r>
      <w:r w:rsidR="006962BC">
        <w:rPr>
          <w:shd w:val="clear" w:color="auto" w:fill="FFFFFF"/>
        </w:rPr>
        <w:t xml:space="preserve"> </w:t>
      </w:r>
      <w:r w:rsidR="002B2112">
        <w:rPr>
          <w:shd w:val="clear" w:color="auto" w:fill="FFFFFF"/>
        </w:rPr>
        <w:t>spadki</w:t>
      </w:r>
      <w:r w:rsidR="00406761">
        <w:rPr>
          <w:shd w:val="clear" w:color="auto" w:fill="FFFFFF"/>
        </w:rPr>
        <w:t xml:space="preserve"> </w:t>
      </w:r>
      <w:r w:rsidR="00CD49BB">
        <w:rPr>
          <w:shd w:val="clear" w:color="auto" w:fill="FFFFFF"/>
        </w:rPr>
        <w:t xml:space="preserve">odpowiednio o </w:t>
      </w:r>
      <w:r w:rsidR="00406761">
        <w:rPr>
          <w:shd w:val="clear" w:color="auto" w:fill="FFFFFF"/>
        </w:rPr>
        <w:t>3</w:t>
      </w:r>
      <w:r w:rsidR="00617810">
        <w:rPr>
          <w:shd w:val="clear" w:color="auto" w:fill="FFFFFF"/>
        </w:rPr>
        <w:t>,</w:t>
      </w:r>
      <w:r w:rsidR="00406761">
        <w:rPr>
          <w:shd w:val="clear" w:color="auto" w:fill="FFFFFF"/>
        </w:rPr>
        <w:t>8</w:t>
      </w:r>
      <w:r w:rsidR="00CD49BB">
        <w:rPr>
          <w:shd w:val="clear" w:color="auto" w:fill="FFFFFF"/>
        </w:rPr>
        <w:t xml:space="preserve"> i </w:t>
      </w:r>
      <w:r w:rsidR="00406761">
        <w:rPr>
          <w:shd w:val="clear" w:color="auto" w:fill="FFFFFF"/>
        </w:rPr>
        <w:t>3</w:t>
      </w:r>
      <w:r w:rsidR="00CD49BB">
        <w:rPr>
          <w:shd w:val="clear" w:color="auto" w:fill="FFFFFF"/>
        </w:rPr>
        <w:t>,</w:t>
      </w:r>
      <w:r w:rsidR="00406761">
        <w:rPr>
          <w:shd w:val="clear" w:color="auto" w:fill="FFFFFF"/>
        </w:rPr>
        <w:t>3</w:t>
      </w:r>
      <w:r w:rsidR="002F5124">
        <w:rPr>
          <w:shd w:val="clear" w:color="auto" w:fill="FFFFFF"/>
        </w:rPr>
        <w:t xml:space="preserve"> </w:t>
      </w:r>
      <w:r w:rsidR="00C074FD" w:rsidRPr="00655E7E">
        <w:rPr>
          <w:shd w:val="clear" w:color="auto" w:fill="FFFFFF"/>
        </w:rPr>
        <w:t xml:space="preserve">p. proc.). </w:t>
      </w:r>
    </w:p>
    <w:p w:rsidR="00A06A63" w:rsidRPr="00655E7E" w:rsidRDefault="00A06A63" w:rsidP="00A06A63">
      <w:pPr>
        <w:pStyle w:val="Default"/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</w:pPr>
      <w:r w:rsidRPr="00655E7E"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  <w:t xml:space="preserve">W </w:t>
      </w:r>
      <w:r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  <w:t>maju br. WWUK osiągnął wartość o 2,2</w:t>
      </w:r>
      <w:r w:rsidRPr="00655E7E"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  <w:t xml:space="preserve"> p. proc. wyższą, niż w analogicznym miesiącu 2017</w:t>
      </w:r>
      <w:r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  <w:t> </w:t>
      </w:r>
      <w:r w:rsidRPr="00655E7E"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  <w:t xml:space="preserve">r. </w:t>
      </w:r>
    </w:p>
    <w:p w:rsidR="00A06A63" w:rsidRDefault="00A06A63" w:rsidP="002F5124">
      <w:pPr>
        <w:spacing w:before="0"/>
        <w:rPr>
          <w:shd w:val="clear" w:color="auto" w:fill="FFFFFF"/>
        </w:rPr>
      </w:pPr>
    </w:p>
    <w:p w:rsidR="00FD69E9" w:rsidRDefault="00FD69E9" w:rsidP="00FD69E9">
      <w:pPr>
        <w:jc w:val="both"/>
        <w:rPr>
          <w:rFonts w:cs="Arial"/>
          <w:i/>
          <w:spacing w:val="-2"/>
          <w:sz w:val="18"/>
          <w:szCs w:val="18"/>
        </w:rPr>
      </w:pPr>
    </w:p>
    <w:p w:rsidR="00FD69E9" w:rsidRDefault="00FD69E9" w:rsidP="00FD69E9">
      <w:pPr>
        <w:jc w:val="both"/>
        <w:rPr>
          <w:rFonts w:cs="Arial"/>
          <w:i/>
          <w:spacing w:val="-2"/>
          <w:sz w:val="18"/>
          <w:szCs w:val="18"/>
        </w:rPr>
      </w:pPr>
    </w:p>
    <w:p w:rsidR="00FD69E9" w:rsidRDefault="00FD69E9" w:rsidP="00FD69E9">
      <w:pPr>
        <w:jc w:val="both"/>
        <w:rPr>
          <w:rFonts w:cs="Arial"/>
          <w:i/>
          <w:spacing w:val="-2"/>
          <w:sz w:val="18"/>
          <w:szCs w:val="18"/>
        </w:rPr>
      </w:pPr>
    </w:p>
    <w:p w:rsidR="00FD69E9" w:rsidRDefault="00FD69E9" w:rsidP="00FD69E9">
      <w:pPr>
        <w:jc w:val="both"/>
        <w:rPr>
          <w:rFonts w:cs="Arial"/>
          <w:i/>
          <w:spacing w:val="-2"/>
          <w:sz w:val="18"/>
          <w:szCs w:val="18"/>
        </w:rPr>
      </w:pPr>
    </w:p>
    <w:p w:rsidR="00A217E6" w:rsidRPr="004E61ED" w:rsidRDefault="00A217E6" w:rsidP="00B27B18">
      <w:pPr>
        <w:spacing w:before="0" w:after="160" w:line="259" w:lineRule="auto"/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tbl>
      <w:tblPr>
        <w:tblStyle w:val="Siatkatabelijasna"/>
        <w:tblpPr w:leftFromText="141" w:rightFromText="141" w:vertAnchor="text" w:horzAnchor="margin" w:tblpY="596"/>
        <w:tblW w:w="80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831"/>
        <w:gridCol w:w="599"/>
        <w:gridCol w:w="1107"/>
        <w:gridCol w:w="1105"/>
        <w:gridCol w:w="973"/>
        <w:gridCol w:w="1089"/>
        <w:gridCol w:w="1130"/>
        <w:gridCol w:w="1245"/>
      </w:tblGrid>
      <w:tr w:rsidR="00351316" w:rsidRPr="00FA5128" w:rsidTr="004E61ED">
        <w:trPr>
          <w:trHeight w:val="654"/>
        </w:trPr>
        <w:tc>
          <w:tcPr>
            <w:tcW w:w="1430" w:type="dxa"/>
            <w:gridSpan w:val="2"/>
            <w:tcBorders>
              <w:top w:val="nil"/>
            </w:tcBorders>
            <w:vAlign w:val="center"/>
          </w:tcPr>
          <w:p w:rsidR="00351316" w:rsidRPr="009C7251" w:rsidRDefault="00351316" w:rsidP="00A201E6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ascii="Fira Sans" w:hAnsi="Fira Sans" w:cs="Arial"/>
                <w:b/>
                <w:bCs w:val="0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lastRenderedPageBreak/>
              <w:t>Okres badania ankietowego</w:t>
            </w:r>
          </w:p>
        </w:tc>
        <w:tc>
          <w:tcPr>
            <w:tcW w:w="2212" w:type="dxa"/>
            <w:gridSpan w:val="2"/>
            <w:tcBorders>
              <w:top w:val="nil"/>
            </w:tcBorders>
            <w:vAlign w:val="center"/>
          </w:tcPr>
          <w:p w:rsidR="00351316" w:rsidRPr="00FA5128" w:rsidRDefault="00351316" w:rsidP="00A201E6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Zmiany sytuacji finansowej gospodarstwa domowego  w:</w:t>
            </w:r>
          </w:p>
        </w:tc>
        <w:tc>
          <w:tcPr>
            <w:tcW w:w="2062" w:type="dxa"/>
            <w:gridSpan w:val="2"/>
            <w:tcBorders>
              <w:top w:val="nil"/>
            </w:tcBorders>
            <w:vAlign w:val="center"/>
          </w:tcPr>
          <w:p w:rsidR="00351316" w:rsidRPr="00FA5128" w:rsidRDefault="00351316" w:rsidP="00A201E6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Zmiany ogólnej sytuacji ekonomicznej kraju w:</w:t>
            </w:r>
          </w:p>
        </w:tc>
        <w:tc>
          <w:tcPr>
            <w:tcW w:w="1130" w:type="dxa"/>
            <w:vMerge w:val="restart"/>
            <w:tcBorders>
              <w:top w:val="nil"/>
            </w:tcBorders>
            <w:vAlign w:val="center"/>
          </w:tcPr>
          <w:p w:rsidR="00351316" w:rsidRPr="00FA5128" w:rsidRDefault="00351316" w:rsidP="00A201E6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Obecne dokonywanie ważnych zakupów</w:t>
            </w:r>
          </w:p>
        </w:tc>
        <w:tc>
          <w:tcPr>
            <w:tcW w:w="1245" w:type="dxa"/>
            <w:vMerge w:val="restart"/>
            <w:tcBorders>
              <w:top w:val="nil"/>
            </w:tcBorders>
            <w:vAlign w:val="center"/>
          </w:tcPr>
          <w:p w:rsidR="00351316" w:rsidRPr="00FA5128" w:rsidRDefault="00351316" w:rsidP="00A201E6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Wskaźnik ufności konsumenckiej </w:t>
            </w:r>
            <w:r w:rsidRPr="00E37334">
              <w:rPr>
                <w:rFonts w:ascii="Fira Sans" w:hAnsi="Fira Sans"/>
                <w:color w:val="000000" w:themeColor="text1"/>
                <w:sz w:val="16"/>
                <w:szCs w:val="16"/>
              </w:rPr>
              <w:t>BWUK</w:t>
            </w:r>
          </w:p>
        </w:tc>
      </w:tr>
      <w:tr w:rsidR="00E37334" w:rsidRPr="00FA5128" w:rsidTr="004E61ED">
        <w:trPr>
          <w:trHeight w:val="628"/>
        </w:trPr>
        <w:tc>
          <w:tcPr>
            <w:tcW w:w="1430" w:type="dxa"/>
            <w:gridSpan w:val="2"/>
            <w:vMerge w:val="restart"/>
            <w:vAlign w:val="center"/>
          </w:tcPr>
          <w:p w:rsidR="00E37334" w:rsidRDefault="00E37334" w:rsidP="00A201E6">
            <w:pPr>
              <w:pStyle w:val="Nagwek1"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E37334" w:rsidRDefault="00E37334" w:rsidP="00A201E6">
            <w:pPr>
              <w:pStyle w:val="Nagwek1"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E37334" w:rsidRDefault="00E37334" w:rsidP="00A201E6">
            <w:pPr>
              <w:pStyle w:val="Nagwek1"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E37334" w:rsidRPr="00E37334" w:rsidRDefault="00E37334" w:rsidP="00A201E6">
            <w:pPr>
              <w:pStyle w:val="Nagwek1"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ascii="Fira Sans" w:hAnsi="Fira Sans" w:cs="Arial"/>
                <w:color w:val="000000" w:themeColor="text1"/>
                <w:sz w:val="16"/>
                <w:szCs w:val="16"/>
              </w:rPr>
            </w:pPr>
            <w:r w:rsidRPr="00E37334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 xml:space="preserve">Rok     Kwartał </w:t>
            </w:r>
          </w:p>
          <w:p w:rsidR="00E37334" w:rsidRPr="009C7251" w:rsidRDefault="00E37334" w:rsidP="00A201E6">
            <w:pPr>
              <w:pStyle w:val="Nagwek1"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ascii="Fira Sans" w:hAnsi="Fira Sans" w:cs="Arial"/>
                <w:color w:val="000000" w:themeColor="text1"/>
                <w:sz w:val="16"/>
                <w:szCs w:val="16"/>
              </w:rPr>
            </w:pPr>
            <w:r w:rsidRPr="00E37334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 xml:space="preserve">          </w:t>
            </w:r>
            <w:r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 xml:space="preserve">  </w:t>
            </w:r>
            <w:r w:rsidRPr="00E37334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>Miesiąc</w:t>
            </w:r>
          </w:p>
        </w:tc>
        <w:tc>
          <w:tcPr>
            <w:tcW w:w="1107" w:type="dxa"/>
            <w:vAlign w:val="center"/>
          </w:tcPr>
          <w:p w:rsidR="00E37334" w:rsidRPr="00FA5128" w:rsidRDefault="00E37334" w:rsidP="00A201E6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ostatnich 12 miesiącach</w:t>
            </w:r>
          </w:p>
        </w:tc>
        <w:tc>
          <w:tcPr>
            <w:tcW w:w="1105" w:type="dxa"/>
            <w:vAlign w:val="center"/>
          </w:tcPr>
          <w:p w:rsidR="00E37334" w:rsidRPr="00FA5128" w:rsidRDefault="00E37334" w:rsidP="00A201E6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najbliższych 12 miesiącach</w:t>
            </w:r>
          </w:p>
        </w:tc>
        <w:tc>
          <w:tcPr>
            <w:tcW w:w="973" w:type="dxa"/>
            <w:vAlign w:val="center"/>
          </w:tcPr>
          <w:p w:rsidR="00E37334" w:rsidRPr="00FA5128" w:rsidRDefault="00E37334" w:rsidP="00A201E6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ostatnich 12 miesiącach</w:t>
            </w:r>
          </w:p>
        </w:tc>
        <w:tc>
          <w:tcPr>
            <w:tcW w:w="1089" w:type="dxa"/>
            <w:vAlign w:val="center"/>
          </w:tcPr>
          <w:p w:rsidR="00E37334" w:rsidRPr="00FA5128" w:rsidRDefault="00E37334" w:rsidP="00A201E6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najbliższych 12 miesiącach</w:t>
            </w:r>
          </w:p>
        </w:tc>
        <w:tc>
          <w:tcPr>
            <w:tcW w:w="1130" w:type="dxa"/>
            <w:vMerge/>
            <w:vAlign w:val="center"/>
          </w:tcPr>
          <w:p w:rsidR="00E37334" w:rsidRPr="00FA5128" w:rsidRDefault="00E37334" w:rsidP="00A201E6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45" w:type="dxa"/>
            <w:vMerge/>
            <w:vAlign w:val="center"/>
          </w:tcPr>
          <w:p w:rsidR="00E37334" w:rsidRPr="00FA5128" w:rsidRDefault="00E37334" w:rsidP="00A201E6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</w:p>
        </w:tc>
      </w:tr>
      <w:tr w:rsidR="00E37334" w:rsidRPr="00FA5128" w:rsidTr="004E61ED">
        <w:trPr>
          <w:trHeight w:val="20"/>
        </w:trPr>
        <w:tc>
          <w:tcPr>
            <w:tcW w:w="1430" w:type="dxa"/>
            <w:gridSpan w:val="2"/>
            <w:vMerge/>
            <w:tcBorders>
              <w:bottom w:val="single" w:sz="12" w:space="0" w:color="212492"/>
            </w:tcBorders>
            <w:vAlign w:val="center"/>
          </w:tcPr>
          <w:p w:rsidR="00E37334" w:rsidRPr="00FA5128" w:rsidRDefault="00E37334" w:rsidP="00A201E6">
            <w:pPr>
              <w:pStyle w:val="Nagwek1"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07" w:type="dxa"/>
            <w:tcBorders>
              <w:bottom w:val="single" w:sz="12" w:space="0" w:color="212492"/>
            </w:tcBorders>
            <w:vAlign w:val="center"/>
          </w:tcPr>
          <w:p w:rsidR="00E37334" w:rsidRPr="00FA5128" w:rsidRDefault="00E37334" w:rsidP="00A201E6">
            <w:pPr>
              <w:spacing w:before="0" w:after="0" w:line="140" w:lineRule="exac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105" w:type="dxa"/>
            <w:tcBorders>
              <w:bottom w:val="single" w:sz="12" w:space="0" w:color="212492"/>
            </w:tcBorders>
          </w:tcPr>
          <w:p w:rsidR="00E37334" w:rsidRPr="00FA5128" w:rsidRDefault="00E37334" w:rsidP="00A201E6">
            <w:pPr>
              <w:spacing w:before="0" w:after="0" w:line="140" w:lineRule="exac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973" w:type="dxa"/>
            <w:tcBorders>
              <w:bottom w:val="single" w:sz="12" w:space="0" w:color="212492"/>
            </w:tcBorders>
            <w:vAlign w:val="center"/>
          </w:tcPr>
          <w:p w:rsidR="00E37334" w:rsidRPr="00FA5128" w:rsidRDefault="00E37334" w:rsidP="00A201E6">
            <w:pPr>
              <w:spacing w:before="0" w:after="0" w:line="140" w:lineRule="exac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1089" w:type="dxa"/>
            <w:tcBorders>
              <w:bottom w:val="single" w:sz="12" w:space="0" w:color="212492"/>
            </w:tcBorders>
          </w:tcPr>
          <w:p w:rsidR="00E37334" w:rsidRPr="00FA5128" w:rsidRDefault="00E37334" w:rsidP="00A201E6">
            <w:pPr>
              <w:spacing w:before="0" w:after="0" w:line="140" w:lineRule="exac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1130" w:type="dxa"/>
            <w:tcBorders>
              <w:bottom w:val="single" w:sz="12" w:space="0" w:color="212492"/>
            </w:tcBorders>
            <w:vAlign w:val="center"/>
          </w:tcPr>
          <w:p w:rsidR="00E37334" w:rsidRPr="00FA5128" w:rsidRDefault="00E37334" w:rsidP="00A201E6">
            <w:pPr>
              <w:spacing w:before="0" w:after="0" w:line="140" w:lineRule="exac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1245" w:type="dxa"/>
            <w:vMerge/>
            <w:tcBorders>
              <w:bottom w:val="single" w:sz="12" w:space="0" w:color="212492"/>
            </w:tcBorders>
            <w:vAlign w:val="center"/>
          </w:tcPr>
          <w:p w:rsidR="00E37334" w:rsidRPr="00FA5128" w:rsidRDefault="00E37334" w:rsidP="00A201E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37334" w:rsidRPr="00FA5128" w:rsidTr="004E61ED">
        <w:trPr>
          <w:trHeight w:val="114"/>
        </w:trPr>
        <w:tc>
          <w:tcPr>
            <w:tcW w:w="1430" w:type="dxa"/>
            <w:gridSpan w:val="2"/>
            <w:tcBorders>
              <w:top w:val="single" w:sz="12" w:space="0" w:color="212492"/>
              <w:bottom w:val="nil"/>
            </w:tcBorders>
            <w:vAlign w:val="center"/>
          </w:tcPr>
          <w:p w:rsidR="00E37334" w:rsidRPr="00FA5128" w:rsidRDefault="00E37334" w:rsidP="00A201E6">
            <w:pPr>
              <w:pStyle w:val="Nagwek5"/>
              <w:tabs>
                <w:tab w:val="right" w:leader="dot" w:pos="4156"/>
              </w:tabs>
              <w:spacing w:before="0" w:line="140" w:lineRule="exact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404" w:type="dxa"/>
            <w:gridSpan w:val="5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E37334" w:rsidRPr="00E37334" w:rsidRDefault="00E37334" w:rsidP="00A201E6">
            <w:pPr>
              <w:spacing w:before="0" w:after="0" w:line="140" w:lineRule="exact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s</w:t>
            </w:r>
            <w:r w:rsidRPr="00E37334">
              <w:rPr>
                <w:rFonts w:cs="Arial"/>
                <w:color w:val="000000" w:themeColor="text1"/>
                <w:sz w:val="16"/>
                <w:szCs w:val="16"/>
              </w:rPr>
              <w:t>aldo ocen w procentach</w:t>
            </w:r>
          </w:p>
        </w:tc>
        <w:tc>
          <w:tcPr>
            <w:tcW w:w="1245" w:type="dxa"/>
            <w:tcBorders>
              <w:top w:val="single" w:sz="12" w:space="0" w:color="212492"/>
              <w:bottom w:val="nil"/>
            </w:tcBorders>
            <w:vAlign w:val="center"/>
          </w:tcPr>
          <w:p w:rsidR="00E37334" w:rsidRPr="00FA5128" w:rsidRDefault="00E37334" w:rsidP="00A201E6">
            <w:pPr>
              <w:spacing w:before="0" w:after="0" w:line="140" w:lineRule="exact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E37334" w:rsidRPr="00FA5128" w:rsidTr="00AF2F1E">
        <w:trPr>
          <w:trHeight w:val="156"/>
        </w:trPr>
        <w:tc>
          <w:tcPr>
            <w:tcW w:w="1430" w:type="dxa"/>
            <w:gridSpan w:val="2"/>
            <w:tcBorders>
              <w:top w:val="nil"/>
              <w:bottom w:val="single" w:sz="4" w:space="0" w:color="001D77"/>
            </w:tcBorders>
            <w:vAlign w:val="center"/>
          </w:tcPr>
          <w:p w:rsidR="00E37334" w:rsidRPr="00FA5128" w:rsidRDefault="00E37334" w:rsidP="00A201E6">
            <w:pPr>
              <w:pStyle w:val="Nagwek5"/>
              <w:tabs>
                <w:tab w:val="right" w:leader="dot" w:pos="4156"/>
              </w:tabs>
              <w:spacing w:before="0" w:line="140" w:lineRule="exact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212492"/>
              <w:bottom w:val="single" w:sz="4" w:space="0" w:color="001D77"/>
              <w:right w:val="nil"/>
            </w:tcBorders>
            <w:vAlign w:val="center"/>
          </w:tcPr>
          <w:p w:rsidR="00E37334" w:rsidRPr="00FA5128" w:rsidRDefault="00E37334" w:rsidP="00A201E6">
            <w:pPr>
              <w:spacing w:before="0" w:after="0" w:line="140" w:lineRule="exac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212492"/>
              <w:left w:val="nil"/>
              <w:bottom w:val="single" w:sz="4" w:space="0" w:color="001D77"/>
              <w:right w:val="nil"/>
            </w:tcBorders>
            <w:vAlign w:val="center"/>
          </w:tcPr>
          <w:p w:rsidR="00E37334" w:rsidRPr="00FA5128" w:rsidRDefault="00E37334" w:rsidP="00A201E6">
            <w:pPr>
              <w:spacing w:before="0" w:after="0" w:line="140" w:lineRule="exac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212492"/>
              <w:left w:val="nil"/>
              <w:bottom w:val="single" w:sz="4" w:space="0" w:color="001D77"/>
              <w:right w:val="nil"/>
            </w:tcBorders>
            <w:vAlign w:val="center"/>
          </w:tcPr>
          <w:p w:rsidR="00E37334" w:rsidRPr="00FA5128" w:rsidRDefault="00E37334" w:rsidP="00A201E6">
            <w:pPr>
              <w:spacing w:before="0" w:after="0" w:line="140" w:lineRule="exac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AF2F1E">
              <w:rPr>
                <w:rFonts w:cs="Arial"/>
                <w:b/>
                <w:color w:val="000000" w:themeColor="text1"/>
                <w:sz w:val="14"/>
                <w:szCs w:val="16"/>
              </w:rPr>
              <w:t>Lata</w:t>
            </w:r>
          </w:p>
        </w:tc>
        <w:tc>
          <w:tcPr>
            <w:tcW w:w="1089" w:type="dxa"/>
            <w:tcBorders>
              <w:top w:val="single" w:sz="4" w:space="0" w:color="212492"/>
              <w:left w:val="nil"/>
              <w:bottom w:val="single" w:sz="4" w:space="0" w:color="001D77"/>
              <w:right w:val="nil"/>
            </w:tcBorders>
            <w:vAlign w:val="center"/>
          </w:tcPr>
          <w:p w:rsidR="00E37334" w:rsidRPr="00FA5128" w:rsidRDefault="00E37334" w:rsidP="00A201E6">
            <w:pPr>
              <w:spacing w:before="0" w:after="0" w:line="140" w:lineRule="exac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212492"/>
              <w:left w:val="nil"/>
              <w:bottom w:val="single" w:sz="4" w:space="0" w:color="001D77"/>
              <w:right w:val="nil"/>
            </w:tcBorders>
            <w:vAlign w:val="center"/>
          </w:tcPr>
          <w:p w:rsidR="00E37334" w:rsidRPr="00FA5128" w:rsidRDefault="00E37334" w:rsidP="00A201E6">
            <w:pPr>
              <w:spacing w:before="0" w:after="0" w:line="140" w:lineRule="exac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1D77"/>
            </w:tcBorders>
            <w:vAlign w:val="center"/>
          </w:tcPr>
          <w:p w:rsidR="00E37334" w:rsidRPr="00FA5128" w:rsidRDefault="00E37334" w:rsidP="00A201E6">
            <w:pPr>
              <w:spacing w:before="0" w:after="0" w:line="140" w:lineRule="exac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351316" w:rsidRPr="00FA5128" w:rsidTr="005F0D73">
        <w:trPr>
          <w:trHeight w:val="36"/>
        </w:trPr>
        <w:tc>
          <w:tcPr>
            <w:tcW w:w="1430" w:type="dxa"/>
            <w:gridSpan w:val="2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351316" w:rsidRPr="007443DC" w:rsidRDefault="00351316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7443DC">
              <w:rPr>
                <w:rFonts w:cs="Arial"/>
                <w:sz w:val="14"/>
              </w:rPr>
              <w:t>2005</w:t>
            </w:r>
          </w:p>
        </w:tc>
        <w:tc>
          <w:tcPr>
            <w:tcW w:w="110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-27,0</w:t>
            </w:r>
          </w:p>
        </w:tc>
        <w:tc>
          <w:tcPr>
            <w:tcW w:w="110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-12,0</w:t>
            </w:r>
          </w:p>
        </w:tc>
        <w:tc>
          <w:tcPr>
            <w:tcW w:w="97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-38,5</w:t>
            </w:r>
          </w:p>
        </w:tc>
        <w:tc>
          <w:tcPr>
            <w:tcW w:w="108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-16,7</w:t>
            </w:r>
          </w:p>
        </w:tc>
        <w:tc>
          <w:tcPr>
            <w:tcW w:w="11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-16,4</w:t>
            </w:r>
          </w:p>
        </w:tc>
        <w:tc>
          <w:tcPr>
            <w:tcW w:w="124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-22,1</w:t>
            </w:r>
          </w:p>
        </w:tc>
      </w:tr>
      <w:tr w:rsidR="00351316" w:rsidRPr="00FA5128" w:rsidTr="005F0D73">
        <w:trPr>
          <w:trHeight w:val="28"/>
        </w:trPr>
        <w:tc>
          <w:tcPr>
            <w:tcW w:w="1430" w:type="dxa"/>
            <w:gridSpan w:val="2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351316" w:rsidRPr="007443DC" w:rsidRDefault="00351316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7443DC">
              <w:rPr>
                <w:rFonts w:cs="Arial"/>
                <w:sz w:val="14"/>
              </w:rPr>
              <w:t>2006</w:t>
            </w:r>
          </w:p>
        </w:tc>
        <w:tc>
          <w:tcPr>
            <w:tcW w:w="110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-18,2</w:t>
            </w:r>
          </w:p>
        </w:tc>
        <w:tc>
          <w:tcPr>
            <w:tcW w:w="110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-6,1</w:t>
            </w:r>
          </w:p>
        </w:tc>
        <w:tc>
          <w:tcPr>
            <w:tcW w:w="97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-26,2</w:t>
            </w:r>
          </w:p>
        </w:tc>
        <w:tc>
          <w:tcPr>
            <w:tcW w:w="108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-13,0</w:t>
            </w:r>
          </w:p>
        </w:tc>
        <w:tc>
          <w:tcPr>
            <w:tcW w:w="11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-11,1</w:t>
            </w:r>
          </w:p>
        </w:tc>
        <w:tc>
          <w:tcPr>
            <w:tcW w:w="124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-14,9</w:t>
            </w:r>
          </w:p>
        </w:tc>
      </w:tr>
      <w:tr w:rsidR="00351316" w:rsidRPr="00FA5128" w:rsidTr="005F0D73">
        <w:trPr>
          <w:trHeight w:val="28"/>
        </w:trPr>
        <w:tc>
          <w:tcPr>
            <w:tcW w:w="1430" w:type="dxa"/>
            <w:gridSpan w:val="2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351316" w:rsidRPr="007443DC" w:rsidRDefault="00351316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7443DC">
              <w:rPr>
                <w:rFonts w:cs="Arial"/>
                <w:sz w:val="14"/>
              </w:rPr>
              <w:t>2007</w:t>
            </w:r>
          </w:p>
        </w:tc>
        <w:tc>
          <w:tcPr>
            <w:tcW w:w="110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-10,9</w:t>
            </w:r>
          </w:p>
        </w:tc>
        <w:tc>
          <w:tcPr>
            <w:tcW w:w="110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-1,9</w:t>
            </w:r>
          </w:p>
        </w:tc>
        <w:tc>
          <w:tcPr>
            <w:tcW w:w="97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-17,7</w:t>
            </w:r>
          </w:p>
        </w:tc>
        <w:tc>
          <w:tcPr>
            <w:tcW w:w="108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-6,6</w:t>
            </w:r>
          </w:p>
        </w:tc>
        <w:tc>
          <w:tcPr>
            <w:tcW w:w="11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1,3</w:t>
            </w:r>
          </w:p>
        </w:tc>
        <w:tc>
          <w:tcPr>
            <w:tcW w:w="124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-7,1</w:t>
            </w:r>
          </w:p>
        </w:tc>
      </w:tr>
      <w:tr w:rsidR="00351316" w:rsidRPr="00FA5128" w:rsidTr="005F0D73">
        <w:trPr>
          <w:trHeight w:val="148"/>
        </w:trPr>
        <w:tc>
          <w:tcPr>
            <w:tcW w:w="1430" w:type="dxa"/>
            <w:gridSpan w:val="2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351316" w:rsidRPr="007443DC" w:rsidRDefault="00351316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7443DC">
              <w:rPr>
                <w:rFonts w:cs="Arial"/>
                <w:sz w:val="14"/>
              </w:rPr>
              <w:t>2008</w:t>
            </w:r>
          </w:p>
        </w:tc>
        <w:tc>
          <w:tcPr>
            <w:tcW w:w="110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-10,6</w:t>
            </w:r>
          </w:p>
        </w:tc>
        <w:tc>
          <w:tcPr>
            <w:tcW w:w="110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-4,5</w:t>
            </w:r>
          </w:p>
        </w:tc>
        <w:tc>
          <w:tcPr>
            <w:tcW w:w="97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-16,6</w:t>
            </w:r>
          </w:p>
        </w:tc>
        <w:tc>
          <w:tcPr>
            <w:tcW w:w="108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-9,7</w:t>
            </w:r>
          </w:p>
        </w:tc>
        <w:tc>
          <w:tcPr>
            <w:tcW w:w="11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1,2</w:t>
            </w:r>
          </w:p>
        </w:tc>
        <w:tc>
          <w:tcPr>
            <w:tcW w:w="124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-8,0</w:t>
            </w:r>
          </w:p>
        </w:tc>
      </w:tr>
      <w:tr w:rsidR="00351316" w:rsidRPr="00FA5128" w:rsidTr="005F0D73">
        <w:trPr>
          <w:trHeight w:val="124"/>
        </w:trPr>
        <w:tc>
          <w:tcPr>
            <w:tcW w:w="1430" w:type="dxa"/>
            <w:gridSpan w:val="2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351316" w:rsidRPr="007443DC" w:rsidRDefault="00351316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7443DC">
              <w:rPr>
                <w:rFonts w:cs="Arial"/>
                <w:sz w:val="14"/>
              </w:rPr>
              <w:t>2009</w:t>
            </w:r>
          </w:p>
        </w:tc>
        <w:tc>
          <w:tcPr>
            <w:tcW w:w="110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-18,1</w:t>
            </w:r>
          </w:p>
        </w:tc>
        <w:tc>
          <w:tcPr>
            <w:tcW w:w="110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-11,1</w:t>
            </w:r>
          </w:p>
        </w:tc>
        <w:tc>
          <w:tcPr>
            <w:tcW w:w="97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-40,0</w:t>
            </w:r>
          </w:p>
        </w:tc>
        <w:tc>
          <w:tcPr>
            <w:tcW w:w="108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-26,5</w:t>
            </w:r>
          </w:p>
        </w:tc>
        <w:tc>
          <w:tcPr>
            <w:tcW w:w="11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-16,1</w:t>
            </w:r>
          </w:p>
        </w:tc>
        <w:tc>
          <w:tcPr>
            <w:tcW w:w="124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-22,3</w:t>
            </w:r>
          </w:p>
        </w:tc>
      </w:tr>
      <w:tr w:rsidR="00351316" w:rsidRPr="00FA5128" w:rsidTr="005F0D73">
        <w:trPr>
          <w:trHeight w:val="28"/>
        </w:trPr>
        <w:tc>
          <w:tcPr>
            <w:tcW w:w="1430" w:type="dxa"/>
            <w:gridSpan w:val="2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351316" w:rsidRPr="007443DC" w:rsidRDefault="00351316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7443DC">
              <w:rPr>
                <w:rFonts w:cs="Arial"/>
                <w:sz w:val="14"/>
              </w:rPr>
              <w:t>2010</w:t>
            </w:r>
          </w:p>
        </w:tc>
        <w:tc>
          <w:tcPr>
            <w:tcW w:w="110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-17,2</w:t>
            </w:r>
          </w:p>
        </w:tc>
        <w:tc>
          <w:tcPr>
            <w:tcW w:w="110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-8,2</w:t>
            </w:r>
          </w:p>
        </w:tc>
        <w:tc>
          <w:tcPr>
            <w:tcW w:w="97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-31,2</w:t>
            </w:r>
          </w:p>
        </w:tc>
        <w:tc>
          <w:tcPr>
            <w:tcW w:w="108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-18,9</w:t>
            </w:r>
          </w:p>
        </w:tc>
        <w:tc>
          <w:tcPr>
            <w:tcW w:w="11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-9,2</w:t>
            </w:r>
          </w:p>
        </w:tc>
        <w:tc>
          <w:tcPr>
            <w:tcW w:w="124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-16,9</w:t>
            </w:r>
          </w:p>
        </w:tc>
      </w:tr>
      <w:tr w:rsidR="00351316" w:rsidRPr="00FA5128" w:rsidTr="005F0D73">
        <w:trPr>
          <w:trHeight w:val="28"/>
        </w:trPr>
        <w:tc>
          <w:tcPr>
            <w:tcW w:w="1430" w:type="dxa"/>
            <w:gridSpan w:val="2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351316" w:rsidRPr="007443DC" w:rsidRDefault="00351316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7443DC">
              <w:rPr>
                <w:rFonts w:cs="Arial"/>
                <w:sz w:val="14"/>
              </w:rPr>
              <w:t>2011</w:t>
            </w:r>
          </w:p>
        </w:tc>
        <w:tc>
          <w:tcPr>
            <w:tcW w:w="110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-22,4</w:t>
            </w:r>
          </w:p>
        </w:tc>
        <w:tc>
          <w:tcPr>
            <w:tcW w:w="110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-14,6</w:t>
            </w:r>
          </w:p>
        </w:tc>
        <w:tc>
          <w:tcPr>
            <w:tcW w:w="97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-41,5</w:t>
            </w:r>
          </w:p>
        </w:tc>
        <w:tc>
          <w:tcPr>
            <w:tcW w:w="108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-30,8</w:t>
            </w:r>
          </w:p>
        </w:tc>
        <w:tc>
          <w:tcPr>
            <w:tcW w:w="11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-15,9</w:t>
            </w:r>
          </w:p>
        </w:tc>
        <w:tc>
          <w:tcPr>
            <w:tcW w:w="124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-25,0</w:t>
            </w:r>
          </w:p>
        </w:tc>
      </w:tr>
      <w:tr w:rsidR="00351316" w:rsidRPr="00FA5128" w:rsidTr="005F0D73">
        <w:trPr>
          <w:trHeight w:val="28"/>
        </w:trPr>
        <w:tc>
          <w:tcPr>
            <w:tcW w:w="1430" w:type="dxa"/>
            <w:gridSpan w:val="2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351316" w:rsidRPr="007443DC" w:rsidRDefault="00351316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7443DC">
              <w:rPr>
                <w:rFonts w:cs="Arial"/>
                <w:sz w:val="14"/>
              </w:rPr>
              <w:t>2012</w:t>
            </w:r>
          </w:p>
        </w:tc>
        <w:tc>
          <w:tcPr>
            <w:tcW w:w="110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-25,4</w:t>
            </w:r>
          </w:p>
        </w:tc>
        <w:tc>
          <w:tcPr>
            <w:tcW w:w="110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-18,5</w:t>
            </w:r>
          </w:p>
        </w:tc>
        <w:tc>
          <w:tcPr>
            <w:tcW w:w="97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-46,5</w:t>
            </w:r>
          </w:p>
        </w:tc>
        <w:tc>
          <w:tcPr>
            <w:tcW w:w="108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-38,0</w:t>
            </w:r>
          </w:p>
        </w:tc>
        <w:tc>
          <w:tcPr>
            <w:tcW w:w="11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-19,3</w:t>
            </w:r>
          </w:p>
        </w:tc>
        <w:tc>
          <w:tcPr>
            <w:tcW w:w="124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-29,5</w:t>
            </w:r>
          </w:p>
        </w:tc>
      </w:tr>
      <w:tr w:rsidR="005357E1" w:rsidRPr="00FA5128" w:rsidTr="005F0D73">
        <w:trPr>
          <w:trHeight w:val="98"/>
        </w:trPr>
        <w:tc>
          <w:tcPr>
            <w:tcW w:w="1430" w:type="dxa"/>
            <w:gridSpan w:val="2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5357E1">
              <w:rPr>
                <w:rFonts w:cs="Arial"/>
                <w:sz w:val="14"/>
              </w:rPr>
              <w:t>2013</w:t>
            </w:r>
          </w:p>
        </w:tc>
        <w:tc>
          <w:tcPr>
            <w:tcW w:w="110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-21,9</w:t>
            </w:r>
          </w:p>
        </w:tc>
        <w:tc>
          <w:tcPr>
            <w:tcW w:w="110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-13,6</w:t>
            </w:r>
          </w:p>
        </w:tc>
        <w:tc>
          <w:tcPr>
            <w:tcW w:w="97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-45,2</w:t>
            </w:r>
          </w:p>
        </w:tc>
        <w:tc>
          <w:tcPr>
            <w:tcW w:w="108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-31,2</w:t>
            </w:r>
          </w:p>
        </w:tc>
        <w:tc>
          <w:tcPr>
            <w:tcW w:w="11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-21,6</w:t>
            </w:r>
          </w:p>
        </w:tc>
        <w:tc>
          <w:tcPr>
            <w:tcW w:w="124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-26,7</w:t>
            </w:r>
          </w:p>
        </w:tc>
      </w:tr>
      <w:tr w:rsidR="004E61ED" w:rsidRPr="00FA5128" w:rsidTr="005F0D73">
        <w:trPr>
          <w:trHeight w:val="28"/>
        </w:trPr>
        <w:tc>
          <w:tcPr>
            <w:tcW w:w="1430" w:type="dxa"/>
            <w:gridSpan w:val="2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5357E1">
              <w:rPr>
                <w:rFonts w:cs="Arial"/>
                <w:sz w:val="14"/>
              </w:rPr>
              <w:t>2014</w:t>
            </w:r>
          </w:p>
        </w:tc>
        <w:tc>
          <w:tcPr>
            <w:tcW w:w="110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-15,7</w:t>
            </w:r>
          </w:p>
        </w:tc>
        <w:tc>
          <w:tcPr>
            <w:tcW w:w="110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-7,3</w:t>
            </w:r>
          </w:p>
        </w:tc>
        <w:tc>
          <w:tcPr>
            <w:tcW w:w="97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-29,9</w:t>
            </w:r>
          </w:p>
        </w:tc>
        <w:tc>
          <w:tcPr>
            <w:tcW w:w="108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-18,4</w:t>
            </w:r>
          </w:p>
        </w:tc>
        <w:tc>
          <w:tcPr>
            <w:tcW w:w="11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-13,7</w:t>
            </w:r>
          </w:p>
        </w:tc>
        <w:tc>
          <w:tcPr>
            <w:tcW w:w="124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-17,0</w:t>
            </w:r>
          </w:p>
        </w:tc>
      </w:tr>
      <w:tr w:rsidR="005357E1" w:rsidRPr="00FA5128" w:rsidTr="005F0D73">
        <w:trPr>
          <w:trHeight w:val="28"/>
        </w:trPr>
        <w:tc>
          <w:tcPr>
            <w:tcW w:w="1430" w:type="dxa"/>
            <w:gridSpan w:val="2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5357E1">
              <w:rPr>
                <w:rFonts w:cs="Arial"/>
                <w:sz w:val="14"/>
              </w:rPr>
              <w:t>2015</w:t>
            </w:r>
          </w:p>
        </w:tc>
        <w:tc>
          <w:tcPr>
            <w:tcW w:w="110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-10,7</w:t>
            </w:r>
          </w:p>
        </w:tc>
        <w:tc>
          <w:tcPr>
            <w:tcW w:w="110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-2,8</w:t>
            </w:r>
          </w:p>
        </w:tc>
        <w:tc>
          <w:tcPr>
            <w:tcW w:w="97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-21,5</w:t>
            </w:r>
          </w:p>
        </w:tc>
        <w:tc>
          <w:tcPr>
            <w:tcW w:w="108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-11,4</w:t>
            </w:r>
          </w:p>
        </w:tc>
        <w:tc>
          <w:tcPr>
            <w:tcW w:w="11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-8,2</w:t>
            </w:r>
          </w:p>
        </w:tc>
        <w:tc>
          <w:tcPr>
            <w:tcW w:w="124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-10,9</w:t>
            </w:r>
          </w:p>
        </w:tc>
      </w:tr>
      <w:tr w:rsidR="004E61ED" w:rsidRPr="00FA5128" w:rsidTr="005F0D73">
        <w:trPr>
          <w:trHeight w:val="28"/>
        </w:trPr>
        <w:tc>
          <w:tcPr>
            <w:tcW w:w="1430" w:type="dxa"/>
            <w:gridSpan w:val="2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5357E1">
              <w:rPr>
                <w:rFonts w:cs="Arial"/>
                <w:sz w:val="14"/>
              </w:rPr>
              <w:t>2016</w:t>
            </w:r>
          </w:p>
        </w:tc>
        <w:tc>
          <w:tcPr>
            <w:tcW w:w="110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-3,9</w:t>
            </w:r>
          </w:p>
        </w:tc>
        <w:tc>
          <w:tcPr>
            <w:tcW w:w="110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0,9</w:t>
            </w:r>
          </w:p>
        </w:tc>
        <w:tc>
          <w:tcPr>
            <w:tcW w:w="97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-11,0</w:t>
            </w:r>
          </w:p>
        </w:tc>
        <w:tc>
          <w:tcPr>
            <w:tcW w:w="108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-9,4</w:t>
            </w:r>
          </w:p>
        </w:tc>
        <w:tc>
          <w:tcPr>
            <w:tcW w:w="11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-2,5</w:t>
            </w:r>
          </w:p>
        </w:tc>
        <w:tc>
          <w:tcPr>
            <w:tcW w:w="124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-5,2</w:t>
            </w:r>
          </w:p>
        </w:tc>
      </w:tr>
      <w:tr w:rsidR="005357E1" w:rsidRPr="00FA5128" w:rsidTr="005F0D73">
        <w:trPr>
          <w:trHeight w:val="62"/>
        </w:trPr>
        <w:tc>
          <w:tcPr>
            <w:tcW w:w="1430" w:type="dxa"/>
            <w:gridSpan w:val="2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5357E1">
              <w:rPr>
                <w:rFonts w:cs="Arial"/>
                <w:sz w:val="14"/>
              </w:rPr>
              <w:t>2017</w:t>
            </w:r>
          </w:p>
        </w:tc>
        <w:tc>
          <w:tcPr>
            <w:tcW w:w="110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0,1</w:t>
            </w:r>
          </w:p>
        </w:tc>
        <w:tc>
          <w:tcPr>
            <w:tcW w:w="110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2,8</w:t>
            </w:r>
          </w:p>
        </w:tc>
        <w:tc>
          <w:tcPr>
            <w:tcW w:w="97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1,8</w:t>
            </w:r>
          </w:p>
        </w:tc>
        <w:tc>
          <w:tcPr>
            <w:tcW w:w="108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-1,8</w:t>
            </w:r>
          </w:p>
        </w:tc>
        <w:tc>
          <w:tcPr>
            <w:tcW w:w="11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9,2</w:t>
            </w:r>
          </w:p>
        </w:tc>
        <w:tc>
          <w:tcPr>
            <w:tcW w:w="124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2,4</w:t>
            </w:r>
          </w:p>
        </w:tc>
      </w:tr>
      <w:tr w:rsidR="005357E1" w:rsidRPr="00FA5128" w:rsidTr="005F0D73">
        <w:trPr>
          <w:trHeight w:val="124"/>
        </w:trPr>
        <w:tc>
          <w:tcPr>
            <w:tcW w:w="1430" w:type="dxa"/>
            <w:gridSpan w:val="2"/>
            <w:tcBorders>
              <w:top w:val="single" w:sz="4" w:space="0" w:color="001D77"/>
              <w:left w:val="nil"/>
              <w:right w:val="nil"/>
            </w:tcBorders>
            <w:vAlign w:val="bottom"/>
          </w:tcPr>
          <w:p w:rsidR="005357E1" w:rsidRPr="007443DC" w:rsidRDefault="005357E1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1107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357E1" w:rsidRPr="007443DC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357E1" w:rsidRPr="007443DC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b/>
                <w:bCs/>
                <w:snapToGrid w:val="0"/>
                <w:color w:val="000000"/>
                <w:sz w:val="14"/>
                <w:szCs w:val="21"/>
              </w:rPr>
            </w:pPr>
            <w:r w:rsidRPr="005357E1">
              <w:rPr>
                <w:rFonts w:cs="Arial"/>
                <w:b/>
                <w:bCs/>
                <w:snapToGrid w:val="0"/>
                <w:color w:val="000000"/>
                <w:sz w:val="14"/>
                <w:szCs w:val="21"/>
              </w:rPr>
              <w:t>Kwartały</w:t>
            </w:r>
          </w:p>
        </w:tc>
        <w:tc>
          <w:tcPr>
            <w:tcW w:w="1089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357E1" w:rsidRPr="007443DC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357E1" w:rsidRPr="007443DC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357E1" w:rsidRPr="007443DC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</w:tr>
      <w:tr w:rsidR="005357E1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5357E1" w:rsidRPr="007443DC" w:rsidRDefault="005357E1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2017</w:t>
            </w: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bottom"/>
          </w:tcPr>
          <w:p w:rsidR="005357E1" w:rsidRPr="007443DC" w:rsidRDefault="005357E1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I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-0,8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2,2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-5,1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-9,2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4,4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-1,7</w:t>
            </w:r>
          </w:p>
        </w:tc>
      </w:tr>
      <w:tr w:rsidR="005357E1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5357E1" w:rsidRPr="007443DC" w:rsidRDefault="005357E1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bottom"/>
          </w:tcPr>
          <w:p w:rsidR="005357E1" w:rsidRPr="007443DC" w:rsidRDefault="005357E1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II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1,2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2,6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0,1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-2,3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10,2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2,4</w:t>
            </w:r>
          </w:p>
        </w:tc>
      </w:tr>
      <w:tr w:rsidR="005357E1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5357E1" w:rsidRPr="007443DC" w:rsidRDefault="005357E1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bottom"/>
          </w:tcPr>
          <w:p w:rsidR="005357E1" w:rsidRPr="007443DC" w:rsidRDefault="005357E1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III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0,8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4,0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5,7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1,8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12,2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4,9</w:t>
            </w:r>
          </w:p>
        </w:tc>
      </w:tr>
      <w:tr w:rsidR="005357E1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5357E1" w:rsidRPr="007443DC" w:rsidRDefault="005357E1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bottom"/>
          </w:tcPr>
          <w:p w:rsidR="005357E1" w:rsidRPr="007443DC" w:rsidRDefault="005357E1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IV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-0,9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2,3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6,5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2,5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9,8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4,0</w:t>
            </w:r>
          </w:p>
        </w:tc>
      </w:tr>
      <w:tr w:rsidR="00B81262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B81262" w:rsidRPr="007443DC" w:rsidRDefault="00B81262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2018</w:t>
            </w: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bottom"/>
          </w:tcPr>
          <w:p w:rsidR="00B81262" w:rsidRDefault="00B81262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I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81262" w:rsidRPr="005357E1" w:rsidRDefault="001174F6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-0,4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81262" w:rsidRPr="005357E1" w:rsidRDefault="001174F6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4,1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81262" w:rsidRPr="005357E1" w:rsidRDefault="001174F6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9,1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81262" w:rsidRPr="005357E1" w:rsidRDefault="001174F6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4,5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81262" w:rsidRPr="005357E1" w:rsidRDefault="001174F6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12,4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B81262" w:rsidRPr="005357E1" w:rsidRDefault="001174F6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5,9</w:t>
            </w:r>
          </w:p>
        </w:tc>
      </w:tr>
      <w:tr w:rsidR="005357E1" w:rsidRPr="00FA5128" w:rsidTr="004E61ED">
        <w:trPr>
          <w:trHeight w:val="28"/>
        </w:trPr>
        <w:tc>
          <w:tcPr>
            <w:tcW w:w="1430" w:type="dxa"/>
            <w:gridSpan w:val="2"/>
            <w:tcBorders>
              <w:left w:val="nil"/>
              <w:right w:val="nil"/>
            </w:tcBorders>
            <w:vAlign w:val="bottom"/>
          </w:tcPr>
          <w:p w:rsidR="005357E1" w:rsidRPr="007443DC" w:rsidRDefault="005357E1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1107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357E1" w:rsidRPr="007443DC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357E1" w:rsidRPr="007443DC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b/>
                <w:bCs/>
                <w:snapToGrid w:val="0"/>
                <w:color w:val="000000"/>
                <w:sz w:val="14"/>
                <w:szCs w:val="21"/>
              </w:rPr>
            </w:pPr>
            <w:r w:rsidRPr="005357E1">
              <w:rPr>
                <w:rFonts w:cs="Arial"/>
                <w:b/>
                <w:bCs/>
                <w:snapToGrid w:val="0"/>
                <w:color w:val="000000"/>
                <w:sz w:val="14"/>
                <w:szCs w:val="21"/>
              </w:rPr>
              <w:t>Miesiące</w:t>
            </w:r>
          </w:p>
        </w:tc>
        <w:tc>
          <w:tcPr>
            <w:tcW w:w="1089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357E1" w:rsidRPr="007443DC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357E1" w:rsidRPr="007443DC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357E1" w:rsidRPr="007443DC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</w:tr>
      <w:tr w:rsidR="004E61ED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4E61ED" w:rsidRPr="004E61ED" w:rsidRDefault="004E61ED" w:rsidP="004E61ED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4E61ED">
              <w:rPr>
                <w:rFonts w:cs="Arial"/>
                <w:sz w:val="14"/>
              </w:rPr>
              <w:t>2017</w:t>
            </w: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4E61ED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01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-1,2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2,9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-4,2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-10,1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6,6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-1,2</w:t>
            </w:r>
          </w:p>
        </w:tc>
      </w:tr>
      <w:tr w:rsidR="004E61ED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4E61ED" w:rsidRPr="004E61ED" w:rsidRDefault="004E61ED" w:rsidP="004E61ED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4E61ED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02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-0,9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2,2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-4,8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-9,2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3,4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-1,9</w:t>
            </w:r>
          </w:p>
        </w:tc>
      </w:tr>
      <w:tr w:rsidR="004E61ED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4E61ED" w:rsidRPr="004E61ED" w:rsidRDefault="004E61ED" w:rsidP="004E61ED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4E61ED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03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-0,2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1,6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-6,4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-8,3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3,3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-2,0</w:t>
            </w:r>
          </w:p>
        </w:tc>
      </w:tr>
      <w:tr w:rsidR="004E61ED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4E61ED" w:rsidRPr="004E61ED" w:rsidRDefault="004E61ED" w:rsidP="004E61ED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4E61ED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04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0,5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2,0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-3,8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-7,2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4,7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-0,8</w:t>
            </w:r>
          </w:p>
        </w:tc>
      </w:tr>
      <w:tr w:rsidR="004E61ED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4E61ED" w:rsidRPr="004E61ED" w:rsidRDefault="004E61ED" w:rsidP="004E61ED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4E61ED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05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0,8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2,8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0,2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-1,4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12,9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3,1</w:t>
            </w:r>
          </w:p>
        </w:tc>
      </w:tr>
      <w:tr w:rsidR="004E61ED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4E61ED" w:rsidRPr="004E61ED" w:rsidRDefault="004E61ED" w:rsidP="004E61ED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4E61ED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06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2,3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2,9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3,8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1,8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13,2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4,8</w:t>
            </w:r>
          </w:p>
        </w:tc>
      </w:tr>
      <w:tr w:rsidR="004E61ED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4E61ED" w:rsidRPr="004E61ED" w:rsidRDefault="004E61ED" w:rsidP="004E61ED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4E61ED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07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-0,3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3,6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4,6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1,9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10,3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4,0</w:t>
            </w:r>
          </w:p>
        </w:tc>
      </w:tr>
      <w:tr w:rsidR="004E61ED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4E61ED" w:rsidRPr="004E61ED" w:rsidRDefault="004E61ED" w:rsidP="004E61ED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4E61ED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08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2,0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4,3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6,3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2,7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13,0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5,7</w:t>
            </w:r>
          </w:p>
        </w:tc>
      </w:tr>
      <w:tr w:rsidR="004E61ED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4E61ED" w:rsidRPr="004E61ED" w:rsidRDefault="004E61ED" w:rsidP="004E61ED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4E61ED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09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0,6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4,0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6,2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0,8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13,2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5,0</w:t>
            </w:r>
          </w:p>
        </w:tc>
      </w:tr>
      <w:tr w:rsidR="004E61ED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4E61ED" w:rsidRPr="004E61ED" w:rsidRDefault="004E61ED" w:rsidP="004E61ED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4E61ED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10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-0,3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1,6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8,5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3,4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10,0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4,6</w:t>
            </w:r>
          </w:p>
        </w:tc>
      </w:tr>
      <w:tr w:rsidR="004E61ED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4E61ED" w:rsidRPr="004E61ED" w:rsidRDefault="004E61ED" w:rsidP="004E61ED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4E61ED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11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0,2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5,0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6,9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3,8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11,0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5,4</w:t>
            </w:r>
          </w:p>
        </w:tc>
      </w:tr>
      <w:tr w:rsidR="004E61ED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4E61ED" w:rsidRPr="004E61ED" w:rsidRDefault="004E61ED" w:rsidP="004E61ED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4E61ED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12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-2,4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0,2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4,0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0,3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8,4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2,1</w:t>
            </w:r>
          </w:p>
        </w:tc>
      </w:tr>
      <w:tr w:rsidR="004E61ED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4E61ED" w:rsidRPr="004E61ED" w:rsidRDefault="004E61ED" w:rsidP="004E61ED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4E61ED">
              <w:rPr>
                <w:rFonts w:cs="Arial"/>
                <w:sz w:val="14"/>
              </w:rPr>
              <w:t>2018</w:t>
            </w: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4E61ED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01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1,5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5,2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8,9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4,0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11,4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6,2</w:t>
            </w:r>
          </w:p>
        </w:tc>
      </w:tr>
      <w:tr w:rsidR="00781AED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781AED" w:rsidRPr="004E61ED" w:rsidRDefault="00781AED" w:rsidP="004E61ED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81AED" w:rsidRPr="004E61ED" w:rsidRDefault="00781AED" w:rsidP="004E61ED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02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81AED" w:rsidRPr="004E61ED" w:rsidRDefault="00781A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0,1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81AED" w:rsidRPr="004E61ED" w:rsidRDefault="00781A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2,8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81AED" w:rsidRPr="004E61ED" w:rsidRDefault="00781A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9,0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81AED" w:rsidRPr="004E61ED" w:rsidRDefault="00781A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6,3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81AED" w:rsidRPr="004E61ED" w:rsidRDefault="00781A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13,0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781AED" w:rsidRPr="004E61ED" w:rsidRDefault="00781A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6,2</w:t>
            </w:r>
          </w:p>
        </w:tc>
      </w:tr>
      <w:tr w:rsidR="00B81262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B81262" w:rsidRPr="004E61ED" w:rsidRDefault="00B81262" w:rsidP="004E61ED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81262" w:rsidRDefault="00B81262" w:rsidP="004E61ED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03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81262" w:rsidRDefault="001174F6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-2,9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81262" w:rsidRDefault="001174F6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4,2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81262" w:rsidRDefault="001174F6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9,5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81262" w:rsidRDefault="001174F6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3,2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81262" w:rsidRDefault="001174F6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12,7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B81262" w:rsidRDefault="001174F6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5,4</w:t>
            </w:r>
          </w:p>
        </w:tc>
      </w:tr>
      <w:tr w:rsidR="006508EE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6508EE" w:rsidRPr="004E61ED" w:rsidRDefault="006508EE" w:rsidP="004E61ED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6508EE" w:rsidRDefault="006508EE" w:rsidP="004E61ED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04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6508EE" w:rsidRDefault="0035420B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2,4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6508EE" w:rsidRDefault="0035420B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5,7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6508EE" w:rsidRDefault="0035420B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13,2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6508EE" w:rsidRDefault="0035420B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6,0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6508EE" w:rsidRDefault="0035420B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11,9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6508EE" w:rsidRDefault="0035420B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7,8</w:t>
            </w:r>
          </w:p>
        </w:tc>
      </w:tr>
      <w:tr w:rsidR="008D61B1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8D61B1" w:rsidRPr="004E61ED" w:rsidRDefault="008D61B1" w:rsidP="004E61ED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8D61B1" w:rsidRDefault="008D61B1" w:rsidP="004E61ED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05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8D61B1" w:rsidRDefault="003C78F1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0,7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8D61B1" w:rsidRDefault="003C78F1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3,5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8D61B1" w:rsidRDefault="003C78F1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6,7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8D61B1" w:rsidRDefault="003C78F1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3,8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8D61B1" w:rsidRDefault="003C78F1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14,9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8D61B1" w:rsidRDefault="003C78F1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5,9</w:t>
            </w:r>
          </w:p>
        </w:tc>
      </w:tr>
      <w:tr w:rsidR="004E61ED" w:rsidRPr="00FA5128" w:rsidTr="004E61ED">
        <w:trPr>
          <w:trHeight w:val="28"/>
        </w:trPr>
        <w:tc>
          <w:tcPr>
            <w:tcW w:w="1430" w:type="dxa"/>
            <w:gridSpan w:val="2"/>
            <w:tcBorders>
              <w:left w:val="nil"/>
              <w:right w:val="single" w:sz="4" w:space="0" w:color="001D77"/>
            </w:tcBorders>
            <w:vAlign w:val="bottom"/>
          </w:tcPr>
          <w:p w:rsidR="004E61ED" w:rsidRPr="007443DC" w:rsidRDefault="004E61ED" w:rsidP="004E61ED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1107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4E61ED" w:rsidRPr="007443DC" w:rsidRDefault="004E61ED" w:rsidP="004E61ED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4E61ED" w:rsidRPr="007443DC" w:rsidRDefault="004E61ED" w:rsidP="004E61ED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4E61ED" w:rsidRPr="007443DC" w:rsidRDefault="004E61ED" w:rsidP="004E61ED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4E61ED" w:rsidRPr="007443DC" w:rsidRDefault="004E61ED" w:rsidP="004E61ED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4E61ED" w:rsidRPr="007443DC" w:rsidRDefault="004E61ED" w:rsidP="004E61ED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1D77"/>
              <w:left w:val="single" w:sz="4" w:space="0" w:color="001D77"/>
              <w:bottom w:val="nil"/>
              <w:right w:val="nil"/>
            </w:tcBorders>
            <w:shd w:val="clear" w:color="auto" w:fill="auto"/>
            <w:vAlign w:val="bottom"/>
          </w:tcPr>
          <w:p w:rsidR="004E61ED" w:rsidRPr="007443DC" w:rsidRDefault="004E61ED" w:rsidP="004E61ED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</w:tr>
    </w:tbl>
    <w:p w:rsidR="004E61ED" w:rsidRPr="00BA3562" w:rsidRDefault="0093660E" w:rsidP="00C074FD">
      <w:pPr>
        <w:rPr>
          <w:b/>
          <w:spacing w:val="-2"/>
          <w:sz w:val="18"/>
          <w:shd w:val="clear" w:color="auto" w:fill="FFFFFF"/>
        </w:rPr>
      </w:pPr>
      <w:r w:rsidRPr="00633014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44256" behindDoc="1" locked="0" layoutInCell="1" allowOverlap="1" wp14:anchorId="5663F93B" wp14:editId="545D424B">
                <wp:simplePos x="0" y="0"/>
                <wp:positionH relativeFrom="column">
                  <wp:posOffset>5242560</wp:posOffset>
                </wp:positionH>
                <wp:positionV relativeFrom="paragraph">
                  <wp:posOffset>178625</wp:posOffset>
                </wp:positionV>
                <wp:extent cx="1725295" cy="1508125"/>
                <wp:effectExtent l="0" t="0" r="0" b="0"/>
                <wp:wrapTight wrapText="bothSides">
                  <wp:wrapPolygon edited="0">
                    <wp:start x="715" y="0"/>
                    <wp:lineTo x="715" y="21282"/>
                    <wp:lineTo x="20749" y="21282"/>
                    <wp:lineTo x="20749" y="0"/>
                    <wp:lineTo x="715" y="0"/>
                  </wp:wrapPolygon>
                </wp:wrapTight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50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889" w:rsidRPr="0093660E" w:rsidRDefault="004E6889" w:rsidP="0093660E">
                            <w:pPr>
                              <w:pStyle w:val="tytuwykresu"/>
                              <w:jc w:val="both"/>
                              <w:rPr>
                                <w:rFonts w:eastAsia="Times New Roman" w:cs="Times New Roman"/>
                                <w:b w:val="0"/>
                                <w:bCs/>
                                <w:color w:val="001D77"/>
                                <w:spacing w:val="0"/>
                                <w:szCs w:val="18"/>
                                <w:lang w:eastAsia="pl-PL"/>
                              </w:rPr>
                            </w:pPr>
                            <w:r w:rsidRPr="0093660E">
                              <w:rPr>
                                <w:rFonts w:eastAsia="Times New Roman" w:cs="Times New Roman"/>
                                <w:b w:val="0"/>
                                <w:bCs/>
                                <w:color w:val="001D77"/>
                                <w:spacing w:val="0"/>
                                <w:szCs w:val="18"/>
                                <w:lang w:eastAsia="pl-PL"/>
                              </w:rPr>
                              <w:t>Bieżący wskaźnik ufności konsumenckiej jest średnią sald ocen zmian sytuacji finansowej gospodarstwa domowego, zmian ogólnej sytuacji ekonomicznej kraju oraz obecn</w:t>
                            </w:r>
                            <w:r>
                              <w:rPr>
                                <w:rFonts w:eastAsia="Times New Roman" w:cs="Times New Roman"/>
                                <w:b w:val="0"/>
                                <w:bCs/>
                                <w:color w:val="001D77"/>
                                <w:spacing w:val="0"/>
                                <w:szCs w:val="18"/>
                                <w:lang w:eastAsia="pl-PL"/>
                              </w:rPr>
                              <w:t>ego dokonywania ważnych zakupów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3F93B" id="Pole tekstowe 12" o:spid="_x0000_s1030" type="#_x0000_t202" style="position:absolute;margin-left:412.8pt;margin-top:14.05pt;width:135.85pt;height:118.75pt;z-index:-251572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" filled="f" stroked="f">
                <v:textbox>
                  <w:txbxContent>
                    <w:p w:rsidR="004E6889" w:rsidRPr="0093660E" w:rsidRDefault="004E6889" w:rsidP="0093660E">
                      <w:pPr>
                        <w:pStyle w:val="tytuwykresu"/>
                        <w:jc w:val="both"/>
                        <w:rPr>
                          <w:rFonts w:eastAsia="Times New Roman" w:cs="Times New Roman"/>
                          <w:b w:val="0"/>
                          <w:bCs/>
                          <w:color w:val="001D77"/>
                          <w:spacing w:val="0"/>
                          <w:szCs w:val="18"/>
                          <w:lang w:eastAsia="pl-PL"/>
                        </w:rPr>
                      </w:pPr>
                      <w:r w:rsidRPr="0093660E">
                        <w:rPr>
                          <w:rFonts w:eastAsia="Times New Roman" w:cs="Times New Roman"/>
                          <w:b w:val="0"/>
                          <w:bCs/>
                          <w:color w:val="001D77"/>
                          <w:spacing w:val="0"/>
                          <w:szCs w:val="18"/>
                          <w:lang w:eastAsia="pl-PL"/>
                        </w:rPr>
                        <w:t>Bieżący wskaźnik ufności konsumenckiej jest średnią sald ocen zmian sytuacji finansowej gospodarstwa domowego, zmian ogólnej sytuacji ekonomicznej kraju oraz obecn</w:t>
                      </w:r>
                      <w:r>
                        <w:rPr>
                          <w:rFonts w:eastAsia="Times New Roman" w:cs="Times New Roman"/>
                          <w:b w:val="0"/>
                          <w:bCs/>
                          <w:color w:val="001D77"/>
                          <w:spacing w:val="0"/>
                          <w:szCs w:val="18"/>
                          <w:lang w:eastAsia="pl-PL"/>
                        </w:rPr>
                        <w:t>ego dokonywania ważnych zakupów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074FD" w:rsidRPr="005A36AA">
        <w:rPr>
          <w:b/>
          <w:spacing w:val="-2"/>
          <w:sz w:val="18"/>
          <w:shd w:val="clear" w:color="auto" w:fill="FFFFFF"/>
        </w:rPr>
        <w:t>Tablica</w:t>
      </w:r>
      <w:r w:rsidR="00C074FD" w:rsidRPr="0057036A">
        <w:rPr>
          <w:b/>
          <w:spacing w:val="-2"/>
          <w:sz w:val="18"/>
          <w:shd w:val="clear" w:color="auto" w:fill="FFFFFF"/>
        </w:rPr>
        <w:t xml:space="preserve"> 1. </w:t>
      </w:r>
      <w:r w:rsidR="00A217E6">
        <w:rPr>
          <w:b/>
          <w:spacing w:val="-2"/>
          <w:sz w:val="18"/>
          <w:shd w:val="clear" w:color="auto" w:fill="FFFFFF"/>
        </w:rPr>
        <w:t>Bieżący</w:t>
      </w:r>
      <w:r w:rsidR="005A36AA" w:rsidRPr="005A36AA">
        <w:rPr>
          <w:b/>
          <w:spacing w:val="-2"/>
          <w:sz w:val="18"/>
          <w:shd w:val="clear" w:color="auto" w:fill="FFFFFF"/>
        </w:rPr>
        <w:t xml:space="preserve"> </w:t>
      </w:r>
      <w:r w:rsidR="00A217E6">
        <w:rPr>
          <w:b/>
          <w:spacing w:val="-2"/>
          <w:sz w:val="18"/>
          <w:shd w:val="clear" w:color="auto" w:fill="FFFFFF"/>
        </w:rPr>
        <w:t>wskaźnik</w:t>
      </w:r>
      <w:r w:rsidR="005A36AA" w:rsidRPr="005A36AA">
        <w:rPr>
          <w:b/>
          <w:spacing w:val="-2"/>
          <w:sz w:val="18"/>
          <w:shd w:val="clear" w:color="auto" w:fill="FFFFFF"/>
        </w:rPr>
        <w:t xml:space="preserve"> </w:t>
      </w:r>
      <w:r w:rsidR="00A217E6">
        <w:rPr>
          <w:b/>
          <w:spacing w:val="-2"/>
          <w:sz w:val="18"/>
          <w:shd w:val="clear" w:color="auto" w:fill="FFFFFF"/>
        </w:rPr>
        <w:t>ufności</w:t>
      </w:r>
      <w:r w:rsidR="005A36AA" w:rsidRPr="005A36AA">
        <w:rPr>
          <w:b/>
          <w:spacing w:val="-2"/>
          <w:sz w:val="18"/>
          <w:shd w:val="clear" w:color="auto" w:fill="FFFFFF"/>
        </w:rPr>
        <w:t xml:space="preserve"> </w:t>
      </w:r>
      <w:r w:rsidR="00A217E6">
        <w:rPr>
          <w:b/>
          <w:spacing w:val="-2"/>
          <w:sz w:val="18"/>
          <w:shd w:val="clear" w:color="auto" w:fill="FFFFFF"/>
        </w:rPr>
        <w:t>konsumenckiej</w:t>
      </w:r>
    </w:p>
    <w:p w:rsidR="00E41497" w:rsidRDefault="00E41497" w:rsidP="00E41497">
      <w:pPr>
        <w:pStyle w:val="tytuwykresu"/>
        <w:jc w:val="both"/>
        <w:rPr>
          <w:b w:val="0"/>
          <w:color w:val="000000" w:themeColor="text1"/>
          <w:sz w:val="16"/>
          <w:szCs w:val="16"/>
        </w:rPr>
      </w:pPr>
    </w:p>
    <w:p w:rsidR="00F15F6E" w:rsidRDefault="00F15F6E" w:rsidP="00E41497">
      <w:pPr>
        <w:pStyle w:val="tytuwykresu"/>
        <w:jc w:val="both"/>
        <w:rPr>
          <w:b w:val="0"/>
          <w:color w:val="000000" w:themeColor="text1"/>
          <w:sz w:val="16"/>
          <w:szCs w:val="16"/>
        </w:rPr>
      </w:pPr>
    </w:p>
    <w:p w:rsidR="00FD7BD2" w:rsidRDefault="005F4EA6" w:rsidP="00072F74">
      <w:pPr>
        <w:pStyle w:val="tytuwykresu"/>
        <w:ind w:left="851" w:hanging="851"/>
        <w:rPr>
          <w:shd w:val="clear" w:color="auto" w:fill="FFFFFF"/>
        </w:rPr>
      </w:pPr>
      <w:r w:rsidRPr="00341AC1">
        <w:rPr>
          <w:noProof/>
          <w:lang w:eastAsia="pl-PL"/>
        </w:rPr>
        <w:lastRenderedPageBreak/>
        <w:drawing>
          <wp:anchor distT="0" distB="0" distL="114300" distR="114300" simplePos="0" relativeHeight="251753472" behindDoc="0" locked="0" layoutInCell="1" allowOverlap="1" wp14:anchorId="266F90A3" wp14:editId="210C8B98">
            <wp:simplePos x="0" y="0"/>
            <wp:positionH relativeFrom="margin">
              <wp:align>right</wp:align>
            </wp:positionH>
            <wp:positionV relativeFrom="margin">
              <wp:posOffset>379095</wp:posOffset>
            </wp:positionV>
            <wp:extent cx="5122545" cy="3911600"/>
            <wp:effectExtent l="0" t="0" r="1905" b="0"/>
            <wp:wrapSquare wrapText="bothSides"/>
            <wp:docPr id="25" name="Wykres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906" w:rsidRPr="00C15772">
        <w:t xml:space="preserve">Wykres </w:t>
      </w:r>
      <w:r w:rsidR="00074DD8" w:rsidRPr="00C15772">
        <w:t>1</w:t>
      </w:r>
      <w:r w:rsidR="008F4441" w:rsidRPr="00C15772">
        <w:t>.</w:t>
      </w:r>
      <w:r w:rsidR="00074DD8" w:rsidRPr="00C15772">
        <w:rPr>
          <w:shd w:val="clear" w:color="auto" w:fill="FFFFFF"/>
        </w:rPr>
        <w:t xml:space="preserve"> </w:t>
      </w:r>
      <w:r w:rsidR="00A217E6">
        <w:rPr>
          <w:shd w:val="clear" w:color="auto" w:fill="FFFFFF"/>
        </w:rPr>
        <w:t>Bieżący</w:t>
      </w:r>
      <w:r w:rsidR="00C15772" w:rsidRPr="00C15772">
        <w:rPr>
          <w:shd w:val="clear" w:color="auto" w:fill="FFFFFF"/>
        </w:rPr>
        <w:t xml:space="preserve"> </w:t>
      </w:r>
      <w:r w:rsidR="00A217E6">
        <w:rPr>
          <w:shd w:val="clear" w:color="auto" w:fill="FFFFFF"/>
        </w:rPr>
        <w:t>wskaźnik ufności konsumenckiej</w:t>
      </w:r>
      <w:r w:rsidR="00C15772" w:rsidRPr="00C15772">
        <w:rPr>
          <w:shd w:val="clear" w:color="auto" w:fill="FFFFFF"/>
        </w:rPr>
        <w:t xml:space="preserve"> </w:t>
      </w:r>
      <w:r w:rsidR="00C15772">
        <w:rPr>
          <w:shd w:val="clear" w:color="auto" w:fill="FFFFFF"/>
        </w:rPr>
        <w:t xml:space="preserve">(BWUK) </w:t>
      </w:r>
      <w:r w:rsidR="00A217E6">
        <w:rPr>
          <w:shd w:val="clear" w:color="auto" w:fill="FFFFFF"/>
        </w:rPr>
        <w:t>oraz jego wartości składowe</w:t>
      </w:r>
      <w:r w:rsidR="00072F74">
        <w:rPr>
          <w:shd w:val="clear" w:color="auto" w:fill="FFFFFF"/>
        </w:rPr>
        <w:t xml:space="preserve"> </w:t>
      </w:r>
      <w:r w:rsidR="00A217E6">
        <w:rPr>
          <w:shd w:val="clear" w:color="auto" w:fill="FFFFFF"/>
        </w:rPr>
        <w:t>według</w:t>
      </w:r>
      <w:r w:rsidR="00C15772" w:rsidRPr="00C15772">
        <w:rPr>
          <w:shd w:val="clear" w:color="auto" w:fill="FFFFFF"/>
        </w:rPr>
        <w:t xml:space="preserve"> </w:t>
      </w:r>
      <w:r w:rsidR="00A217E6">
        <w:rPr>
          <w:shd w:val="clear" w:color="auto" w:fill="FFFFFF"/>
        </w:rPr>
        <w:t>miesięcy w</w:t>
      </w:r>
      <w:r w:rsidR="00C15772" w:rsidRPr="00C15772">
        <w:rPr>
          <w:shd w:val="clear" w:color="auto" w:fill="FFFFFF"/>
        </w:rPr>
        <w:t xml:space="preserve"> </w:t>
      </w:r>
      <w:r w:rsidR="00A217E6">
        <w:rPr>
          <w:shd w:val="clear" w:color="auto" w:fill="FFFFFF"/>
        </w:rPr>
        <w:t>latach</w:t>
      </w:r>
      <w:r w:rsidR="00C15772" w:rsidRPr="00C15772">
        <w:rPr>
          <w:shd w:val="clear" w:color="auto" w:fill="FFFFFF"/>
        </w:rPr>
        <w:t xml:space="preserve"> 2015–2018</w:t>
      </w:r>
    </w:p>
    <w:p w:rsidR="00FD7BD2" w:rsidRPr="00FD7BD2" w:rsidRDefault="00FD7BD2" w:rsidP="00FD7BD2"/>
    <w:p w:rsidR="00053B77" w:rsidRDefault="007A7B28" w:rsidP="00053B77">
      <w:pPr>
        <w:pStyle w:val="tytuwykresu"/>
        <w:ind w:left="851" w:hanging="851"/>
        <w:rPr>
          <w:shd w:val="clear" w:color="auto" w:fill="FFFFFF"/>
        </w:rPr>
      </w:pPr>
      <w:r w:rsidRPr="007A7B28">
        <w:rPr>
          <w:noProof/>
          <w:szCs w:val="18"/>
          <w:lang w:eastAsia="pl-PL"/>
        </w:rPr>
        <w:drawing>
          <wp:anchor distT="0" distB="0" distL="114300" distR="114300" simplePos="0" relativeHeight="251755520" behindDoc="0" locked="0" layoutInCell="1" allowOverlap="1" wp14:anchorId="176742D5" wp14:editId="6F7B90FC">
            <wp:simplePos x="0" y="0"/>
            <wp:positionH relativeFrom="margin">
              <wp:align>right</wp:align>
            </wp:positionH>
            <wp:positionV relativeFrom="margin">
              <wp:posOffset>4672965</wp:posOffset>
            </wp:positionV>
            <wp:extent cx="5122545" cy="4269740"/>
            <wp:effectExtent l="0" t="0" r="1905" b="0"/>
            <wp:wrapSquare wrapText="bothSides"/>
            <wp:docPr id="26" name="Wykres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B77" w:rsidRPr="00C15772">
        <w:t xml:space="preserve">Wykres </w:t>
      </w:r>
      <w:r w:rsidR="00053B77">
        <w:t>2</w:t>
      </w:r>
      <w:r w:rsidR="00053B77" w:rsidRPr="00C15772">
        <w:t>.</w:t>
      </w:r>
      <w:r w:rsidR="00053B77" w:rsidRPr="00C15772">
        <w:rPr>
          <w:shd w:val="clear" w:color="auto" w:fill="FFFFFF"/>
        </w:rPr>
        <w:t xml:space="preserve"> </w:t>
      </w:r>
      <w:r w:rsidR="00A217E6">
        <w:rPr>
          <w:shd w:val="clear" w:color="auto" w:fill="FFFFFF"/>
        </w:rPr>
        <w:t>Bieżący</w:t>
      </w:r>
      <w:r w:rsidR="00053B77" w:rsidRPr="00C15772">
        <w:rPr>
          <w:shd w:val="clear" w:color="auto" w:fill="FFFFFF"/>
        </w:rPr>
        <w:t xml:space="preserve"> </w:t>
      </w:r>
      <w:r w:rsidR="00A217E6">
        <w:rPr>
          <w:shd w:val="clear" w:color="auto" w:fill="FFFFFF"/>
        </w:rPr>
        <w:t>wskaźnik</w:t>
      </w:r>
      <w:r w:rsidR="00053B77" w:rsidRPr="00C15772">
        <w:rPr>
          <w:shd w:val="clear" w:color="auto" w:fill="FFFFFF"/>
        </w:rPr>
        <w:t xml:space="preserve"> </w:t>
      </w:r>
      <w:r w:rsidR="00A217E6">
        <w:rPr>
          <w:shd w:val="clear" w:color="auto" w:fill="FFFFFF"/>
        </w:rPr>
        <w:t>ufności</w:t>
      </w:r>
      <w:r w:rsidR="00053B77" w:rsidRPr="00C15772">
        <w:rPr>
          <w:shd w:val="clear" w:color="auto" w:fill="FFFFFF"/>
        </w:rPr>
        <w:t xml:space="preserve"> </w:t>
      </w:r>
      <w:r w:rsidR="00A217E6">
        <w:rPr>
          <w:shd w:val="clear" w:color="auto" w:fill="FFFFFF"/>
        </w:rPr>
        <w:t>konsumenckiej</w:t>
      </w:r>
      <w:r w:rsidR="00053B77">
        <w:rPr>
          <w:shd w:val="clear" w:color="auto" w:fill="FFFFFF"/>
        </w:rPr>
        <w:t xml:space="preserve"> (BWUK) </w:t>
      </w:r>
      <w:r w:rsidR="00A217E6">
        <w:rPr>
          <w:shd w:val="clear" w:color="auto" w:fill="FFFFFF"/>
        </w:rPr>
        <w:t>oraz</w:t>
      </w:r>
      <w:r w:rsidR="00053B77">
        <w:rPr>
          <w:shd w:val="clear" w:color="auto" w:fill="FFFFFF"/>
        </w:rPr>
        <w:t xml:space="preserve"> </w:t>
      </w:r>
      <w:r w:rsidR="00A217E6">
        <w:rPr>
          <w:shd w:val="clear" w:color="auto" w:fill="FFFFFF"/>
        </w:rPr>
        <w:t>jego</w:t>
      </w:r>
      <w:r w:rsidR="00053B77">
        <w:rPr>
          <w:shd w:val="clear" w:color="auto" w:fill="FFFFFF"/>
        </w:rPr>
        <w:t xml:space="preserve"> </w:t>
      </w:r>
      <w:r w:rsidR="00A217E6">
        <w:rPr>
          <w:shd w:val="clear" w:color="auto" w:fill="FFFFFF"/>
        </w:rPr>
        <w:t>wartości</w:t>
      </w:r>
      <w:r w:rsidR="00053B77">
        <w:rPr>
          <w:shd w:val="clear" w:color="auto" w:fill="FFFFFF"/>
        </w:rPr>
        <w:t xml:space="preserve"> </w:t>
      </w:r>
      <w:r w:rsidR="00A217E6">
        <w:rPr>
          <w:shd w:val="clear" w:color="auto" w:fill="FFFFFF"/>
        </w:rPr>
        <w:t>składowe według lat</w:t>
      </w:r>
    </w:p>
    <w:p w:rsidR="00B35A63" w:rsidRDefault="00FD7BD2" w:rsidP="00A866F2">
      <w:pPr>
        <w:tabs>
          <w:tab w:val="left" w:pos="3218"/>
        </w:tabs>
      </w:pPr>
      <w:r>
        <w:tab/>
      </w:r>
    </w:p>
    <w:tbl>
      <w:tblPr>
        <w:tblStyle w:val="Siatkatabelijasna"/>
        <w:tblpPr w:leftFromText="141" w:rightFromText="141" w:vertAnchor="text" w:horzAnchor="margin" w:tblpY="596"/>
        <w:tblW w:w="8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709"/>
        <w:gridCol w:w="639"/>
        <w:gridCol w:w="1346"/>
        <w:gridCol w:w="1417"/>
        <w:gridCol w:w="1559"/>
        <w:gridCol w:w="1276"/>
        <w:gridCol w:w="1098"/>
      </w:tblGrid>
      <w:tr w:rsidR="00A866F2" w:rsidRPr="00FA5128" w:rsidTr="002A3665">
        <w:trPr>
          <w:trHeight w:val="631"/>
        </w:trPr>
        <w:tc>
          <w:tcPr>
            <w:tcW w:w="1348" w:type="dxa"/>
            <w:gridSpan w:val="2"/>
            <w:vMerge w:val="restart"/>
            <w:tcBorders>
              <w:top w:val="nil"/>
            </w:tcBorders>
            <w:vAlign w:val="center"/>
          </w:tcPr>
          <w:p w:rsidR="00A866F2" w:rsidRDefault="00A866F2" w:rsidP="00FC64E0">
            <w:pPr>
              <w:pStyle w:val="Nagwek1"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lastRenderedPageBreak/>
              <w:t>Okres badania ankietowego</w:t>
            </w:r>
          </w:p>
          <w:p w:rsidR="00A866F2" w:rsidRDefault="00A866F2" w:rsidP="00FC64E0">
            <w:pPr>
              <w:pStyle w:val="Nagwek1"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A866F2" w:rsidRDefault="00A866F2" w:rsidP="00FC64E0">
            <w:pPr>
              <w:pStyle w:val="Nagwek1"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A866F2" w:rsidRPr="00E37334" w:rsidRDefault="00A866F2" w:rsidP="00FC64E0">
            <w:pPr>
              <w:pStyle w:val="Nagwek1"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ascii="Fira Sans" w:hAnsi="Fira Sans" w:cs="Arial"/>
                <w:color w:val="000000" w:themeColor="text1"/>
                <w:sz w:val="16"/>
                <w:szCs w:val="16"/>
              </w:rPr>
            </w:pPr>
            <w:r w:rsidRPr="00E37334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 xml:space="preserve">Rok     Kwartał </w:t>
            </w:r>
          </w:p>
          <w:p w:rsidR="00A866F2" w:rsidRPr="009C7251" w:rsidRDefault="00A866F2" w:rsidP="00FC64E0">
            <w:pPr>
              <w:pStyle w:val="Nagwek1"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ascii="Fira Sans" w:hAnsi="Fira Sans" w:cs="Arial"/>
                <w:color w:val="000000" w:themeColor="text1"/>
                <w:sz w:val="16"/>
                <w:szCs w:val="16"/>
              </w:rPr>
            </w:pPr>
            <w:r w:rsidRPr="00E37334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 xml:space="preserve">          </w:t>
            </w:r>
            <w:r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 xml:space="preserve">  </w:t>
            </w:r>
            <w:r w:rsidRPr="00E37334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>Miesiąc</w:t>
            </w:r>
          </w:p>
        </w:tc>
        <w:tc>
          <w:tcPr>
            <w:tcW w:w="1346" w:type="dxa"/>
            <w:tcBorders>
              <w:top w:val="nil"/>
              <w:bottom w:val="single" w:sz="4" w:space="0" w:color="212492"/>
            </w:tcBorders>
            <w:vAlign w:val="center"/>
          </w:tcPr>
          <w:p w:rsidR="00A866F2" w:rsidRPr="00FA5128" w:rsidRDefault="00A866F2" w:rsidP="00FC64E0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Zmiany sytuacji finansowej gospodarstwa domowego  </w:t>
            </w:r>
          </w:p>
        </w:tc>
        <w:tc>
          <w:tcPr>
            <w:tcW w:w="1417" w:type="dxa"/>
            <w:tcBorders>
              <w:top w:val="nil"/>
              <w:bottom w:val="single" w:sz="4" w:space="0" w:color="212492"/>
            </w:tcBorders>
            <w:vAlign w:val="center"/>
          </w:tcPr>
          <w:p w:rsidR="00A866F2" w:rsidRPr="00FA5128" w:rsidRDefault="00A866F2" w:rsidP="00FC64E0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Zmiany ogólnej sytuacji ekonomicznej kraju</w:t>
            </w:r>
          </w:p>
        </w:tc>
        <w:tc>
          <w:tcPr>
            <w:tcW w:w="1559" w:type="dxa"/>
            <w:tcBorders>
              <w:top w:val="nil"/>
              <w:bottom w:val="single" w:sz="4" w:space="0" w:color="212492"/>
            </w:tcBorders>
            <w:vAlign w:val="center"/>
          </w:tcPr>
          <w:p w:rsidR="00A866F2" w:rsidRPr="00FA5128" w:rsidRDefault="00A866F2" w:rsidP="00FC64E0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Zmiany poziomu bezrobocia (ze znakiem przeciwnym)</w:t>
            </w:r>
          </w:p>
        </w:tc>
        <w:tc>
          <w:tcPr>
            <w:tcW w:w="1276" w:type="dxa"/>
            <w:tcBorders>
              <w:top w:val="nil"/>
              <w:bottom w:val="single" w:sz="4" w:space="0" w:color="212492"/>
            </w:tcBorders>
            <w:vAlign w:val="center"/>
          </w:tcPr>
          <w:p w:rsidR="00A866F2" w:rsidRPr="00FA5128" w:rsidRDefault="00A866F2" w:rsidP="00FC64E0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Oszczędzanie pieniędzy</w:t>
            </w:r>
          </w:p>
        </w:tc>
        <w:tc>
          <w:tcPr>
            <w:tcW w:w="1098" w:type="dxa"/>
            <w:vMerge w:val="restart"/>
            <w:tcBorders>
              <w:top w:val="nil"/>
            </w:tcBorders>
            <w:vAlign w:val="center"/>
          </w:tcPr>
          <w:p w:rsidR="00A866F2" w:rsidRPr="00FA5128" w:rsidRDefault="00A866F2" w:rsidP="00FC64E0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Wskaźnik ufności konsumenckiej W</w:t>
            </w:r>
            <w:r w:rsidRPr="00E37334">
              <w:rPr>
                <w:rFonts w:ascii="Fira Sans" w:hAnsi="Fira Sans"/>
                <w:color w:val="000000" w:themeColor="text1"/>
                <w:sz w:val="16"/>
                <w:szCs w:val="16"/>
              </w:rPr>
              <w:t>WUK</w:t>
            </w:r>
          </w:p>
        </w:tc>
      </w:tr>
      <w:tr w:rsidR="00A866F2" w:rsidRPr="00FA5128" w:rsidTr="002A3665">
        <w:trPr>
          <w:trHeight w:val="20"/>
        </w:trPr>
        <w:tc>
          <w:tcPr>
            <w:tcW w:w="1348" w:type="dxa"/>
            <w:gridSpan w:val="2"/>
            <w:vMerge/>
            <w:tcBorders>
              <w:bottom w:val="single" w:sz="12" w:space="0" w:color="212492"/>
            </w:tcBorders>
            <w:vAlign w:val="center"/>
          </w:tcPr>
          <w:p w:rsidR="00A866F2" w:rsidRPr="00FA5128" w:rsidRDefault="00A866F2" w:rsidP="00FC64E0">
            <w:pPr>
              <w:pStyle w:val="Nagwek1"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212492"/>
              <w:bottom w:val="single" w:sz="12" w:space="0" w:color="212492"/>
            </w:tcBorders>
            <w:vAlign w:val="center"/>
          </w:tcPr>
          <w:p w:rsidR="00A866F2" w:rsidRPr="00FA5128" w:rsidRDefault="00A866F2" w:rsidP="00A866F2">
            <w:pPr>
              <w:spacing w:before="0" w:after="0" w:line="180" w:lineRule="exac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417" w:type="dxa"/>
            <w:tcBorders>
              <w:top w:val="single" w:sz="4" w:space="0" w:color="212492"/>
              <w:bottom w:val="single" w:sz="12" w:space="0" w:color="212492"/>
            </w:tcBorders>
          </w:tcPr>
          <w:p w:rsidR="00A866F2" w:rsidRPr="00FA5128" w:rsidRDefault="00A866F2" w:rsidP="00A866F2">
            <w:pPr>
              <w:spacing w:before="0" w:after="0" w:line="180" w:lineRule="exac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1559" w:type="dxa"/>
            <w:tcBorders>
              <w:top w:val="single" w:sz="4" w:space="0" w:color="212492"/>
              <w:bottom w:val="single" w:sz="12" w:space="0" w:color="212492"/>
            </w:tcBorders>
            <w:vAlign w:val="center"/>
          </w:tcPr>
          <w:p w:rsidR="00A866F2" w:rsidRPr="00FA5128" w:rsidRDefault="00A866F2" w:rsidP="00A866F2">
            <w:pPr>
              <w:spacing w:before="0" w:after="0" w:line="180" w:lineRule="exac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1276" w:type="dxa"/>
            <w:tcBorders>
              <w:top w:val="single" w:sz="4" w:space="0" w:color="212492"/>
              <w:bottom w:val="single" w:sz="12" w:space="0" w:color="212492"/>
            </w:tcBorders>
          </w:tcPr>
          <w:p w:rsidR="00A866F2" w:rsidRPr="00FA5128" w:rsidRDefault="00A866F2" w:rsidP="00A866F2">
            <w:pPr>
              <w:spacing w:before="0" w:after="0" w:line="180" w:lineRule="exac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</w:t>
            </w:r>
          </w:p>
        </w:tc>
        <w:tc>
          <w:tcPr>
            <w:tcW w:w="1098" w:type="dxa"/>
            <w:vMerge/>
            <w:tcBorders>
              <w:bottom w:val="single" w:sz="12" w:space="0" w:color="212492"/>
            </w:tcBorders>
            <w:vAlign w:val="center"/>
          </w:tcPr>
          <w:p w:rsidR="00A866F2" w:rsidRPr="00FA5128" w:rsidRDefault="00A866F2" w:rsidP="00FC64E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A3665" w:rsidRPr="00FA5128" w:rsidTr="002A3665">
        <w:trPr>
          <w:trHeight w:val="168"/>
        </w:trPr>
        <w:tc>
          <w:tcPr>
            <w:tcW w:w="1348" w:type="dxa"/>
            <w:gridSpan w:val="2"/>
            <w:tcBorders>
              <w:top w:val="nil"/>
              <w:bottom w:val="nil"/>
            </w:tcBorders>
            <w:vAlign w:val="center"/>
          </w:tcPr>
          <w:p w:rsidR="002A3665" w:rsidRPr="00FA5128" w:rsidRDefault="002A3665" w:rsidP="00FC64E0">
            <w:pPr>
              <w:pStyle w:val="Nagwek5"/>
              <w:tabs>
                <w:tab w:val="right" w:leader="dot" w:pos="4156"/>
              </w:tabs>
              <w:spacing w:before="0" w:line="140" w:lineRule="exact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98" w:type="dxa"/>
            <w:gridSpan w:val="4"/>
            <w:tcBorders>
              <w:top w:val="single" w:sz="12" w:space="0" w:color="212492"/>
              <w:bottom w:val="single" w:sz="4" w:space="0" w:color="001D77"/>
              <w:right w:val="single" w:sz="4" w:space="0" w:color="212492"/>
            </w:tcBorders>
            <w:vAlign w:val="center"/>
          </w:tcPr>
          <w:p w:rsidR="002A3665" w:rsidRPr="00FA5128" w:rsidRDefault="002A3665" w:rsidP="00FC64E0">
            <w:pPr>
              <w:spacing w:before="0" w:after="0" w:line="140" w:lineRule="exac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A3665">
              <w:rPr>
                <w:rFonts w:cs="Arial"/>
                <w:color w:val="000000" w:themeColor="text1"/>
                <w:sz w:val="16"/>
                <w:szCs w:val="16"/>
              </w:rPr>
              <w:t>saldo ocen w procentach</w:t>
            </w:r>
          </w:p>
        </w:tc>
        <w:tc>
          <w:tcPr>
            <w:tcW w:w="1098" w:type="dxa"/>
            <w:tcBorders>
              <w:top w:val="nil"/>
              <w:left w:val="single" w:sz="4" w:space="0" w:color="212492"/>
              <w:bottom w:val="nil"/>
            </w:tcBorders>
            <w:vAlign w:val="center"/>
          </w:tcPr>
          <w:p w:rsidR="002A3665" w:rsidRPr="00FA5128" w:rsidRDefault="002A3665" w:rsidP="00FC64E0">
            <w:pPr>
              <w:spacing w:before="0" w:after="0" w:line="140" w:lineRule="exac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C63004" w:rsidRPr="00FA5128" w:rsidTr="00AF2F1E">
        <w:trPr>
          <w:trHeight w:val="126"/>
        </w:trPr>
        <w:tc>
          <w:tcPr>
            <w:tcW w:w="1348" w:type="dxa"/>
            <w:gridSpan w:val="2"/>
            <w:tcBorders>
              <w:top w:val="nil"/>
              <w:bottom w:val="single" w:sz="4" w:space="0" w:color="212492"/>
            </w:tcBorders>
            <w:vAlign w:val="center"/>
          </w:tcPr>
          <w:p w:rsidR="00C63004" w:rsidRPr="00FA5128" w:rsidRDefault="00C63004" w:rsidP="00FC64E0">
            <w:pPr>
              <w:pStyle w:val="Nagwek5"/>
              <w:tabs>
                <w:tab w:val="right" w:leader="dot" w:pos="4156"/>
              </w:tabs>
              <w:spacing w:before="0" w:line="140" w:lineRule="exact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98" w:type="dxa"/>
            <w:gridSpan w:val="4"/>
            <w:tcBorders>
              <w:top w:val="single" w:sz="4" w:space="0" w:color="212492"/>
              <w:bottom w:val="single" w:sz="4" w:space="0" w:color="212492"/>
              <w:right w:val="nil"/>
            </w:tcBorders>
            <w:vAlign w:val="center"/>
          </w:tcPr>
          <w:p w:rsidR="00C63004" w:rsidRPr="00FA5128" w:rsidRDefault="00C63004" w:rsidP="00C63004">
            <w:pPr>
              <w:spacing w:before="0" w:after="0" w:line="140" w:lineRule="exac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AF2F1E">
              <w:rPr>
                <w:rFonts w:cs="Arial"/>
                <w:b/>
                <w:color w:val="000000" w:themeColor="text1"/>
                <w:sz w:val="14"/>
                <w:szCs w:val="16"/>
              </w:rPr>
              <w:t>Lata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212492"/>
            </w:tcBorders>
            <w:vAlign w:val="center"/>
          </w:tcPr>
          <w:p w:rsidR="00C63004" w:rsidRPr="00FA5128" w:rsidRDefault="00C63004" w:rsidP="00FC64E0">
            <w:pPr>
              <w:spacing w:before="0" w:after="0" w:line="140" w:lineRule="exac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2A3665" w:rsidRPr="00FA5128" w:rsidTr="00C63004">
        <w:trPr>
          <w:trHeight w:val="36"/>
        </w:trPr>
        <w:tc>
          <w:tcPr>
            <w:tcW w:w="1348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bottom"/>
          </w:tcPr>
          <w:p w:rsidR="002A3665" w:rsidRPr="007443DC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7443DC">
              <w:rPr>
                <w:rFonts w:cs="Arial"/>
                <w:sz w:val="14"/>
              </w:rPr>
              <w:t>2005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-12,0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-16,7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-24,8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-54,6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-27,2</w:t>
            </w:r>
          </w:p>
        </w:tc>
      </w:tr>
      <w:tr w:rsidR="002A3665" w:rsidRPr="00FA5128" w:rsidTr="00C63004">
        <w:trPr>
          <w:trHeight w:val="28"/>
        </w:trPr>
        <w:tc>
          <w:tcPr>
            <w:tcW w:w="1348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bottom"/>
          </w:tcPr>
          <w:p w:rsidR="002A3665" w:rsidRPr="007443DC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7443DC">
              <w:rPr>
                <w:rFonts w:cs="Arial"/>
                <w:sz w:val="14"/>
              </w:rPr>
              <w:t>2006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-6,1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-13,0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-6,3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-48,3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-18,5</w:t>
            </w:r>
          </w:p>
        </w:tc>
      </w:tr>
      <w:tr w:rsidR="002A3665" w:rsidRPr="00FA5128" w:rsidTr="00C63004">
        <w:trPr>
          <w:trHeight w:val="28"/>
        </w:trPr>
        <w:tc>
          <w:tcPr>
            <w:tcW w:w="1348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bottom"/>
          </w:tcPr>
          <w:p w:rsidR="002A3665" w:rsidRPr="007443DC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7443DC">
              <w:rPr>
                <w:rFonts w:cs="Arial"/>
                <w:sz w:val="14"/>
              </w:rPr>
              <w:t>2007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-1,9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-6,6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17,6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-40,7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-7,9</w:t>
            </w:r>
          </w:p>
        </w:tc>
      </w:tr>
      <w:tr w:rsidR="002A3665" w:rsidRPr="00FA5128" w:rsidTr="00C63004">
        <w:trPr>
          <w:trHeight w:val="148"/>
        </w:trPr>
        <w:tc>
          <w:tcPr>
            <w:tcW w:w="1348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bottom"/>
          </w:tcPr>
          <w:p w:rsidR="002A3665" w:rsidRPr="007443DC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7443DC">
              <w:rPr>
                <w:rFonts w:cs="Arial"/>
                <w:sz w:val="14"/>
              </w:rPr>
              <w:t>2008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-4,5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-9,7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5,1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-37,2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-11,6</w:t>
            </w:r>
          </w:p>
        </w:tc>
      </w:tr>
      <w:tr w:rsidR="002A3665" w:rsidRPr="00FA5128" w:rsidTr="00C63004">
        <w:trPr>
          <w:trHeight w:val="124"/>
        </w:trPr>
        <w:tc>
          <w:tcPr>
            <w:tcW w:w="1348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bottom"/>
          </w:tcPr>
          <w:p w:rsidR="002A3665" w:rsidRPr="007443DC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7443DC">
              <w:rPr>
                <w:rFonts w:cs="Arial"/>
                <w:sz w:val="14"/>
              </w:rPr>
              <w:t>2009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-11,1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-26,5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-54,6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-37,1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-32,5</w:t>
            </w:r>
          </w:p>
        </w:tc>
      </w:tr>
      <w:tr w:rsidR="002A3665" w:rsidRPr="00FA5128" w:rsidTr="00C63004">
        <w:trPr>
          <w:trHeight w:val="28"/>
        </w:trPr>
        <w:tc>
          <w:tcPr>
            <w:tcW w:w="1348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bottom"/>
          </w:tcPr>
          <w:p w:rsidR="002A3665" w:rsidRPr="007443DC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7443DC">
              <w:rPr>
                <w:rFonts w:cs="Arial"/>
                <w:sz w:val="14"/>
              </w:rPr>
              <w:t>2010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-8,2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-18,9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-34,4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-32,0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-23,5</w:t>
            </w:r>
          </w:p>
        </w:tc>
      </w:tr>
      <w:tr w:rsidR="002A3665" w:rsidRPr="00FA5128" w:rsidTr="00C63004">
        <w:trPr>
          <w:trHeight w:val="28"/>
        </w:trPr>
        <w:tc>
          <w:tcPr>
            <w:tcW w:w="1348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bottom"/>
          </w:tcPr>
          <w:p w:rsidR="002A3665" w:rsidRPr="007443DC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7443DC">
              <w:rPr>
                <w:rFonts w:cs="Arial"/>
                <w:sz w:val="14"/>
              </w:rPr>
              <w:t>2011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-14,6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-30,8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-37,0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-36,1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-29,8</w:t>
            </w:r>
          </w:p>
        </w:tc>
      </w:tr>
      <w:tr w:rsidR="002A3665" w:rsidRPr="00FA5128" w:rsidTr="00C63004">
        <w:trPr>
          <w:trHeight w:val="28"/>
        </w:trPr>
        <w:tc>
          <w:tcPr>
            <w:tcW w:w="1348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bottom"/>
          </w:tcPr>
          <w:p w:rsidR="002A3665" w:rsidRPr="007443DC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7443DC">
              <w:rPr>
                <w:rFonts w:cs="Arial"/>
                <w:sz w:val="14"/>
              </w:rPr>
              <w:t>2012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-18,5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-38,0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-53,3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-36,9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-36,7</w:t>
            </w:r>
          </w:p>
        </w:tc>
      </w:tr>
      <w:tr w:rsidR="002A3665" w:rsidRPr="00FA5128" w:rsidTr="00C63004">
        <w:trPr>
          <w:trHeight w:val="98"/>
        </w:trPr>
        <w:tc>
          <w:tcPr>
            <w:tcW w:w="1348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5357E1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5357E1">
              <w:rPr>
                <w:rFonts w:cs="Arial"/>
                <w:sz w:val="14"/>
              </w:rPr>
              <w:t>2013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-13,6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-31,2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-53,7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-36,1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-33,7</w:t>
            </w:r>
          </w:p>
        </w:tc>
      </w:tr>
      <w:tr w:rsidR="00C63004" w:rsidRPr="00FA5128" w:rsidTr="00C63004">
        <w:trPr>
          <w:trHeight w:val="28"/>
        </w:trPr>
        <w:tc>
          <w:tcPr>
            <w:tcW w:w="1348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5357E1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5357E1">
              <w:rPr>
                <w:rFonts w:cs="Arial"/>
                <w:sz w:val="14"/>
              </w:rPr>
              <w:t>2014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-7,3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-18,4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-31,1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-30,5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-21,8</w:t>
            </w:r>
          </w:p>
        </w:tc>
      </w:tr>
      <w:tr w:rsidR="002A3665" w:rsidRPr="00FA5128" w:rsidTr="00C63004">
        <w:trPr>
          <w:trHeight w:val="28"/>
        </w:trPr>
        <w:tc>
          <w:tcPr>
            <w:tcW w:w="1348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5357E1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5357E1">
              <w:rPr>
                <w:rFonts w:cs="Arial"/>
                <w:sz w:val="14"/>
              </w:rPr>
              <w:t>2015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-2,8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-11,4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-19,7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-26,3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-15,1</w:t>
            </w:r>
          </w:p>
        </w:tc>
      </w:tr>
      <w:tr w:rsidR="00C63004" w:rsidRPr="00FA5128" w:rsidTr="00C63004">
        <w:trPr>
          <w:trHeight w:val="28"/>
        </w:trPr>
        <w:tc>
          <w:tcPr>
            <w:tcW w:w="1348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5357E1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5357E1">
              <w:rPr>
                <w:rFonts w:cs="Arial"/>
                <w:sz w:val="14"/>
              </w:rPr>
              <w:t>2016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0,9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-9,4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-7,8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-18,0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-8,6</w:t>
            </w:r>
          </w:p>
        </w:tc>
      </w:tr>
      <w:tr w:rsidR="002A3665" w:rsidRPr="00FA5128" w:rsidTr="00C63004">
        <w:trPr>
          <w:trHeight w:val="62"/>
        </w:trPr>
        <w:tc>
          <w:tcPr>
            <w:tcW w:w="1348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5357E1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5357E1">
              <w:rPr>
                <w:rFonts w:cs="Arial"/>
                <w:sz w:val="14"/>
              </w:rPr>
              <w:t>2017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2,8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-1,8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8,5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-10,6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-0,3</w:t>
            </w:r>
          </w:p>
        </w:tc>
      </w:tr>
      <w:tr w:rsidR="00C63004" w:rsidRPr="00FA5128" w:rsidTr="00AF2F1E">
        <w:trPr>
          <w:trHeight w:val="124"/>
        </w:trPr>
        <w:tc>
          <w:tcPr>
            <w:tcW w:w="1348" w:type="dxa"/>
            <w:gridSpan w:val="2"/>
            <w:tcBorders>
              <w:top w:val="single" w:sz="4" w:space="0" w:color="212492"/>
              <w:left w:val="nil"/>
              <w:right w:val="nil"/>
            </w:tcBorders>
            <w:vAlign w:val="bottom"/>
          </w:tcPr>
          <w:p w:rsidR="00C63004" w:rsidRPr="007443DC" w:rsidRDefault="00C63004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598" w:type="dxa"/>
            <w:gridSpan w:val="4"/>
            <w:tcBorders>
              <w:top w:val="single" w:sz="4" w:space="0" w:color="212492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:rsidR="00C63004" w:rsidRPr="007443DC" w:rsidRDefault="00C63004" w:rsidP="00AF2F1E">
            <w:pPr>
              <w:spacing w:before="0" w:after="0" w:line="240" w:lineRule="auto"/>
              <w:contextualSpacing/>
              <w:jc w:val="center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5357E1">
              <w:rPr>
                <w:rFonts w:cs="Arial"/>
                <w:b/>
                <w:bCs/>
                <w:snapToGrid w:val="0"/>
                <w:color w:val="000000"/>
                <w:sz w:val="14"/>
                <w:szCs w:val="21"/>
              </w:rPr>
              <w:t>Kwartały</w:t>
            </w:r>
          </w:p>
        </w:tc>
        <w:tc>
          <w:tcPr>
            <w:tcW w:w="1098" w:type="dxa"/>
            <w:tcBorders>
              <w:top w:val="single" w:sz="4" w:space="0" w:color="212492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C63004" w:rsidRPr="007443DC" w:rsidRDefault="00C63004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</w:tr>
      <w:tr w:rsidR="002A3665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2A3665" w:rsidRPr="007443DC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2017</w:t>
            </w:r>
          </w:p>
        </w:tc>
        <w:tc>
          <w:tcPr>
            <w:tcW w:w="63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center"/>
          </w:tcPr>
          <w:p w:rsidR="002A3665" w:rsidRPr="007443DC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I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2,2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-9,2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3,1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-12,3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-4,1</w:t>
            </w:r>
          </w:p>
        </w:tc>
      </w:tr>
      <w:tr w:rsidR="002A3665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2A3665" w:rsidRPr="007443DC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center"/>
          </w:tcPr>
          <w:p w:rsidR="002A3665" w:rsidRPr="007443DC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II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2,6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-2,3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9,5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-10,8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-0,3</w:t>
            </w:r>
          </w:p>
        </w:tc>
      </w:tr>
      <w:tr w:rsidR="002A3665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2A3665" w:rsidRPr="007443DC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center"/>
          </w:tcPr>
          <w:p w:rsidR="002A3665" w:rsidRPr="007443DC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III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4,0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1,8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-9,9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1,6</w:t>
            </w:r>
          </w:p>
        </w:tc>
      </w:tr>
      <w:tr w:rsidR="002A3665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2A3665" w:rsidRPr="007443DC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center"/>
          </w:tcPr>
          <w:p w:rsidR="002A3665" w:rsidRPr="007443DC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IV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2,3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2,5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-9,6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1,6</w:t>
            </w:r>
          </w:p>
        </w:tc>
      </w:tr>
      <w:tr w:rsidR="00B81262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B81262" w:rsidRPr="007443DC" w:rsidRDefault="00B81262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2018</w:t>
            </w:r>
          </w:p>
        </w:tc>
        <w:tc>
          <w:tcPr>
            <w:tcW w:w="63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center"/>
          </w:tcPr>
          <w:p w:rsidR="00B81262" w:rsidRDefault="00B81262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I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81262" w:rsidRPr="002A3665" w:rsidRDefault="00B86BCA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4,1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81262" w:rsidRPr="002A3665" w:rsidRDefault="00B86BCA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4,5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81262" w:rsidRPr="002A3665" w:rsidRDefault="00B86BCA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13,7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81262" w:rsidRPr="002A3665" w:rsidRDefault="00B86BCA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-7,1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B81262" w:rsidRPr="002A3665" w:rsidRDefault="00B86BCA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3,8</w:t>
            </w:r>
          </w:p>
        </w:tc>
      </w:tr>
      <w:tr w:rsidR="00AF2F1E" w:rsidRPr="00FA5128" w:rsidTr="00FC64E0">
        <w:trPr>
          <w:trHeight w:val="28"/>
        </w:trPr>
        <w:tc>
          <w:tcPr>
            <w:tcW w:w="1348" w:type="dxa"/>
            <w:gridSpan w:val="2"/>
            <w:tcBorders>
              <w:left w:val="nil"/>
              <w:right w:val="nil"/>
            </w:tcBorders>
            <w:vAlign w:val="center"/>
          </w:tcPr>
          <w:p w:rsidR="00AF2F1E" w:rsidRPr="007443DC" w:rsidRDefault="00AF2F1E" w:rsidP="00AF2F1E">
            <w:pPr>
              <w:pStyle w:val="Tekstprzypisudolnego"/>
              <w:spacing w:before="0"/>
              <w:contextualSpacing/>
              <w:jc w:val="center"/>
              <w:rPr>
                <w:rFonts w:cs="Arial"/>
                <w:sz w:val="14"/>
              </w:rPr>
            </w:pPr>
          </w:p>
        </w:tc>
        <w:tc>
          <w:tcPr>
            <w:tcW w:w="5598" w:type="dxa"/>
            <w:gridSpan w:val="4"/>
            <w:tcBorders>
              <w:top w:val="single" w:sz="4" w:space="0" w:color="001D77"/>
              <w:left w:val="nil"/>
              <w:bottom w:val="single" w:sz="4" w:space="0" w:color="212492"/>
              <w:right w:val="nil"/>
            </w:tcBorders>
            <w:shd w:val="clear" w:color="auto" w:fill="auto"/>
            <w:vAlign w:val="center"/>
          </w:tcPr>
          <w:p w:rsidR="00AF2F1E" w:rsidRPr="007443DC" w:rsidRDefault="00AF2F1E" w:rsidP="00AF2F1E">
            <w:pPr>
              <w:spacing w:before="0" w:after="0" w:line="240" w:lineRule="auto"/>
              <w:contextualSpacing/>
              <w:jc w:val="center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5357E1">
              <w:rPr>
                <w:rFonts w:cs="Arial"/>
                <w:b/>
                <w:bCs/>
                <w:snapToGrid w:val="0"/>
                <w:color w:val="000000"/>
                <w:sz w:val="14"/>
                <w:szCs w:val="21"/>
              </w:rPr>
              <w:t>Miesiące</w:t>
            </w:r>
          </w:p>
        </w:tc>
        <w:tc>
          <w:tcPr>
            <w:tcW w:w="1098" w:type="dxa"/>
            <w:tcBorders>
              <w:top w:val="single" w:sz="4" w:space="0" w:color="001D77"/>
              <w:left w:val="nil"/>
              <w:bottom w:val="single" w:sz="4" w:space="0" w:color="212492"/>
              <w:right w:val="nil"/>
            </w:tcBorders>
            <w:shd w:val="clear" w:color="auto" w:fill="auto"/>
            <w:vAlign w:val="center"/>
          </w:tcPr>
          <w:p w:rsidR="00AF2F1E" w:rsidRPr="007443DC" w:rsidRDefault="00AF2F1E" w:rsidP="00AF2F1E">
            <w:pPr>
              <w:spacing w:before="0" w:after="0" w:line="240" w:lineRule="auto"/>
              <w:contextualSpacing/>
              <w:jc w:val="center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</w:tr>
      <w:tr w:rsidR="002A3665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2A3665" w:rsidRPr="004E61ED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4E61ED">
              <w:rPr>
                <w:rFonts w:cs="Arial"/>
                <w:sz w:val="14"/>
              </w:rPr>
              <w:t>2017</w:t>
            </w:r>
          </w:p>
        </w:tc>
        <w:tc>
          <w:tcPr>
            <w:tcW w:w="639" w:type="dxa"/>
            <w:tcBorders>
              <w:left w:val="nil"/>
              <w:right w:val="single" w:sz="4" w:space="0" w:color="212492"/>
            </w:tcBorders>
            <w:shd w:val="clear" w:color="auto" w:fill="auto"/>
            <w:vAlign w:val="bottom"/>
          </w:tcPr>
          <w:p w:rsidR="002A3665" w:rsidRPr="004E61ED" w:rsidRDefault="002A3665" w:rsidP="002A3665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01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2,9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-10,1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-0,1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-10,1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-4,4</w:t>
            </w:r>
          </w:p>
        </w:tc>
      </w:tr>
      <w:tr w:rsidR="002A3665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2A3665" w:rsidRPr="004E61ED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left w:val="nil"/>
              <w:right w:val="single" w:sz="4" w:space="0" w:color="212492"/>
            </w:tcBorders>
            <w:shd w:val="clear" w:color="auto" w:fill="auto"/>
            <w:vAlign w:val="bottom"/>
          </w:tcPr>
          <w:p w:rsidR="002A3665" w:rsidRPr="004E61ED" w:rsidRDefault="002A3665" w:rsidP="002A3665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02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2,2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-9,2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4,4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-11,8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-3,6</w:t>
            </w:r>
          </w:p>
        </w:tc>
      </w:tr>
      <w:tr w:rsidR="002A3665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2A3665" w:rsidRPr="004E61ED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left w:val="nil"/>
              <w:right w:val="single" w:sz="4" w:space="0" w:color="212492"/>
            </w:tcBorders>
            <w:shd w:val="clear" w:color="auto" w:fill="auto"/>
            <w:vAlign w:val="bottom"/>
          </w:tcPr>
          <w:p w:rsidR="002A3665" w:rsidRPr="004E61ED" w:rsidRDefault="002A3665" w:rsidP="002A3665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03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1,6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-8,3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4,9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-15,0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-4,2</w:t>
            </w:r>
          </w:p>
        </w:tc>
      </w:tr>
      <w:tr w:rsidR="002A3665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2A3665" w:rsidRPr="004E61ED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left w:val="nil"/>
              <w:right w:val="single" w:sz="4" w:space="0" w:color="212492"/>
            </w:tcBorders>
            <w:shd w:val="clear" w:color="auto" w:fill="auto"/>
            <w:vAlign w:val="bottom"/>
          </w:tcPr>
          <w:p w:rsidR="002A3665" w:rsidRPr="004E61ED" w:rsidRDefault="002A3665" w:rsidP="002A3665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04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2,0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-7,2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5,9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-12,9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-3,1</w:t>
            </w:r>
          </w:p>
        </w:tc>
      </w:tr>
      <w:tr w:rsidR="002A3665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2A3665" w:rsidRPr="004E61ED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left w:val="nil"/>
              <w:right w:val="single" w:sz="4" w:space="0" w:color="212492"/>
            </w:tcBorders>
            <w:shd w:val="clear" w:color="auto" w:fill="auto"/>
            <w:vAlign w:val="bottom"/>
          </w:tcPr>
          <w:p w:rsidR="002A3665" w:rsidRPr="004E61ED" w:rsidRDefault="002A3665" w:rsidP="002A3665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05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2,8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-1,4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-10,0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0,6</w:t>
            </w:r>
          </w:p>
        </w:tc>
      </w:tr>
      <w:tr w:rsidR="002A3665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2A3665" w:rsidRPr="004E61ED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left w:val="nil"/>
              <w:right w:val="single" w:sz="4" w:space="0" w:color="212492"/>
            </w:tcBorders>
            <w:shd w:val="clear" w:color="auto" w:fill="auto"/>
            <w:vAlign w:val="bottom"/>
          </w:tcPr>
          <w:p w:rsidR="002A3665" w:rsidRPr="004E61ED" w:rsidRDefault="002A3665" w:rsidP="002A3665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06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2,9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1,8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11,7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-9,4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1,8</w:t>
            </w:r>
          </w:p>
        </w:tc>
      </w:tr>
      <w:tr w:rsidR="002A3665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2A3665" w:rsidRPr="004E61ED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left w:val="nil"/>
              <w:right w:val="single" w:sz="4" w:space="0" w:color="212492"/>
            </w:tcBorders>
            <w:shd w:val="clear" w:color="auto" w:fill="auto"/>
            <w:vAlign w:val="bottom"/>
          </w:tcPr>
          <w:p w:rsidR="002A3665" w:rsidRPr="004E61ED" w:rsidRDefault="002A3665" w:rsidP="002A3665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07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3,6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1,9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10,1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-10,5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1,3</w:t>
            </w:r>
          </w:p>
        </w:tc>
      </w:tr>
      <w:tr w:rsidR="002A3665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2A3665" w:rsidRPr="004E61ED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left w:val="nil"/>
              <w:right w:val="single" w:sz="4" w:space="0" w:color="212492"/>
            </w:tcBorders>
            <w:shd w:val="clear" w:color="auto" w:fill="auto"/>
            <w:vAlign w:val="bottom"/>
          </w:tcPr>
          <w:p w:rsidR="002A3665" w:rsidRPr="004E61ED" w:rsidRDefault="002A3665" w:rsidP="002A3665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08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4,3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2,7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-7,3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2,7</w:t>
            </w:r>
          </w:p>
        </w:tc>
      </w:tr>
      <w:tr w:rsidR="002A3665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2A3665" w:rsidRPr="004E61ED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left w:val="nil"/>
              <w:right w:val="single" w:sz="4" w:space="0" w:color="212492"/>
            </w:tcBorders>
            <w:shd w:val="clear" w:color="auto" w:fill="auto"/>
            <w:vAlign w:val="bottom"/>
          </w:tcPr>
          <w:p w:rsidR="002A3665" w:rsidRPr="004E61ED" w:rsidRDefault="002A3665" w:rsidP="002A3665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09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4,0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0,8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-11,7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0,8</w:t>
            </w:r>
          </w:p>
        </w:tc>
      </w:tr>
      <w:tr w:rsidR="002A3665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2A3665" w:rsidRPr="004E61ED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left w:val="nil"/>
              <w:right w:val="single" w:sz="4" w:space="0" w:color="212492"/>
            </w:tcBorders>
            <w:shd w:val="clear" w:color="auto" w:fill="auto"/>
            <w:vAlign w:val="bottom"/>
          </w:tcPr>
          <w:p w:rsidR="002A3665" w:rsidRPr="004E61ED" w:rsidRDefault="002A3665" w:rsidP="002A3665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10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1,6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3,4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9,2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-8,0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1,6</w:t>
            </w:r>
          </w:p>
        </w:tc>
      </w:tr>
      <w:tr w:rsidR="002A3665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2A3665" w:rsidRPr="004E61ED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left w:val="nil"/>
              <w:right w:val="single" w:sz="4" w:space="0" w:color="212492"/>
            </w:tcBorders>
            <w:shd w:val="clear" w:color="auto" w:fill="auto"/>
            <w:vAlign w:val="bottom"/>
          </w:tcPr>
          <w:p w:rsidR="002A3665" w:rsidRPr="004E61ED" w:rsidRDefault="002A3665" w:rsidP="002A3665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11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5,0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3,8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-8,8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3,4</w:t>
            </w:r>
          </w:p>
        </w:tc>
      </w:tr>
      <w:tr w:rsidR="002A3665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2A3665" w:rsidRPr="004E61ED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left w:val="nil"/>
              <w:right w:val="single" w:sz="4" w:space="0" w:color="212492"/>
            </w:tcBorders>
            <w:shd w:val="clear" w:color="auto" w:fill="auto"/>
            <w:vAlign w:val="bottom"/>
          </w:tcPr>
          <w:p w:rsidR="002A3665" w:rsidRPr="004E61ED" w:rsidRDefault="002A3665" w:rsidP="002A3665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12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0,2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0,3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-12,0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-0,2</w:t>
            </w:r>
          </w:p>
        </w:tc>
      </w:tr>
      <w:tr w:rsidR="002A3665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2A3665" w:rsidRPr="004E61ED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4E61ED">
              <w:rPr>
                <w:rFonts w:cs="Arial"/>
                <w:sz w:val="14"/>
              </w:rPr>
              <w:t>2018</w:t>
            </w:r>
          </w:p>
        </w:tc>
        <w:tc>
          <w:tcPr>
            <w:tcW w:w="639" w:type="dxa"/>
            <w:tcBorders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4E61ED" w:rsidRDefault="002A3665" w:rsidP="002A3665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01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5,2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4,0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-5,8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4,3</w:t>
            </w:r>
          </w:p>
        </w:tc>
      </w:tr>
      <w:tr w:rsidR="00BF0508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BF0508" w:rsidRPr="004E61ED" w:rsidRDefault="00BF0508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F0508" w:rsidRPr="004E61ED" w:rsidRDefault="00BF0508" w:rsidP="002A3665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02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F0508" w:rsidRPr="002A3665" w:rsidRDefault="00BF0508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2,8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F0508" w:rsidRPr="002A3665" w:rsidRDefault="00BF0508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6,3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F0508" w:rsidRPr="002A3665" w:rsidRDefault="00BF0508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F0508" w:rsidRPr="002A3665" w:rsidRDefault="00BF0508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-6,4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BF0508" w:rsidRPr="002A3665" w:rsidRDefault="006C154F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4,2</w:t>
            </w:r>
          </w:p>
        </w:tc>
      </w:tr>
      <w:tr w:rsidR="00B81262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B81262" w:rsidRPr="004E61ED" w:rsidRDefault="00B81262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81262" w:rsidRDefault="00B81262" w:rsidP="002A3665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03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81262" w:rsidRDefault="00B86BCA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4,2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81262" w:rsidRDefault="00B86BCA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3,2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81262" w:rsidRDefault="00B86BCA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81262" w:rsidRDefault="00B86BCA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-9,2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B81262" w:rsidRDefault="00B86BCA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2,9</w:t>
            </w:r>
          </w:p>
        </w:tc>
      </w:tr>
      <w:tr w:rsidR="006508EE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6508EE" w:rsidRPr="004E61ED" w:rsidRDefault="006508EE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6508EE" w:rsidRDefault="006508EE" w:rsidP="002A3665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04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6508EE" w:rsidRDefault="004D4078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5,7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6508EE" w:rsidRDefault="004D4078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6,0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6508EE" w:rsidRDefault="004D4078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6508EE" w:rsidRDefault="004D4078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-6,9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6508EE" w:rsidRDefault="004D4078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5,7</w:t>
            </w:r>
          </w:p>
        </w:tc>
      </w:tr>
      <w:tr w:rsidR="008D61B1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8D61B1" w:rsidRPr="004E61ED" w:rsidRDefault="008D61B1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8D61B1" w:rsidRDefault="008D61B1" w:rsidP="002A3665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05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8D61B1" w:rsidRDefault="002F22D2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3,5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8D61B1" w:rsidRDefault="002F22D2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3,8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8D61B1" w:rsidRDefault="002F22D2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8D61B1" w:rsidRDefault="002F22D2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-10,2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8D61B1" w:rsidRDefault="002F22D2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2,8</w:t>
            </w:r>
          </w:p>
        </w:tc>
      </w:tr>
      <w:tr w:rsidR="002A3665" w:rsidRPr="00FA5128" w:rsidTr="00A866F2">
        <w:trPr>
          <w:trHeight w:val="28"/>
        </w:trPr>
        <w:tc>
          <w:tcPr>
            <w:tcW w:w="1348" w:type="dxa"/>
            <w:gridSpan w:val="2"/>
            <w:tcBorders>
              <w:left w:val="nil"/>
              <w:right w:val="single" w:sz="4" w:space="0" w:color="001D77"/>
            </w:tcBorders>
            <w:vAlign w:val="bottom"/>
          </w:tcPr>
          <w:p w:rsidR="00E41497" w:rsidRPr="007443DC" w:rsidRDefault="00E41497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1346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2A3665" w:rsidRPr="007443DC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2A3665" w:rsidRPr="007443DC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2A3665" w:rsidRPr="007443DC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2A3665" w:rsidRPr="007443DC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001D77"/>
              <w:left w:val="single" w:sz="4" w:space="0" w:color="001D77"/>
              <w:bottom w:val="nil"/>
              <w:right w:val="nil"/>
            </w:tcBorders>
            <w:shd w:val="clear" w:color="auto" w:fill="auto"/>
            <w:vAlign w:val="bottom"/>
          </w:tcPr>
          <w:p w:rsidR="002A3665" w:rsidRPr="007443DC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</w:tr>
    </w:tbl>
    <w:p w:rsidR="004E61ED" w:rsidRDefault="0093660E" w:rsidP="00A866F2">
      <w:pPr>
        <w:ind w:left="851" w:hanging="851"/>
        <w:rPr>
          <w:b/>
          <w:spacing w:val="-2"/>
          <w:sz w:val="18"/>
          <w:shd w:val="clear" w:color="auto" w:fill="FFFFFF"/>
        </w:rPr>
      </w:pPr>
      <w:r w:rsidRPr="00633014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46304" behindDoc="1" locked="0" layoutInCell="1" allowOverlap="1" wp14:anchorId="6BD52DDD" wp14:editId="6C4D5CD0">
                <wp:simplePos x="0" y="0"/>
                <wp:positionH relativeFrom="column">
                  <wp:posOffset>5242560</wp:posOffset>
                </wp:positionH>
                <wp:positionV relativeFrom="paragraph">
                  <wp:posOffset>310325</wp:posOffset>
                </wp:positionV>
                <wp:extent cx="1725295" cy="1579245"/>
                <wp:effectExtent l="0" t="0" r="0" b="1905"/>
                <wp:wrapTight wrapText="bothSides">
                  <wp:wrapPolygon edited="0">
                    <wp:start x="715" y="0"/>
                    <wp:lineTo x="715" y="21366"/>
                    <wp:lineTo x="20749" y="21366"/>
                    <wp:lineTo x="20749" y="0"/>
                    <wp:lineTo x="715" y="0"/>
                  </wp:wrapPolygon>
                </wp:wrapTight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579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889" w:rsidRPr="0093660E" w:rsidRDefault="004E6889" w:rsidP="0093660E">
                            <w:pPr>
                              <w:spacing w:before="0" w:after="160" w:line="259" w:lineRule="auto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93660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Wyprzedzający wskaźnik ufności konsumenckiej jest średnią sald ocen zmian sytuacji finansowej gospodarstwa domowego, ogólnej sytuacji ekonomicznej kraju, trendów poziomu bezrobocia (ze znakiem przeciwnym) i oszczędzania pienięd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zy w najbliższych 12 miesiącach</w:t>
                            </w:r>
                          </w:p>
                          <w:p w:rsidR="004E6889" w:rsidRPr="0093660E" w:rsidRDefault="004E6889" w:rsidP="0093660E">
                            <w:pPr>
                              <w:pStyle w:val="tytuwykresu"/>
                              <w:jc w:val="both"/>
                              <w:rPr>
                                <w:rFonts w:eastAsia="Times New Roman" w:cs="Times New Roman"/>
                                <w:b w:val="0"/>
                                <w:bCs/>
                                <w:color w:val="001D77"/>
                                <w:spacing w:val="0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52DDD" id="Pole tekstowe 13" o:spid="_x0000_s1031" type="#_x0000_t202" style="position:absolute;left:0;text-align:left;margin-left:412.8pt;margin-top:24.45pt;width:135.85pt;height:124.35pt;z-index:-251570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" filled="f" stroked="f">
                <v:textbox>
                  <w:txbxContent>
                    <w:p w:rsidR="004E6889" w:rsidRPr="0093660E" w:rsidRDefault="004E6889" w:rsidP="0093660E">
                      <w:pPr>
                        <w:spacing w:before="0" w:after="160" w:line="259" w:lineRule="auto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 w:rsidRPr="0093660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Wyprzedzający wskaźnik ufności konsumenckiej jest średnią sald ocen zmian sytuacji finansowej gospodarstwa domowego, ogólnej sytuacji ekonomicznej kraju, trendów poziomu bezrobocia (ze znakiem przeciwnym) i oszczędzania pienięd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zy w najbliższych 12 miesiącach</w:t>
                      </w:r>
                    </w:p>
                    <w:p w:rsidR="004E6889" w:rsidRPr="0093660E" w:rsidRDefault="004E6889" w:rsidP="0093660E">
                      <w:pPr>
                        <w:pStyle w:val="tytuwykresu"/>
                        <w:jc w:val="both"/>
                        <w:rPr>
                          <w:rFonts w:eastAsia="Times New Roman" w:cs="Times New Roman"/>
                          <w:b w:val="0"/>
                          <w:bCs/>
                          <w:color w:val="001D77"/>
                          <w:spacing w:val="0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E61ED" w:rsidRPr="005A36AA">
        <w:rPr>
          <w:b/>
          <w:spacing w:val="-2"/>
          <w:sz w:val="18"/>
          <w:shd w:val="clear" w:color="auto" w:fill="FFFFFF"/>
        </w:rPr>
        <w:t>Tablica</w:t>
      </w:r>
      <w:r w:rsidR="004E61ED">
        <w:rPr>
          <w:b/>
          <w:spacing w:val="-2"/>
          <w:sz w:val="18"/>
          <w:shd w:val="clear" w:color="auto" w:fill="FFFFFF"/>
        </w:rPr>
        <w:t xml:space="preserve"> 2</w:t>
      </w:r>
      <w:r w:rsidR="004E61ED" w:rsidRPr="0057036A">
        <w:rPr>
          <w:b/>
          <w:spacing w:val="-2"/>
          <w:sz w:val="18"/>
          <w:shd w:val="clear" w:color="auto" w:fill="FFFFFF"/>
        </w:rPr>
        <w:t xml:space="preserve">. </w:t>
      </w:r>
      <w:r w:rsidR="00A217E6">
        <w:rPr>
          <w:b/>
          <w:spacing w:val="-2"/>
          <w:sz w:val="18"/>
          <w:shd w:val="clear" w:color="auto" w:fill="FFFFFF"/>
        </w:rPr>
        <w:t>Wyprzedzający</w:t>
      </w:r>
      <w:r w:rsidR="004E61ED" w:rsidRPr="005A36AA">
        <w:rPr>
          <w:b/>
          <w:spacing w:val="-2"/>
          <w:sz w:val="18"/>
          <w:shd w:val="clear" w:color="auto" w:fill="FFFFFF"/>
        </w:rPr>
        <w:t xml:space="preserve"> </w:t>
      </w:r>
      <w:r w:rsidR="00A217E6">
        <w:rPr>
          <w:b/>
          <w:spacing w:val="-2"/>
          <w:sz w:val="18"/>
          <w:shd w:val="clear" w:color="auto" w:fill="FFFFFF"/>
        </w:rPr>
        <w:t>wskaźnik</w:t>
      </w:r>
      <w:r w:rsidR="00A217E6" w:rsidRPr="005A36AA">
        <w:rPr>
          <w:b/>
          <w:spacing w:val="-2"/>
          <w:sz w:val="18"/>
          <w:shd w:val="clear" w:color="auto" w:fill="FFFFFF"/>
        </w:rPr>
        <w:t xml:space="preserve"> </w:t>
      </w:r>
      <w:r w:rsidR="00A217E6">
        <w:rPr>
          <w:b/>
          <w:spacing w:val="-2"/>
          <w:sz w:val="18"/>
          <w:shd w:val="clear" w:color="auto" w:fill="FFFFFF"/>
        </w:rPr>
        <w:t>ufności</w:t>
      </w:r>
      <w:r w:rsidR="00A217E6" w:rsidRPr="005A36AA">
        <w:rPr>
          <w:b/>
          <w:spacing w:val="-2"/>
          <w:sz w:val="18"/>
          <w:shd w:val="clear" w:color="auto" w:fill="FFFFFF"/>
        </w:rPr>
        <w:t xml:space="preserve"> </w:t>
      </w:r>
      <w:r w:rsidR="00A217E6">
        <w:rPr>
          <w:b/>
          <w:spacing w:val="-2"/>
          <w:sz w:val="18"/>
          <w:shd w:val="clear" w:color="auto" w:fill="FFFFFF"/>
        </w:rPr>
        <w:t>konsumenckiej</w:t>
      </w:r>
    </w:p>
    <w:p w:rsidR="00E41497" w:rsidRPr="00BA3562" w:rsidRDefault="00E41497" w:rsidP="00A866F2">
      <w:pPr>
        <w:ind w:left="851" w:hanging="851"/>
        <w:rPr>
          <w:b/>
          <w:spacing w:val="-2"/>
          <w:sz w:val="18"/>
          <w:shd w:val="clear" w:color="auto" w:fill="FFFFFF"/>
        </w:rPr>
      </w:pPr>
    </w:p>
    <w:p w:rsidR="00CF6348" w:rsidRDefault="00CF6348" w:rsidP="00C562B2">
      <w:pPr>
        <w:pStyle w:val="tytuwykresu"/>
        <w:ind w:left="851" w:hanging="851"/>
      </w:pPr>
    </w:p>
    <w:p w:rsidR="00CF6348" w:rsidRDefault="00CF6348" w:rsidP="00C562B2">
      <w:pPr>
        <w:pStyle w:val="tytuwykresu"/>
        <w:ind w:left="851" w:hanging="851"/>
      </w:pPr>
    </w:p>
    <w:p w:rsidR="00C562B2" w:rsidRDefault="007F4E3D" w:rsidP="00C562B2">
      <w:pPr>
        <w:pStyle w:val="tytuwykresu"/>
        <w:ind w:left="851" w:hanging="851"/>
        <w:rPr>
          <w:shd w:val="clear" w:color="auto" w:fill="FFFFFF"/>
        </w:rPr>
      </w:pPr>
      <w:r w:rsidRPr="00341AC1">
        <w:rPr>
          <w:noProof/>
          <w:lang w:eastAsia="pl-PL"/>
        </w:rPr>
        <w:lastRenderedPageBreak/>
        <w:drawing>
          <wp:anchor distT="0" distB="0" distL="114300" distR="114300" simplePos="0" relativeHeight="2517473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474980</wp:posOffset>
            </wp:positionV>
            <wp:extent cx="5122545" cy="3832225"/>
            <wp:effectExtent l="0" t="0" r="1905" b="0"/>
            <wp:wrapSquare wrapText="bothSides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2B2" w:rsidRPr="00C15772">
        <w:t xml:space="preserve">Wykres </w:t>
      </w:r>
      <w:r w:rsidR="00C562B2">
        <w:t>3</w:t>
      </w:r>
      <w:r w:rsidR="00C562B2" w:rsidRPr="00C15772">
        <w:t>.</w:t>
      </w:r>
      <w:r w:rsidR="00C562B2" w:rsidRPr="00C15772">
        <w:rPr>
          <w:shd w:val="clear" w:color="auto" w:fill="FFFFFF"/>
        </w:rPr>
        <w:t xml:space="preserve"> </w:t>
      </w:r>
      <w:r w:rsidR="00A217E6">
        <w:rPr>
          <w:shd w:val="clear" w:color="auto" w:fill="FFFFFF"/>
        </w:rPr>
        <w:t>Wyprzedzający</w:t>
      </w:r>
      <w:r w:rsidR="00C562B2" w:rsidRPr="00C15772">
        <w:rPr>
          <w:shd w:val="clear" w:color="auto" w:fill="FFFFFF"/>
        </w:rPr>
        <w:t xml:space="preserve"> </w:t>
      </w:r>
      <w:r w:rsidR="00A217E6">
        <w:rPr>
          <w:shd w:val="clear" w:color="auto" w:fill="FFFFFF"/>
        </w:rPr>
        <w:t>wskaźnik ufności konsumenckiej</w:t>
      </w:r>
      <w:r w:rsidR="00A217E6" w:rsidRPr="00C15772">
        <w:rPr>
          <w:shd w:val="clear" w:color="auto" w:fill="FFFFFF"/>
        </w:rPr>
        <w:t xml:space="preserve"> </w:t>
      </w:r>
      <w:r w:rsidR="00A217E6">
        <w:rPr>
          <w:shd w:val="clear" w:color="auto" w:fill="FFFFFF"/>
        </w:rPr>
        <w:t>(WWUK) oraz jego wartości składowe według</w:t>
      </w:r>
      <w:r w:rsidR="00A217E6" w:rsidRPr="00C15772">
        <w:rPr>
          <w:shd w:val="clear" w:color="auto" w:fill="FFFFFF"/>
        </w:rPr>
        <w:t xml:space="preserve"> </w:t>
      </w:r>
      <w:r w:rsidR="00A217E6">
        <w:rPr>
          <w:shd w:val="clear" w:color="auto" w:fill="FFFFFF"/>
        </w:rPr>
        <w:t>miesięcy w</w:t>
      </w:r>
      <w:r w:rsidR="00A217E6" w:rsidRPr="00C15772">
        <w:rPr>
          <w:shd w:val="clear" w:color="auto" w:fill="FFFFFF"/>
        </w:rPr>
        <w:t xml:space="preserve"> </w:t>
      </w:r>
      <w:r w:rsidR="00A217E6">
        <w:rPr>
          <w:shd w:val="clear" w:color="auto" w:fill="FFFFFF"/>
        </w:rPr>
        <w:t>latach</w:t>
      </w:r>
      <w:r w:rsidR="00A217E6" w:rsidRPr="00C15772">
        <w:rPr>
          <w:shd w:val="clear" w:color="auto" w:fill="FFFFFF"/>
        </w:rPr>
        <w:t xml:space="preserve"> 2015–2018</w:t>
      </w:r>
    </w:p>
    <w:p w:rsidR="00C562B2" w:rsidRPr="00FD7BD2" w:rsidRDefault="00C562B2" w:rsidP="00C562B2"/>
    <w:p w:rsidR="00C562B2" w:rsidRDefault="003B3271" w:rsidP="00C562B2">
      <w:pPr>
        <w:pStyle w:val="tytuwykresu"/>
        <w:ind w:left="851" w:hanging="851"/>
        <w:rPr>
          <w:shd w:val="clear" w:color="auto" w:fill="FFFFFF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>
                <wp:simplePos x="0" y="0"/>
                <wp:positionH relativeFrom="column">
                  <wp:posOffset>337047</wp:posOffset>
                </wp:positionH>
                <wp:positionV relativeFrom="paragraph">
                  <wp:posOffset>3452495</wp:posOffset>
                </wp:positionV>
                <wp:extent cx="1502410" cy="269875"/>
                <wp:effectExtent l="0" t="0" r="2540" b="0"/>
                <wp:wrapSquare wrapText="bothSides"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889" w:rsidRPr="003B3271" w:rsidRDefault="004E6889" w:rsidP="003B3271">
                            <w:pPr>
                              <w:spacing w:before="0" w:after="0"/>
                              <w:rPr>
                                <w:sz w:val="14"/>
                              </w:rPr>
                            </w:pPr>
                            <w:r w:rsidRPr="003B3271">
                              <w:rPr>
                                <w:sz w:val="14"/>
                              </w:rPr>
                              <w:t>** kwiecień, lipiec, październik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6.55pt;margin-top:271.85pt;width:118.3pt;height:21.2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" stroked="f">
                <v:textbox>
                  <w:txbxContent>
                    <w:p w:rsidR="004E6889" w:rsidRPr="003B3271" w:rsidRDefault="004E6889" w:rsidP="003B3271">
                      <w:pPr>
                        <w:spacing w:before="0" w:after="0"/>
                        <w:rPr>
                          <w:sz w:val="14"/>
                        </w:rPr>
                      </w:pPr>
                      <w:r w:rsidRPr="003B3271">
                        <w:rPr>
                          <w:sz w:val="14"/>
                        </w:rPr>
                        <w:t>** kwiecień, lipiec, październik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AC1">
        <w:rPr>
          <w:noProof/>
          <w:lang w:eastAsia="pl-PL"/>
        </w:rPr>
        <w:drawing>
          <wp:anchor distT="0" distB="0" distL="114300" distR="114300" simplePos="0" relativeHeight="251749376" behindDoc="0" locked="0" layoutInCell="1" allowOverlap="1" wp14:anchorId="6A496C9D" wp14:editId="1DD8A87E">
            <wp:simplePos x="0" y="0"/>
            <wp:positionH relativeFrom="margin">
              <wp:align>right</wp:align>
            </wp:positionH>
            <wp:positionV relativeFrom="margin">
              <wp:posOffset>4935220</wp:posOffset>
            </wp:positionV>
            <wp:extent cx="5122545" cy="3927475"/>
            <wp:effectExtent l="0" t="0" r="1905" b="0"/>
            <wp:wrapSquare wrapText="bothSides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2B2" w:rsidRPr="00C15772">
        <w:t xml:space="preserve">Wykres </w:t>
      </w:r>
      <w:r w:rsidR="00C562B2">
        <w:t>4</w:t>
      </w:r>
      <w:r w:rsidR="00C562B2" w:rsidRPr="00C15772">
        <w:t>.</w:t>
      </w:r>
      <w:r w:rsidR="00C562B2" w:rsidRPr="00C15772">
        <w:rPr>
          <w:shd w:val="clear" w:color="auto" w:fill="FFFFFF"/>
        </w:rPr>
        <w:t xml:space="preserve"> </w:t>
      </w:r>
      <w:r w:rsidR="00F87A89">
        <w:rPr>
          <w:shd w:val="clear" w:color="auto" w:fill="FFFFFF"/>
        </w:rPr>
        <w:t>Wyprzedzający</w:t>
      </w:r>
      <w:r w:rsidR="00C562B2" w:rsidRPr="00C15772">
        <w:rPr>
          <w:shd w:val="clear" w:color="auto" w:fill="FFFFFF"/>
        </w:rPr>
        <w:t xml:space="preserve"> </w:t>
      </w:r>
      <w:r w:rsidR="00F87A89">
        <w:rPr>
          <w:shd w:val="clear" w:color="auto" w:fill="FFFFFF"/>
        </w:rPr>
        <w:t>wskaźnik</w:t>
      </w:r>
      <w:r w:rsidR="00F87A89" w:rsidRPr="00C15772">
        <w:rPr>
          <w:shd w:val="clear" w:color="auto" w:fill="FFFFFF"/>
        </w:rPr>
        <w:t xml:space="preserve"> </w:t>
      </w:r>
      <w:r w:rsidR="00F87A89">
        <w:rPr>
          <w:shd w:val="clear" w:color="auto" w:fill="FFFFFF"/>
        </w:rPr>
        <w:t>ufności</w:t>
      </w:r>
      <w:r w:rsidR="00F87A89" w:rsidRPr="00C15772">
        <w:rPr>
          <w:shd w:val="clear" w:color="auto" w:fill="FFFFFF"/>
        </w:rPr>
        <w:t xml:space="preserve"> </w:t>
      </w:r>
      <w:r w:rsidR="00F87A89">
        <w:rPr>
          <w:shd w:val="clear" w:color="auto" w:fill="FFFFFF"/>
        </w:rPr>
        <w:t>konsumenckiej (WWUK) oraz jego wartości składowe według lat</w:t>
      </w:r>
    </w:p>
    <w:p w:rsidR="00CF6348" w:rsidRDefault="00CF6348" w:rsidP="00C562B2">
      <w:pPr>
        <w:pStyle w:val="tytuwykresu"/>
        <w:ind w:left="851" w:hanging="851"/>
        <w:rPr>
          <w:shd w:val="clear" w:color="auto" w:fill="FFFFFF"/>
        </w:rPr>
      </w:pPr>
    </w:p>
    <w:p w:rsidR="00CF6348" w:rsidRDefault="00CF6348" w:rsidP="00C562B2">
      <w:pPr>
        <w:pStyle w:val="tytuwykresu"/>
        <w:ind w:left="851" w:hanging="851"/>
        <w:rPr>
          <w:shd w:val="clear" w:color="auto" w:fill="FFFFFF"/>
        </w:rPr>
      </w:pPr>
    </w:p>
    <w:p w:rsidR="00CF6348" w:rsidRPr="00CF6348" w:rsidRDefault="00CF6348" w:rsidP="00CF6348">
      <w:pPr>
        <w:rPr>
          <w:lang w:eastAsia="pl-PL"/>
        </w:rPr>
      </w:pPr>
    </w:p>
    <w:p w:rsidR="00694AF0" w:rsidRPr="00001C5B" w:rsidRDefault="00694AF0" w:rsidP="00E76D26">
      <w:pPr>
        <w:rPr>
          <w:sz w:val="18"/>
        </w:rPr>
        <w:sectPr w:rsidR="00694AF0" w:rsidRPr="00001C5B" w:rsidSect="003B18B6">
          <w:headerReference w:type="default" r:id="rId17"/>
          <w:footerReference w:type="default" r:id="rId18"/>
          <w:headerReference w:type="first" r:id="rId19"/>
          <w:footerReference w:type="first" r:id="rId20"/>
          <w:footnotePr>
            <w:numFmt w:val="chicago"/>
          </w:footnotePr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p w:rsidR="000470AA" w:rsidRDefault="000470AA" w:rsidP="000470AA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39"/>
        <w:gridCol w:w="3828"/>
      </w:tblGrid>
      <w:tr w:rsidR="000470AA" w:rsidRPr="00A06A63" w:rsidTr="00F87A89">
        <w:trPr>
          <w:trHeight w:val="1912"/>
        </w:trPr>
        <w:tc>
          <w:tcPr>
            <w:tcW w:w="4239" w:type="dxa"/>
          </w:tcPr>
          <w:p w:rsidR="000470AA" w:rsidRPr="008F3638" w:rsidRDefault="000470AA" w:rsidP="004266E2">
            <w:pPr>
              <w:spacing w:before="0" w:after="0" w:line="276" w:lineRule="auto"/>
              <w:ind w:right="587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:rsidR="000470AA" w:rsidRDefault="0052620B" w:rsidP="00D0079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rFonts w:cs="Arial"/>
                <w:b/>
                <w:color w:val="000000" w:themeColor="text1"/>
                <w:sz w:val="20"/>
              </w:rPr>
              <w:t>Urząd Statystyczny w Łodzi</w:t>
            </w:r>
          </w:p>
          <w:p w:rsidR="0052620B" w:rsidRPr="008F3638" w:rsidRDefault="0052620B" w:rsidP="004266E2">
            <w:pPr>
              <w:spacing w:before="0" w:after="0" w:line="240" w:lineRule="auto"/>
              <w:ind w:right="729"/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rFonts w:cs="Arial"/>
                <w:b/>
                <w:color w:val="000000" w:themeColor="text1"/>
                <w:sz w:val="20"/>
              </w:rPr>
              <w:t>Ośrodek Warunków Życia i Badań Ankietowych</w:t>
            </w:r>
          </w:p>
          <w:p w:rsidR="000470AA" w:rsidRPr="00BB4F09" w:rsidRDefault="0052620B" w:rsidP="00051E07">
            <w:pPr>
              <w:pStyle w:val="Nagwek3"/>
              <w:spacing w:before="0" w:line="240" w:lineRule="auto"/>
              <w:ind w:right="303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Iwona Ulanowska</w:t>
            </w:r>
          </w:p>
          <w:p w:rsidR="000470AA" w:rsidRPr="008F3638" w:rsidRDefault="0052620B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4</w:t>
            </w:r>
            <w:r w:rsidR="000470AA"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2 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683</w:t>
            </w:r>
            <w:r w:rsidR="00EB5A7D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91</w:t>
            </w:r>
            <w:r w:rsidR="00EB5A7D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73</w:t>
            </w:r>
          </w:p>
          <w:p w:rsidR="000470AA" w:rsidRPr="008F3638" w:rsidRDefault="000470AA" w:rsidP="0052620B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  <w:r w:rsidRPr="00655E7E">
              <w:rPr>
                <w:rFonts w:ascii="Fira Sans" w:hAnsi="Fira Sans" w:cs="Arial"/>
                <w:b/>
                <w:color w:val="000000" w:themeColor="text1"/>
                <w:sz w:val="20"/>
                <w:szCs w:val="20"/>
              </w:rPr>
              <w:t xml:space="preserve">e-mail: </w:t>
            </w:r>
            <w:hyperlink r:id="rId21" w:history="1">
              <w:r w:rsidR="0052620B" w:rsidRPr="00655E7E">
                <w:rPr>
                  <w:rStyle w:val="Hipercze"/>
                  <w:rFonts w:ascii="Fira Sans" w:hAnsi="Fira Sans" w:cs="Arial"/>
                  <w:b/>
                  <w:sz w:val="20"/>
                  <w:szCs w:val="20"/>
                </w:rPr>
                <w:t>i.ulanowska@stat.gov.pl</w:t>
              </w:r>
            </w:hyperlink>
          </w:p>
        </w:tc>
        <w:tc>
          <w:tcPr>
            <w:tcW w:w="3828" w:type="dxa"/>
          </w:tcPr>
          <w:p w:rsidR="000470AA" w:rsidRPr="008F3638" w:rsidRDefault="000470AA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Dawidziuk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22 608 3475, 22 608 3009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22" w:history="1">
              <w:r w:rsidRPr="008F3638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US"/>
                </w:rPr>
                <w:t>rzecznik@stat.gov.pl</w:t>
              </w:r>
            </w:hyperlink>
          </w:p>
        </w:tc>
      </w:tr>
    </w:tbl>
    <w:p w:rsidR="000470AA" w:rsidRPr="00530074" w:rsidRDefault="000470AA" w:rsidP="000470AA">
      <w:pPr>
        <w:rPr>
          <w:sz w:val="20"/>
          <w:lang w:val="en-US"/>
        </w:rPr>
      </w:pPr>
    </w:p>
    <w:p w:rsidR="000470AA" w:rsidRPr="00530074" w:rsidRDefault="000470AA" w:rsidP="000470AA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470AA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0470AA" w:rsidRPr="00C91687" w:rsidRDefault="000470AA" w:rsidP="000470AA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:rsidR="000470AA" w:rsidRPr="00C91687" w:rsidRDefault="000470AA" w:rsidP="000470AA">
            <w:pPr>
              <w:rPr>
                <w:sz w:val="20"/>
              </w:rPr>
            </w:pPr>
            <w:r w:rsidRPr="00C91687">
              <w:rPr>
                <w:b/>
                <w:sz w:val="20"/>
              </w:rPr>
              <w:t xml:space="preserve">tel.: </w:t>
            </w:r>
            <w:r w:rsidR="00097840">
              <w:rPr>
                <w:sz w:val="20"/>
              </w:rPr>
              <w:t>22 608 34 91, 22</w:t>
            </w:r>
            <w:r w:rsidRPr="00C91687">
              <w:rPr>
                <w:sz w:val="20"/>
              </w:rPr>
              <w:t xml:space="preserve"> 608 38 04 </w:t>
            </w:r>
          </w:p>
          <w:p w:rsidR="000470AA" w:rsidRPr="00530074" w:rsidRDefault="000470AA" w:rsidP="000470AA">
            <w:pPr>
              <w:rPr>
                <w:sz w:val="20"/>
                <w:lang w:val="en-US"/>
              </w:rPr>
            </w:pPr>
            <w:r w:rsidRPr="00530074">
              <w:rPr>
                <w:b/>
                <w:sz w:val="20"/>
                <w:lang w:val="en-US"/>
              </w:rPr>
              <w:t>faks:</w:t>
            </w:r>
            <w:r w:rsidR="00097840" w:rsidRPr="00530074">
              <w:rPr>
                <w:sz w:val="20"/>
                <w:lang w:val="en-US"/>
              </w:rPr>
              <w:t xml:space="preserve"> 22</w:t>
            </w:r>
            <w:r w:rsidRPr="00530074">
              <w:rPr>
                <w:sz w:val="20"/>
                <w:lang w:val="en-US"/>
              </w:rPr>
              <w:t xml:space="preserve"> 608 38 86 </w:t>
            </w:r>
          </w:p>
          <w:p w:rsidR="000470AA" w:rsidRPr="00530074" w:rsidRDefault="000470AA" w:rsidP="000470AA">
            <w:pPr>
              <w:rPr>
                <w:sz w:val="18"/>
                <w:lang w:val="en-US"/>
              </w:rPr>
            </w:pPr>
            <w:r w:rsidRPr="00530074">
              <w:rPr>
                <w:b/>
                <w:sz w:val="20"/>
                <w:lang w:val="en-US"/>
              </w:rPr>
              <w:t>e-mail:</w:t>
            </w:r>
            <w:r w:rsidRPr="00530074">
              <w:rPr>
                <w:sz w:val="20"/>
                <w:lang w:val="en-US"/>
              </w:rPr>
              <w:t xml:space="preserve"> </w:t>
            </w:r>
            <w:hyperlink r:id="rId23" w:history="1">
              <w:r w:rsidRPr="00530074">
                <w:rPr>
                  <w:rStyle w:val="Hipercze"/>
                  <w:rFonts w:cstheme="minorBidi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530074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0470AA" w:rsidRDefault="000470AA" w:rsidP="000470AA">
            <w:pPr>
              <w:rPr>
                <w:sz w:val="20"/>
              </w:rPr>
            </w:pPr>
            <w:r w:rsidRPr="003D5F42">
              <w:rPr>
                <w:sz w:val="20"/>
              </w:rPr>
              <w:t>@GlownyUrzadStatystyczny</w:t>
            </w:r>
          </w:p>
        </w:tc>
      </w:tr>
    </w:tbl>
    <w:p w:rsidR="00D261A2" w:rsidRPr="00001C5B" w:rsidRDefault="001448A7" w:rsidP="00E76D26">
      <w:pPr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5029F7C" wp14:editId="30AD5002">
                <wp:simplePos x="0" y="0"/>
                <wp:positionH relativeFrom="margin">
                  <wp:posOffset>19229</wp:posOffset>
                </wp:positionH>
                <wp:positionV relativeFrom="paragraph">
                  <wp:posOffset>425682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889" w:rsidRDefault="004E6889" w:rsidP="00AB6D25">
                            <w:pPr>
                              <w:rPr>
                                <w:b/>
                              </w:rPr>
                            </w:pPr>
                          </w:p>
                          <w:p w:rsidR="004E6889" w:rsidRPr="00C51D06" w:rsidRDefault="004E6889" w:rsidP="00AB6D25">
                            <w:pPr>
                              <w:rPr>
                                <w:b/>
                              </w:rPr>
                            </w:pPr>
                            <w:r w:rsidRPr="00C51D06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4E6889" w:rsidRPr="00F65B91" w:rsidRDefault="00EC53E8" w:rsidP="009942D1">
                            <w:pPr>
                              <w:rPr>
                                <w:rStyle w:val="Hipercze"/>
                                <w:rFonts w:cs="Arial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7" w:history="1">
                              <w:r w:rsidR="004E6889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Koniunktura w przemyśle, budownictwie, handlu i usługach w kwietniu 2018 roku</w:t>
                              </w:r>
                            </w:hyperlink>
                          </w:p>
                          <w:p w:rsidR="004E6889" w:rsidRPr="00C51D06" w:rsidRDefault="00EC53E8" w:rsidP="009942D1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8" w:history="1">
                              <w:r w:rsidR="004E6889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Biuletyn Statystyczny Nr 3/2018</w:t>
                              </w:r>
                            </w:hyperlink>
                          </w:p>
                          <w:p w:rsidR="004E6889" w:rsidRPr="00C51D06" w:rsidRDefault="004E6889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4E6889" w:rsidRPr="00655E7E" w:rsidRDefault="004E6889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655E7E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="004E6889" w:rsidRPr="00E827EF" w:rsidRDefault="00EC53E8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9" w:history="1">
                              <w:r w:rsidR="004E6889" w:rsidRPr="00E827EF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Dziedzinowa Baza Wiedzy Warunki Życia Ludności</w:t>
                              </w:r>
                            </w:hyperlink>
                          </w:p>
                          <w:p w:rsidR="004E6889" w:rsidRPr="00C267CA" w:rsidRDefault="004E6889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29F7C" id="_x0000_s1033" type="#_x0000_t202" style="position:absolute;margin-left:1.5pt;margin-top:33.5pt;width:516.5pt;height:349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" fillcolor="#f2f2f2 [3052]" strokecolor="white [3212]">
                <v:textbox>
                  <w:txbxContent>
                    <w:p w:rsidR="004E6889" w:rsidRDefault="004E6889" w:rsidP="00AB6D25">
                      <w:pPr>
                        <w:rPr>
                          <w:b/>
                        </w:rPr>
                      </w:pPr>
                    </w:p>
                    <w:p w:rsidR="004E6889" w:rsidRPr="00C51D06" w:rsidRDefault="004E6889" w:rsidP="00AB6D25">
                      <w:pPr>
                        <w:rPr>
                          <w:b/>
                        </w:rPr>
                      </w:pPr>
                      <w:r w:rsidRPr="00C51D06">
                        <w:rPr>
                          <w:b/>
                        </w:rPr>
                        <w:t>Powiązane opracowania</w:t>
                      </w:r>
                    </w:p>
                    <w:p w:rsidR="004E6889" w:rsidRPr="00F65B91" w:rsidRDefault="004E6889" w:rsidP="009942D1">
                      <w:pPr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0" w:history="1">
                        <w:r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Koniunktura w przemyśle, budownictwie, handlu i usługach w kwietniu 2018 roku</w:t>
                        </w:r>
                      </w:hyperlink>
                    </w:p>
                    <w:p w:rsidR="004E6889" w:rsidRPr="00C51D06" w:rsidRDefault="004E6889" w:rsidP="009942D1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1" w:history="1">
                        <w:r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Biuletyn Statystyczny Nr 3/2018</w:t>
                        </w:r>
                      </w:hyperlink>
                    </w:p>
                    <w:p w:rsidR="004E6889" w:rsidRPr="00C51D06" w:rsidRDefault="004E6889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4E6889" w:rsidRPr="00655E7E" w:rsidRDefault="004E6889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655E7E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="004E6889" w:rsidRPr="00E827EF" w:rsidRDefault="004E6889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2" w:history="1">
                        <w:r w:rsidRPr="00E827EF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Dziedzinowa Baza Wiedzy Warunki Życia Ludności</w:t>
                        </w:r>
                      </w:hyperlink>
                    </w:p>
                    <w:p w:rsidR="004E6889" w:rsidRPr="00C267CA" w:rsidRDefault="004E6889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3B18B6">
      <w:headerReference w:type="default" r:id="rId33"/>
      <w:footerReference w:type="default" r:id="rId34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3E8" w:rsidRDefault="00EC53E8" w:rsidP="000662E2">
      <w:pPr>
        <w:spacing w:after="0" w:line="240" w:lineRule="auto"/>
      </w:pPr>
      <w:r>
        <w:separator/>
      </w:r>
    </w:p>
  </w:endnote>
  <w:endnote w:type="continuationSeparator" w:id="0">
    <w:p w:rsidR="00EC53E8" w:rsidRDefault="00EC53E8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410854"/>
      <w:docPartObj>
        <w:docPartGallery w:val="Page Numbers (Bottom of Page)"/>
        <w:docPartUnique/>
      </w:docPartObj>
    </w:sdtPr>
    <w:sdtEndPr/>
    <w:sdtContent>
      <w:p w:rsidR="004E6889" w:rsidRDefault="004E6889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9B3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321397"/>
      <w:docPartObj>
        <w:docPartGallery w:val="Page Numbers (Bottom of Page)"/>
        <w:docPartUnique/>
      </w:docPartObj>
    </w:sdtPr>
    <w:sdtEndPr/>
    <w:sdtContent>
      <w:p w:rsidR="004E6889" w:rsidRDefault="004E6889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9B3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:rsidR="004E6889" w:rsidRDefault="004E6889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9B3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3E8" w:rsidRDefault="00EC53E8" w:rsidP="000662E2">
      <w:pPr>
        <w:spacing w:after="0" w:line="240" w:lineRule="auto"/>
      </w:pPr>
      <w:r>
        <w:separator/>
      </w:r>
    </w:p>
  </w:footnote>
  <w:footnote w:type="continuationSeparator" w:id="0">
    <w:p w:rsidR="00EC53E8" w:rsidRDefault="00EC53E8" w:rsidP="000662E2">
      <w:pPr>
        <w:spacing w:after="0" w:line="240" w:lineRule="auto"/>
      </w:pPr>
      <w:r>
        <w:continuationSeparator/>
      </w:r>
    </w:p>
  </w:footnote>
  <w:footnote w:id="1">
    <w:p w:rsidR="004E6889" w:rsidRPr="00EC6435" w:rsidRDefault="004E6889" w:rsidP="005B3A86">
      <w:pPr>
        <w:pStyle w:val="Default"/>
        <w:rPr>
          <w:rFonts w:ascii="Fira Sans" w:hAnsi="Fira Sans" w:cs="Fira Sans"/>
        </w:rPr>
      </w:pPr>
      <w:r>
        <w:rPr>
          <w:rStyle w:val="Odwoanieprzypisudolnego"/>
        </w:rPr>
        <w:footnoteRef/>
      </w:r>
      <w:r>
        <w:t xml:space="preserve"> </w:t>
      </w:r>
      <w:r w:rsidRPr="00210F89">
        <w:rPr>
          <w:rFonts w:ascii="Fira Sans" w:hAnsi="Fira Sans" w:cs="Fira Sans"/>
          <w:sz w:val="16"/>
          <w:szCs w:val="19"/>
        </w:rPr>
        <w:t xml:space="preserve">Obydwa wskaźniki ufności konsumenckiej mogą przyjmować wartości od –100 do +100. Wartość dodatnia oznacza przewagę liczebną konsumentów nastawionych optymistycznie nad konsumentami nastawionymi pesymistycznie, natomiast wartość ujemna oznacza przewagę liczebną konsumentów nastawionych pesymistycznie nad konsumentami nastawionymi optymistycznie. </w:t>
      </w:r>
      <w:r w:rsidRPr="00210F89">
        <w:rPr>
          <w:rFonts w:ascii="Fira Sans" w:hAnsi="Fira Sans"/>
          <w:noProof/>
          <w:sz w:val="16"/>
        </w:rPr>
        <w:t xml:space="preserve">W </w:t>
      </w:r>
      <w:r w:rsidR="00285ED8">
        <w:rPr>
          <w:rFonts w:ascii="Fira Sans" w:hAnsi="Fira Sans"/>
          <w:noProof/>
          <w:sz w:val="16"/>
        </w:rPr>
        <w:t>maju</w:t>
      </w:r>
      <w:r>
        <w:rPr>
          <w:rFonts w:ascii="Fira Sans" w:hAnsi="Fira Sans"/>
          <w:noProof/>
          <w:sz w:val="16"/>
        </w:rPr>
        <w:t xml:space="preserve"> 2018 r. przeprowadzono 1316 wywiadów</w:t>
      </w:r>
      <w:r w:rsidRPr="00210F89">
        <w:rPr>
          <w:rFonts w:ascii="Fira Sans" w:hAnsi="Fira Sans"/>
          <w:noProof/>
          <w:sz w:val="16"/>
        </w:rPr>
        <w:t xml:space="preserve"> w</w:t>
      </w:r>
      <w:r>
        <w:rPr>
          <w:rFonts w:ascii="Fira Sans" w:hAnsi="Fira Sans"/>
          <w:noProof/>
          <w:sz w:val="16"/>
        </w:rPr>
        <w:t> </w:t>
      </w:r>
      <w:r w:rsidRPr="00210F89">
        <w:rPr>
          <w:rFonts w:ascii="Fira Sans" w:hAnsi="Fira Sans"/>
          <w:noProof/>
          <w:sz w:val="16"/>
        </w:rPr>
        <w:t>ok</w:t>
      </w:r>
      <w:r>
        <w:rPr>
          <w:rFonts w:ascii="Fira Sans" w:hAnsi="Fira Sans"/>
          <w:noProof/>
          <w:sz w:val="16"/>
        </w:rPr>
        <w:t>resie 07-16.05.2018 r. (w tym 104</w:t>
      </w:r>
      <w:r w:rsidRPr="00210F89">
        <w:rPr>
          <w:rFonts w:ascii="Fira Sans" w:hAnsi="Fira Sans"/>
          <w:noProof/>
          <w:sz w:val="16"/>
        </w:rPr>
        <w:t xml:space="preserve"> metodą CATI – wywiadu telefonicznego wspomaganego komputerowo).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9" w:rsidRDefault="004E6889">
    <w:pPr>
      <w:pStyle w:val="Nagwek"/>
    </w:pPr>
  </w:p>
  <w:p w:rsidR="004E6889" w:rsidRDefault="004E688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ADAE8A4" wp14:editId="0B1BA157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D10F4F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9" w:rsidRDefault="00AB2C3E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2286000" cy="742950"/>
          <wp:effectExtent l="0" t="0" r="0" b="0"/>
          <wp:docPr id="4" name="Obraz 4" descr="as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s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6889"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A6F80E9" wp14:editId="72B13366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E6889" w:rsidRPr="003C6C8D" w:rsidRDefault="004E6889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6F80E9" id="Schemat blokowy: opóźnienie 6" o:spid="_x0000_s1034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4E6889" w:rsidRPr="003C6C8D" w:rsidRDefault="004E6889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 w:rsidR="004E68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22D3DA2" wp14:editId="3CA2341D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6DAABA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</w:p>
  <w:p w:rsidR="004E6889" w:rsidRDefault="004E6889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0608F51" wp14:editId="6366C388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6889" w:rsidRPr="00C97596" w:rsidRDefault="004E6889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23.05.2018</w:t>
                          </w:r>
                          <w:r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08F51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4E6889" w:rsidRPr="00C97596" w:rsidRDefault="004E6889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23.05.2018</w:t>
                    </w:r>
                    <w:r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9" w:rsidRDefault="004E6889">
    <w:pPr>
      <w:pStyle w:val="Nagwek"/>
    </w:pPr>
  </w:p>
  <w:p w:rsidR="004E6889" w:rsidRDefault="004E68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.95pt;height:124.6pt;visibility:visible;mso-wrap-style:square" o:bullet="t">
        <v:imagedata r:id="rId1" o:title=""/>
      </v:shape>
    </w:pict>
  </w:numPicBullet>
  <w:numPicBullet w:numPicBulletId="1">
    <w:pict>
      <v:shape id="_x0000_i1029" type="#_x0000_t75" style="width:123.95pt;height:124.6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ACF487E"/>
    <w:multiLevelType w:val="hybridMultilevel"/>
    <w:tmpl w:val="8FB6CCC2"/>
    <w:lvl w:ilvl="0" w:tplc="D08E87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E43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70CB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04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5694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1A11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687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DA8D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C07D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E3D4E0D"/>
    <w:multiLevelType w:val="hybridMultilevel"/>
    <w:tmpl w:val="0D5CF88A"/>
    <w:lvl w:ilvl="0" w:tplc="4D10BA6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A6C5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D4A1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807B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DCE1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5E24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66F1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382D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FAB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3437"/>
    <w:rsid w:val="0000709F"/>
    <w:rsid w:val="000108B8"/>
    <w:rsid w:val="000152F5"/>
    <w:rsid w:val="0004582E"/>
    <w:rsid w:val="000470AA"/>
    <w:rsid w:val="00047B35"/>
    <w:rsid w:val="00051E07"/>
    <w:rsid w:val="00053B77"/>
    <w:rsid w:val="00057CA1"/>
    <w:rsid w:val="000662E2"/>
    <w:rsid w:val="00066883"/>
    <w:rsid w:val="00072F74"/>
    <w:rsid w:val="00074DD8"/>
    <w:rsid w:val="000806E2"/>
    <w:rsid w:val="000806F7"/>
    <w:rsid w:val="00097840"/>
    <w:rsid w:val="000B0727"/>
    <w:rsid w:val="000B0D27"/>
    <w:rsid w:val="000B5253"/>
    <w:rsid w:val="000C135D"/>
    <w:rsid w:val="000C5F1F"/>
    <w:rsid w:val="000D0352"/>
    <w:rsid w:val="000D1D43"/>
    <w:rsid w:val="000D225C"/>
    <w:rsid w:val="000D29F7"/>
    <w:rsid w:val="000D2A5C"/>
    <w:rsid w:val="000E0918"/>
    <w:rsid w:val="000E60B4"/>
    <w:rsid w:val="000E615F"/>
    <w:rsid w:val="001011C3"/>
    <w:rsid w:val="00107A73"/>
    <w:rsid w:val="00110D87"/>
    <w:rsid w:val="00114DB9"/>
    <w:rsid w:val="0011502A"/>
    <w:rsid w:val="00116087"/>
    <w:rsid w:val="001174F6"/>
    <w:rsid w:val="001258BC"/>
    <w:rsid w:val="00130296"/>
    <w:rsid w:val="00131F96"/>
    <w:rsid w:val="00133BFC"/>
    <w:rsid w:val="001423B6"/>
    <w:rsid w:val="001448A7"/>
    <w:rsid w:val="00146621"/>
    <w:rsid w:val="00162325"/>
    <w:rsid w:val="00162C4B"/>
    <w:rsid w:val="00181035"/>
    <w:rsid w:val="00192832"/>
    <w:rsid w:val="001951DA"/>
    <w:rsid w:val="00197987"/>
    <w:rsid w:val="00197B94"/>
    <w:rsid w:val="001C3269"/>
    <w:rsid w:val="001D1DB4"/>
    <w:rsid w:val="001D2AA0"/>
    <w:rsid w:val="001D7E17"/>
    <w:rsid w:val="001F2A20"/>
    <w:rsid w:val="00210F89"/>
    <w:rsid w:val="00227C24"/>
    <w:rsid w:val="00255158"/>
    <w:rsid w:val="002574F9"/>
    <w:rsid w:val="00262B61"/>
    <w:rsid w:val="00276811"/>
    <w:rsid w:val="00282699"/>
    <w:rsid w:val="00285ED8"/>
    <w:rsid w:val="002926DF"/>
    <w:rsid w:val="0029516C"/>
    <w:rsid w:val="00296697"/>
    <w:rsid w:val="002971E7"/>
    <w:rsid w:val="002A3665"/>
    <w:rsid w:val="002B0472"/>
    <w:rsid w:val="002B2112"/>
    <w:rsid w:val="002B6B12"/>
    <w:rsid w:val="002C458A"/>
    <w:rsid w:val="002D5918"/>
    <w:rsid w:val="002E0940"/>
    <w:rsid w:val="002E6140"/>
    <w:rsid w:val="002E6985"/>
    <w:rsid w:val="002E71B6"/>
    <w:rsid w:val="002F22D2"/>
    <w:rsid w:val="002F5124"/>
    <w:rsid w:val="002F77C8"/>
    <w:rsid w:val="00304F22"/>
    <w:rsid w:val="00306C7C"/>
    <w:rsid w:val="00320B84"/>
    <w:rsid w:val="00322EDD"/>
    <w:rsid w:val="00332320"/>
    <w:rsid w:val="003346B1"/>
    <w:rsid w:val="00341AC1"/>
    <w:rsid w:val="00345AB6"/>
    <w:rsid w:val="00347D72"/>
    <w:rsid w:val="00351316"/>
    <w:rsid w:val="0035420B"/>
    <w:rsid w:val="00357611"/>
    <w:rsid w:val="00367237"/>
    <w:rsid w:val="003701DE"/>
    <w:rsid w:val="0037077F"/>
    <w:rsid w:val="00372411"/>
    <w:rsid w:val="00373882"/>
    <w:rsid w:val="00380DFD"/>
    <w:rsid w:val="003843DB"/>
    <w:rsid w:val="00393761"/>
    <w:rsid w:val="00394115"/>
    <w:rsid w:val="00396FC5"/>
    <w:rsid w:val="00397D18"/>
    <w:rsid w:val="003A1B36"/>
    <w:rsid w:val="003A3169"/>
    <w:rsid w:val="003B1454"/>
    <w:rsid w:val="003B18B6"/>
    <w:rsid w:val="003B3271"/>
    <w:rsid w:val="003C019D"/>
    <w:rsid w:val="003C59E0"/>
    <w:rsid w:val="003C6C8D"/>
    <w:rsid w:val="003C78F1"/>
    <w:rsid w:val="003D01F8"/>
    <w:rsid w:val="003D4F95"/>
    <w:rsid w:val="003D57EF"/>
    <w:rsid w:val="003D5F42"/>
    <w:rsid w:val="003D60A9"/>
    <w:rsid w:val="003E5F73"/>
    <w:rsid w:val="003F450F"/>
    <w:rsid w:val="003F4C97"/>
    <w:rsid w:val="003F514B"/>
    <w:rsid w:val="003F7FE6"/>
    <w:rsid w:val="00400193"/>
    <w:rsid w:val="004013C9"/>
    <w:rsid w:val="00401F1A"/>
    <w:rsid w:val="00406761"/>
    <w:rsid w:val="004212E7"/>
    <w:rsid w:val="0042446D"/>
    <w:rsid w:val="004266E2"/>
    <w:rsid w:val="00427BF8"/>
    <w:rsid w:val="00431318"/>
    <w:rsid w:val="00431C02"/>
    <w:rsid w:val="00437395"/>
    <w:rsid w:val="00445047"/>
    <w:rsid w:val="00463E39"/>
    <w:rsid w:val="004657FC"/>
    <w:rsid w:val="00465D66"/>
    <w:rsid w:val="00466732"/>
    <w:rsid w:val="004733F6"/>
    <w:rsid w:val="00474E69"/>
    <w:rsid w:val="00483BB4"/>
    <w:rsid w:val="00486E1D"/>
    <w:rsid w:val="0049621B"/>
    <w:rsid w:val="00496F49"/>
    <w:rsid w:val="0049754B"/>
    <w:rsid w:val="004B2FF7"/>
    <w:rsid w:val="004B7496"/>
    <w:rsid w:val="004C1895"/>
    <w:rsid w:val="004C6D40"/>
    <w:rsid w:val="004D268C"/>
    <w:rsid w:val="004D4078"/>
    <w:rsid w:val="004E312A"/>
    <w:rsid w:val="004E61ED"/>
    <w:rsid w:val="004E6889"/>
    <w:rsid w:val="004F0C3C"/>
    <w:rsid w:val="004F63FC"/>
    <w:rsid w:val="00500D94"/>
    <w:rsid w:val="00505A92"/>
    <w:rsid w:val="005203F1"/>
    <w:rsid w:val="00521BC3"/>
    <w:rsid w:val="0052620B"/>
    <w:rsid w:val="00530074"/>
    <w:rsid w:val="00533632"/>
    <w:rsid w:val="005336B5"/>
    <w:rsid w:val="00534B5E"/>
    <w:rsid w:val="005357E1"/>
    <w:rsid w:val="0053753D"/>
    <w:rsid w:val="00541E6E"/>
    <w:rsid w:val="0054251F"/>
    <w:rsid w:val="005479B1"/>
    <w:rsid w:val="005520D8"/>
    <w:rsid w:val="00555E43"/>
    <w:rsid w:val="00556CF1"/>
    <w:rsid w:val="00561BB7"/>
    <w:rsid w:val="0057036A"/>
    <w:rsid w:val="005762A7"/>
    <w:rsid w:val="00581651"/>
    <w:rsid w:val="005916D7"/>
    <w:rsid w:val="005930D9"/>
    <w:rsid w:val="005A36AA"/>
    <w:rsid w:val="005A653B"/>
    <w:rsid w:val="005A698C"/>
    <w:rsid w:val="005B3A86"/>
    <w:rsid w:val="005C433F"/>
    <w:rsid w:val="005E0799"/>
    <w:rsid w:val="005E0B91"/>
    <w:rsid w:val="005F0D73"/>
    <w:rsid w:val="005F4EA6"/>
    <w:rsid w:val="005F5A80"/>
    <w:rsid w:val="00600F7B"/>
    <w:rsid w:val="006044FF"/>
    <w:rsid w:val="00607CC5"/>
    <w:rsid w:val="00617810"/>
    <w:rsid w:val="00633014"/>
    <w:rsid w:val="0063437B"/>
    <w:rsid w:val="006404CD"/>
    <w:rsid w:val="0064135C"/>
    <w:rsid w:val="006508EE"/>
    <w:rsid w:val="00655E7E"/>
    <w:rsid w:val="00656AE2"/>
    <w:rsid w:val="00661ECB"/>
    <w:rsid w:val="00663D48"/>
    <w:rsid w:val="00665EB3"/>
    <w:rsid w:val="006673CA"/>
    <w:rsid w:val="00672418"/>
    <w:rsid w:val="00673C26"/>
    <w:rsid w:val="00676474"/>
    <w:rsid w:val="006765B6"/>
    <w:rsid w:val="006812AF"/>
    <w:rsid w:val="0068327D"/>
    <w:rsid w:val="00694AF0"/>
    <w:rsid w:val="00695B50"/>
    <w:rsid w:val="006962BC"/>
    <w:rsid w:val="006A4686"/>
    <w:rsid w:val="006B0E9E"/>
    <w:rsid w:val="006B5AE4"/>
    <w:rsid w:val="006C154F"/>
    <w:rsid w:val="006D1507"/>
    <w:rsid w:val="006D4054"/>
    <w:rsid w:val="006D6C0E"/>
    <w:rsid w:val="006E02EC"/>
    <w:rsid w:val="007004AD"/>
    <w:rsid w:val="00707207"/>
    <w:rsid w:val="0071553E"/>
    <w:rsid w:val="00715683"/>
    <w:rsid w:val="007211B1"/>
    <w:rsid w:val="007443DC"/>
    <w:rsid w:val="00744F8A"/>
    <w:rsid w:val="00745D81"/>
    <w:rsid w:val="00746187"/>
    <w:rsid w:val="0076254F"/>
    <w:rsid w:val="00775052"/>
    <w:rsid w:val="007801F5"/>
    <w:rsid w:val="00780EB6"/>
    <w:rsid w:val="00781AED"/>
    <w:rsid w:val="00783CA4"/>
    <w:rsid w:val="007842FB"/>
    <w:rsid w:val="00786124"/>
    <w:rsid w:val="0079514B"/>
    <w:rsid w:val="007A2DC1"/>
    <w:rsid w:val="007A7B28"/>
    <w:rsid w:val="007B7753"/>
    <w:rsid w:val="007D3319"/>
    <w:rsid w:val="007D335D"/>
    <w:rsid w:val="007E3314"/>
    <w:rsid w:val="007E4B03"/>
    <w:rsid w:val="007F324B"/>
    <w:rsid w:val="007F4E3D"/>
    <w:rsid w:val="0080553C"/>
    <w:rsid w:val="00805B46"/>
    <w:rsid w:val="00812A08"/>
    <w:rsid w:val="0082137A"/>
    <w:rsid w:val="0082262A"/>
    <w:rsid w:val="00825DC2"/>
    <w:rsid w:val="00834AD3"/>
    <w:rsid w:val="00843795"/>
    <w:rsid w:val="00847F0F"/>
    <w:rsid w:val="0085237B"/>
    <w:rsid w:val="00852448"/>
    <w:rsid w:val="00866947"/>
    <w:rsid w:val="0088258A"/>
    <w:rsid w:val="00886332"/>
    <w:rsid w:val="00886CAB"/>
    <w:rsid w:val="008908A3"/>
    <w:rsid w:val="00891FF7"/>
    <w:rsid w:val="00897772"/>
    <w:rsid w:val="008A26D9"/>
    <w:rsid w:val="008A2F86"/>
    <w:rsid w:val="008C0C29"/>
    <w:rsid w:val="008C2B4B"/>
    <w:rsid w:val="008D61B1"/>
    <w:rsid w:val="008E39CE"/>
    <w:rsid w:val="008F3638"/>
    <w:rsid w:val="008F4441"/>
    <w:rsid w:val="008F6F31"/>
    <w:rsid w:val="008F74DF"/>
    <w:rsid w:val="00907522"/>
    <w:rsid w:val="009127BA"/>
    <w:rsid w:val="00914E6D"/>
    <w:rsid w:val="009227A6"/>
    <w:rsid w:val="00931755"/>
    <w:rsid w:val="00933EC1"/>
    <w:rsid w:val="0093660E"/>
    <w:rsid w:val="009508AE"/>
    <w:rsid w:val="009530DB"/>
    <w:rsid w:val="00953676"/>
    <w:rsid w:val="00967DF8"/>
    <w:rsid w:val="009705EE"/>
    <w:rsid w:val="00977927"/>
    <w:rsid w:val="0098135C"/>
    <w:rsid w:val="0098156A"/>
    <w:rsid w:val="00991BAC"/>
    <w:rsid w:val="009942D1"/>
    <w:rsid w:val="00997879"/>
    <w:rsid w:val="009A5A6D"/>
    <w:rsid w:val="009A6EA0"/>
    <w:rsid w:val="009C1335"/>
    <w:rsid w:val="009C1AB2"/>
    <w:rsid w:val="009C59B3"/>
    <w:rsid w:val="009C7251"/>
    <w:rsid w:val="009E2E91"/>
    <w:rsid w:val="009F096D"/>
    <w:rsid w:val="009F1339"/>
    <w:rsid w:val="009F7114"/>
    <w:rsid w:val="009F71F6"/>
    <w:rsid w:val="00A0582E"/>
    <w:rsid w:val="00A06A63"/>
    <w:rsid w:val="00A139F5"/>
    <w:rsid w:val="00A201E6"/>
    <w:rsid w:val="00A217E6"/>
    <w:rsid w:val="00A2214D"/>
    <w:rsid w:val="00A35C72"/>
    <w:rsid w:val="00A365F4"/>
    <w:rsid w:val="00A47D80"/>
    <w:rsid w:val="00A53132"/>
    <w:rsid w:val="00A563F2"/>
    <w:rsid w:val="00A566E8"/>
    <w:rsid w:val="00A6713B"/>
    <w:rsid w:val="00A810F9"/>
    <w:rsid w:val="00A866F2"/>
    <w:rsid w:val="00A86ECC"/>
    <w:rsid w:val="00A86FCC"/>
    <w:rsid w:val="00AA5262"/>
    <w:rsid w:val="00AA710D"/>
    <w:rsid w:val="00AB2C3E"/>
    <w:rsid w:val="00AB6D25"/>
    <w:rsid w:val="00AC2AC4"/>
    <w:rsid w:val="00AC5371"/>
    <w:rsid w:val="00AC77DC"/>
    <w:rsid w:val="00AD7676"/>
    <w:rsid w:val="00AE2D4B"/>
    <w:rsid w:val="00AE4F99"/>
    <w:rsid w:val="00AE6789"/>
    <w:rsid w:val="00AF2F1E"/>
    <w:rsid w:val="00B00C09"/>
    <w:rsid w:val="00B11B69"/>
    <w:rsid w:val="00B12FBA"/>
    <w:rsid w:val="00B14952"/>
    <w:rsid w:val="00B27B18"/>
    <w:rsid w:val="00B27B58"/>
    <w:rsid w:val="00B31E5A"/>
    <w:rsid w:val="00B35A63"/>
    <w:rsid w:val="00B403A1"/>
    <w:rsid w:val="00B4483E"/>
    <w:rsid w:val="00B46A9F"/>
    <w:rsid w:val="00B61924"/>
    <w:rsid w:val="00B653AB"/>
    <w:rsid w:val="00B65F9E"/>
    <w:rsid w:val="00B66B19"/>
    <w:rsid w:val="00B7120E"/>
    <w:rsid w:val="00B733EE"/>
    <w:rsid w:val="00B81262"/>
    <w:rsid w:val="00B81EBE"/>
    <w:rsid w:val="00B85DBF"/>
    <w:rsid w:val="00B86BCA"/>
    <w:rsid w:val="00B914E9"/>
    <w:rsid w:val="00B9163F"/>
    <w:rsid w:val="00B956EE"/>
    <w:rsid w:val="00BA2BA1"/>
    <w:rsid w:val="00BA3562"/>
    <w:rsid w:val="00BB4F09"/>
    <w:rsid w:val="00BC2DDB"/>
    <w:rsid w:val="00BC44E4"/>
    <w:rsid w:val="00BD1E7E"/>
    <w:rsid w:val="00BD4E33"/>
    <w:rsid w:val="00BF0508"/>
    <w:rsid w:val="00BF61D5"/>
    <w:rsid w:val="00C030DE"/>
    <w:rsid w:val="00C074FD"/>
    <w:rsid w:val="00C15772"/>
    <w:rsid w:val="00C22105"/>
    <w:rsid w:val="00C244B6"/>
    <w:rsid w:val="00C25087"/>
    <w:rsid w:val="00C267CA"/>
    <w:rsid w:val="00C3702F"/>
    <w:rsid w:val="00C4500A"/>
    <w:rsid w:val="00C51D06"/>
    <w:rsid w:val="00C562B2"/>
    <w:rsid w:val="00C60D38"/>
    <w:rsid w:val="00C62895"/>
    <w:rsid w:val="00C63004"/>
    <w:rsid w:val="00C63B7B"/>
    <w:rsid w:val="00C64240"/>
    <w:rsid w:val="00C64A37"/>
    <w:rsid w:val="00C7158E"/>
    <w:rsid w:val="00C717C9"/>
    <w:rsid w:val="00C7250B"/>
    <w:rsid w:val="00C7346B"/>
    <w:rsid w:val="00C77C0E"/>
    <w:rsid w:val="00C91687"/>
    <w:rsid w:val="00C924A8"/>
    <w:rsid w:val="00C945FE"/>
    <w:rsid w:val="00C96FAA"/>
    <w:rsid w:val="00C97A04"/>
    <w:rsid w:val="00CA107B"/>
    <w:rsid w:val="00CA484D"/>
    <w:rsid w:val="00CA495C"/>
    <w:rsid w:val="00CA4FB6"/>
    <w:rsid w:val="00CB1737"/>
    <w:rsid w:val="00CB1BA1"/>
    <w:rsid w:val="00CC28D0"/>
    <w:rsid w:val="00CC739E"/>
    <w:rsid w:val="00CD178A"/>
    <w:rsid w:val="00CD49BB"/>
    <w:rsid w:val="00CD58B7"/>
    <w:rsid w:val="00CF4099"/>
    <w:rsid w:val="00CF6348"/>
    <w:rsid w:val="00D00796"/>
    <w:rsid w:val="00D029DF"/>
    <w:rsid w:val="00D24390"/>
    <w:rsid w:val="00D261A2"/>
    <w:rsid w:val="00D54347"/>
    <w:rsid w:val="00D60211"/>
    <w:rsid w:val="00D616D2"/>
    <w:rsid w:val="00D62602"/>
    <w:rsid w:val="00D63B5F"/>
    <w:rsid w:val="00D70EF7"/>
    <w:rsid w:val="00D8397C"/>
    <w:rsid w:val="00D90CB4"/>
    <w:rsid w:val="00D94EED"/>
    <w:rsid w:val="00D96026"/>
    <w:rsid w:val="00DA0438"/>
    <w:rsid w:val="00DA7C1C"/>
    <w:rsid w:val="00DB147A"/>
    <w:rsid w:val="00DB1B7A"/>
    <w:rsid w:val="00DC6708"/>
    <w:rsid w:val="00DD7916"/>
    <w:rsid w:val="00E01436"/>
    <w:rsid w:val="00E045BD"/>
    <w:rsid w:val="00E135B1"/>
    <w:rsid w:val="00E165BE"/>
    <w:rsid w:val="00E17B77"/>
    <w:rsid w:val="00E23337"/>
    <w:rsid w:val="00E2483C"/>
    <w:rsid w:val="00E259EA"/>
    <w:rsid w:val="00E32061"/>
    <w:rsid w:val="00E37334"/>
    <w:rsid w:val="00E41497"/>
    <w:rsid w:val="00E42FF9"/>
    <w:rsid w:val="00E4714C"/>
    <w:rsid w:val="00E51AEB"/>
    <w:rsid w:val="00E522A7"/>
    <w:rsid w:val="00E54452"/>
    <w:rsid w:val="00E664C5"/>
    <w:rsid w:val="00E671A2"/>
    <w:rsid w:val="00E76D26"/>
    <w:rsid w:val="00E827EF"/>
    <w:rsid w:val="00E832ED"/>
    <w:rsid w:val="00EB1390"/>
    <w:rsid w:val="00EB2C71"/>
    <w:rsid w:val="00EB4340"/>
    <w:rsid w:val="00EB556D"/>
    <w:rsid w:val="00EB5A7D"/>
    <w:rsid w:val="00EC53E8"/>
    <w:rsid w:val="00EC6435"/>
    <w:rsid w:val="00EC76B9"/>
    <w:rsid w:val="00ED55C0"/>
    <w:rsid w:val="00ED682B"/>
    <w:rsid w:val="00EE41D5"/>
    <w:rsid w:val="00F037A4"/>
    <w:rsid w:val="00F154DB"/>
    <w:rsid w:val="00F15F6E"/>
    <w:rsid w:val="00F27C8F"/>
    <w:rsid w:val="00F32323"/>
    <w:rsid w:val="00F32749"/>
    <w:rsid w:val="00F359FA"/>
    <w:rsid w:val="00F37172"/>
    <w:rsid w:val="00F4477E"/>
    <w:rsid w:val="00F45AD8"/>
    <w:rsid w:val="00F46013"/>
    <w:rsid w:val="00F478EF"/>
    <w:rsid w:val="00F65B91"/>
    <w:rsid w:val="00F6684A"/>
    <w:rsid w:val="00F67D8F"/>
    <w:rsid w:val="00F726A7"/>
    <w:rsid w:val="00F802BE"/>
    <w:rsid w:val="00F80E93"/>
    <w:rsid w:val="00F86024"/>
    <w:rsid w:val="00F8611A"/>
    <w:rsid w:val="00F87A89"/>
    <w:rsid w:val="00FA0634"/>
    <w:rsid w:val="00FA5128"/>
    <w:rsid w:val="00FA5F62"/>
    <w:rsid w:val="00FB42D4"/>
    <w:rsid w:val="00FB5906"/>
    <w:rsid w:val="00FB762F"/>
    <w:rsid w:val="00FC0725"/>
    <w:rsid w:val="00FC2AED"/>
    <w:rsid w:val="00FC64E0"/>
    <w:rsid w:val="00FD4F5A"/>
    <w:rsid w:val="00FD5EA7"/>
    <w:rsid w:val="00FD69E9"/>
    <w:rsid w:val="00FD7BD2"/>
    <w:rsid w:val="00FE6DF6"/>
    <w:rsid w:val="00FF1B51"/>
    <w:rsid w:val="00FF28AA"/>
    <w:rsid w:val="00FF48BB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customStyle="1" w:styleId="Default">
    <w:name w:val="Default"/>
    <w:rsid w:val="003A31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827EF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5F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footer" Target="footer1.xml"/><Relationship Id="rId26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yperlink" Target="mailto:i.ulanowska@stat.gov.pl" TargetMode="External"/><Relationship Id="rId34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30.emf"/><Relationship Id="rId17" Type="http://schemas.openxmlformats.org/officeDocument/2006/relationships/header" Target="header1.xml"/><Relationship Id="rId25" Type="http://schemas.openxmlformats.org/officeDocument/2006/relationships/image" Target="media/image6.png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chart" Target="charts/chart4.xml"/><Relationship Id="rId20" Type="http://schemas.openxmlformats.org/officeDocument/2006/relationships/footer" Target="footer2.xml"/><Relationship Id="rId29" Type="http://schemas.openxmlformats.org/officeDocument/2006/relationships/hyperlink" Target="http://swaid.stat.gov.pl/SitePagesDBW/WarunkiZyciaLudnosci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image" Target="media/image5.png"/><Relationship Id="rId32" Type="http://schemas.openxmlformats.org/officeDocument/2006/relationships/hyperlink" Target="http://swaid.stat.gov.pl/SitePagesDBW/WarunkiZyciaLudnosci.aspx" TargetMode="External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23" Type="http://schemas.openxmlformats.org/officeDocument/2006/relationships/hyperlink" Target="mailto:obslugaprasowa@stat.gov.pl" TargetMode="External"/><Relationship Id="rId28" Type="http://schemas.openxmlformats.org/officeDocument/2006/relationships/hyperlink" Target="http://stat.gov.pl/obszary-tematyczne/inne-opracowania/informacje-o-sytuacji-spoleczno-gospodarczej/biuletyn-statystyczny-nr-32018,4,74.html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31" Type="http://schemas.openxmlformats.org/officeDocument/2006/relationships/hyperlink" Target="http://stat.gov.pl/obszary-tematyczne/inne-opracowania/informacje-o-sytuacji-spoleczno-gospodarczej/biuletyn-statystyczny-nr-32018,4,74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Relationship Id="rId22" Type="http://schemas.openxmlformats.org/officeDocument/2006/relationships/hyperlink" Target="mailto:rzecznik@stat.gov.pl" TargetMode="External"/><Relationship Id="rId27" Type="http://schemas.openxmlformats.org/officeDocument/2006/relationships/hyperlink" Target="http://stat.gov.pl/obszary-tematyczne/koniunktura/koniunktura/koniunktura-w-przemysle-budownictwie-handlu-i-uslugach-w-kwietniu-2018-roku,3,65.html" TargetMode="External"/><Relationship Id="rId30" Type="http://schemas.openxmlformats.org/officeDocument/2006/relationships/hyperlink" Target="http://stat.gov.pl/obszary-tematyczne/koniunktura/koniunktura/koniunktura-w-przemysle-budownictwie-handlu-i-uslugach-w-kwietniu-2018-roku,3,65.html" TargetMode="Externa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2.xlsx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3109060047300714E-2"/>
          <c:y val="3.5143675222415377E-2"/>
          <c:w val="0.92572481061659784"/>
          <c:h val="0.695220749163543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Arkusz1!$C$1</c:f>
              <c:strCache>
                <c:ptCount val="1"/>
                <c:pt idx="0">
                  <c:v>BWUK</c:v>
                </c:pt>
              </c:strCache>
            </c:strRef>
          </c:tx>
          <c:spPr>
            <a:solidFill>
              <a:srgbClr val="008542"/>
            </a:solidFill>
            <a:ln>
              <a:noFill/>
            </a:ln>
            <a:effectLst/>
          </c:spPr>
          <c:invertIfNegative val="0"/>
          <c:cat>
            <c:multiLvlStrRef>
              <c:f>Arkusz1!$A$2:$B$85</c:f>
              <c:multiLvlStrCache>
                <c:ptCount val="41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 </c:v>
                  </c:pt>
                </c:lvl>
              </c:multiLvlStrCache>
            </c:multiLvlStrRef>
          </c:cat>
          <c:val>
            <c:numRef>
              <c:f>Arkusz1!$C$2:$C$85</c:f>
              <c:numCache>
                <c:formatCode>0.0</c:formatCode>
                <c:ptCount val="41"/>
                <c:pt idx="0">
                  <c:v>-11.7</c:v>
                </c:pt>
                <c:pt idx="1">
                  <c:v>-16.600000000000001</c:v>
                </c:pt>
                <c:pt idx="2">
                  <c:v>-16.399999999999999</c:v>
                </c:pt>
                <c:pt idx="3">
                  <c:v>-10.9</c:v>
                </c:pt>
                <c:pt idx="4">
                  <c:v>-13.6</c:v>
                </c:pt>
                <c:pt idx="5">
                  <c:v>-10.4</c:v>
                </c:pt>
                <c:pt idx="6">
                  <c:v>-10.9</c:v>
                </c:pt>
                <c:pt idx="7">
                  <c:v>-7.9</c:v>
                </c:pt>
                <c:pt idx="8">
                  <c:v>-9.9</c:v>
                </c:pt>
                <c:pt idx="9">
                  <c:v>-9.4</c:v>
                </c:pt>
                <c:pt idx="10">
                  <c:v>-3.9</c:v>
                </c:pt>
                <c:pt idx="11">
                  <c:v>-9.3000000000000007</c:v>
                </c:pt>
                <c:pt idx="12">
                  <c:v>-7</c:v>
                </c:pt>
                <c:pt idx="13">
                  <c:v>-6.2</c:v>
                </c:pt>
                <c:pt idx="14">
                  <c:v>-9.3000000000000007</c:v>
                </c:pt>
                <c:pt idx="15">
                  <c:v>-4.7</c:v>
                </c:pt>
                <c:pt idx="16">
                  <c:v>-6.7</c:v>
                </c:pt>
                <c:pt idx="17">
                  <c:v>-6.5</c:v>
                </c:pt>
                <c:pt idx="18">
                  <c:v>-5.6</c:v>
                </c:pt>
                <c:pt idx="19">
                  <c:v>-3.8</c:v>
                </c:pt>
                <c:pt idx="20">
                  <c:v>-2.4</c:v>
                </c:pt>
                <c:pt idx="21">
                  <c:v>-3.7</c:v>
                </c:pt>
                <c:pt idx="22">
                  <c:v>-2.4</c:v>
                </c:pt>
                <c:pt idx="23">
                  <c:v>-3.7</c:v>
                </c:pt>
                <c:pt idx="24">
                  <c:v>-1.2</c:v>
                </c:pt>
                <c:pt idx="25">
                  <c:v>-1.9</c:v>
                </c:pt>
                <c:pt idx="26">
                  <c:v>-2</c:v>
                </c:pt>
                <c:pt idx="27">
                  <c:v>-0.8</c:v>
                </c:pt>
                <c:pt idx="28">
                  <c:v>3.1</c:v>
                </c:pt>
                <c:pt idx="29">
                  <c:v>4.8</c:v>
                </c:pt>
                <c:pt idx="30">
                  <c:v>4</c:v>
                </c:pt>
                <c:pt idx="31">
                  <c:v>5.7</c:v>
                </c:pt>
                <c:pt idx="32">
                  <c:v>5</c:v>
                </c:pt>
                <c:pt idx="33">
                  <c:v>4.5999999999999996</c:v>
                </c:pt>
                <c:pt idx="34">
                  <c:v>5.4</c:v>
                </c:pt>
                <c:pt idx="35">
                  <c:v>2.1</c:v>
                </c:pt>
                <c:pt idx="36">
                  <c:v>6.2</c:v>
                </c:pt>
                <c:pt idx="37">
                  <c:v>6.2</c:v>
                </c:pt>
                <c:pt idx="38" formatCode="0.0_)">
                  <c:v>5.4</c:v>
                </c:pt>
                <c:pt idx="39" formatCode="0.0_)">
                  <c:v>7.8</c:v>
                </c:pt>
                <c:pt idx="40">
                  <c:v>5.9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07305792"/>
        <c:axId val="1507303072"/>
      </c:barChart>
      <c:lineChart>
        <c:grouping val="standard"/>
        <c:varyColors val="0"/>
        <c:ser>
          <c:idx val="5"/>
          <c:order val="1"/>
          <c:tx>
            <c:strRef>
              <c:f>Arkusz1!$D$1</c:f>
              <c:strCache>
                <c:ptCount val="1"/>
                <c:pt idx="0">
                  <c:v>Zmiana syt. gosp. dom. w ostatnich 12 miesiącach</c:v>
                </c:pt>
              </c:strCache>
            </c:strRef>
          </c:tx>
          <c:spPr>
            <a:ln w="28575" cap="rnd">
              <a:solidFill>
                <a:srgbClr val="009AA6">
                  <a:alpha val="60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9AA6">
                  <a:alpha val="60000"/>
                </a:srgbClr>
              </a:solidFill>
              <a:ln w="9525">
                <a:noFill/>
              </a:ln>
              <a:effectLst/>
            </c:spPr>
          </c:marker>
          <c:cat>
            <c:multiLvlStrRef>
              <c:f>Arkusz1!$A$2:$B$85</c:f>
              <c:multiLvlStrCache>
                <c:ptCount val="41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 </c:v>
                  </c:pt>
                </c:lvl>
              </c:multiLvlStrCache>
            </c:multiLvlStrRef>
          </c:cat>
          <c:val>
            <c:numRef>
              <c:f>Arkusz1!$D$2:$D$85</c:f>
              <c:numCache>
                <c:formatCode>0.0</c:formatCode>
                <c:ptCount val="41"/>
                <c:pt idx="0">
                  <c:v>-11.4</c:v>
                </c:pt>
                <c:pt idx="1">
                  <c:v>-14.3</c:v>
                </c:pt>
                <c:pt idx="2">
                  <c:v>-14.2</c:v>
                </c:pt>
                <c:pt idx="3">
                  <c:v>-9</c:v>
                </c:pt>
                <c:pt idx="4">
                  <c:v>-13</c:v>
                </c:pt>
                <c:pt idx="5">
                  <c:v>-11.6</c:v>
                </c:pt>
                <c:pt idx="6">
                  <c:v>-11.8</c:v>
                </c:pt>
                <c:pt idx="7">
                  <c:v>-8.1999999999999993</c:v>
                </c:pt>
                <c:pt idx="8">
                  <c:v>-10.6</c:v>
                </c:pt>
                <c:pt idx="9">
                  <c:v>-9.1999999999999993</c:v>
                </c:pt>
                <c:pt idx="10">
                  <c:v>-6.9</c:v>
                </c:pt>
                <c:pt idx="11">
                  <c:v>-8.1</c:v>
                </c:pt>
                <c:pt idx="12">
                  <c:v>-6.2</c:v>
                </c:pt>
                <c:pt idx="13">
                  <c:v>-5</c:v>
                </c:pt>
                <c:pt idx="14">
                  <c:v>-7.5</c:v>
                </c:pt>
                <c:pt idx="15">
                  <c:v>-5.6</c:v>
                </c:pt>
                <c:pt idx="16">
                  <c:v>-5</c:v>
                </c:pt>
                <c:pt idx="17">
                  <c:v>-2.4</c:v>
                </c:pt>
                <c:pt idx="18">
                  <c:v>-3.8</c:v>
                </c:pt>
                <c:pt idx="19">
                  <c:v>-4</c:v>
                </c:pt>
                <c:pt idx="20">
                  <c:v>-1.8</c:v>
                </c:pt>
                <c:pt idx="21">
                  <c:v>-2.7</c:v>
                </c:pt>
                <c:pt idx="22">
                  <c:v>0.4</c:v>
                </c:pt>
                <c:pt idx="23">
                  <c:v>-3.1</c:v>
                </c:pt>
                <c:pt idx="24">
                  <c:v>-1.2</c:v>
                </c:pt>
                <c:pt idx="25">
                  <c:v>-0.9</c:v>
                </c:pt>
                <c:pt idx="26">
                  <c:v>-0.2</c:v>
                </c:pt>
                <c:pt idx="27">
                  <c:v>0.5</c:v>
                </c:pt>
                <c:pt idx="28">
                  <c:v>0.8</c:v>
                </c:pt>
                <c:pt idx="29">
                  <c:v>2.2999999999999998</c:v>
                </c:pt>
                <c:pt idx="30">
                  <c:v>-0.3</c:v>
                </c:pt>
                <c:pt idx="31">
                  <c:v>2</c:v>
                </c:pt>
                <c:pt idx="32">
                  <c:v>0.6</c:v>
                </c:pt>
                <c:pt idx="33">
                  <c:v>-0.3</c:v>
                </c:pt>
                <c:pt idx="34">
                  <c:v>0.2</c:v>
                </c:pt>
                <c:pt idx="35">
                  <c:v>-2.4</c:v>
                </c:pt>
                <c:pt idx="36">
                  <c:v>1.5</c:v>
                </c:pt>
                <c:pt idx="37">
                  <c:v>0.1</c:v>
                </c:pt>
                <c:pt idx="38" formatCode="0.0_)">
                  <c:v>-2.9</c:v>
                </c:pt>
                <c:pt idx="39" formatCode="0.0_)">
                  <c:v>2.4</c:v>
                </c:pt>
                <c:pt idx="40">
                  <c:v>0.7</c:v>
                </c:pt>
              </c:numCache>
            </c:numRef>
          </c:val>
          <c:smooth val="0"/>
        </c:ser>
        <c:ser>
          <c:idx val="1"/>
          <c:order val="2"/>
          <c:tx>
            <c:strRef>
              <c:f>Arkusz1!$E$1</c:f>
              <c:strCache>
                <c:ptCount val="1"/>
                <c:pt idx="0">
                  <c:v>Zmiana syt. gosp. dom. w najbliższych 12 miesiącach</c:v>
                </c:pt>
              </c:strCache>
            </c:strRef>
          </c:tx>
          <c:spPr>
            <a:ln w="28575" cap="rnd">
              <a:solidFill>
                <a:srgbClr val="007AC9">
                  <a:alpha val="60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7AC9">
                  <a:alpha val="60000"/>
                </a:srgbClr>
              </a:solidFill>
              <a:ln w="9525">
                <a:noFill/>
              </a:ln>
              <a:effectLst/>
            </c:spPr>
          </c:marker>
          <c:cat>
            <c:multiLvlStrRef>
              <c:f>Arkusz1!$A$2:$B$85</c:f>
              <c:multiLvlStrCache>
                <c:ptCount val="41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 </c:v>
                  </c:pt>
                </c:lvl>
              </c:multiLvlStrCache>
            </c:multiLvlStrRef>
          </c:cat>
          <c:val>
            <c:numRef>
              <c:f>Arkusz1!$E$2:$E$85</c:f>
              <c:numCache>
                <c:formatCode>0.0</c:formatCode>
                <c:ptCount val="41"/>
                <c:pt idx="0">
                  <c:v>-2.6</c:v>
                </c:pt>
                <c:pt idx="1">
                  <c:v>-5.9</c:v>
                </c:pt>
                <c:pt idx="2">
                  <c:v>-5.8</c:v>
                </c:pt>
                <c:pt idx="3">
                  <c:v>-1.8</c:v>
                </c:pt>
                <c:pt idx="4">
                  <c:v>-4.8</c:v>
                </c:pt>
                <c:pt idx="5">
                  <c:v>-2.4</c:v>
                </c:pt>
                <c:pt idx="6">
                  <c:v>-1.9</c:v>
                </c:pt>
                <c:pt idx="7">
                  <c:v>-0.6</c:v>
                </c:pt>
                <c:pt idx="8">
                  <c:v>-3.9</c:v>
                </c:pt>
                <c:pt idx="9">
                  <c:v>-3.9</c:v>
                </c:pt>
                <c:pt idx="10">
                  <c:v>2.6</c:v>
                </c:pt>
                <c:pt idx="11">
                  <c:v>-2.6</c:v>
                </c:pt>
                <c:pt idx="12">
                  <c:v>0.6</c:v>
                </c:pt>
                <c:pt idx="13">
                  <c:v>2.2999999999999998</c:v>
                </c:pt>
                <c:pt idx="14">
                  <c:v>-0.5</c:v>
                </c:pt>
                <c:pt idx="15">
                  <c:v>3.4</c:v>
                </c:pt>
                <c:pt idx="16">
                  <c:v>0.4</c:v>
                </c:pt>
                <c:pt idx="17">
                  <c:v>0.1</c:v>
                </c:pt>
                <c:pt idx="18">
                  <c:v>-0.2</c:v>
                </c:pt>
                <c:pt idx="19">
                  <c:v>0.8</c:v>
                </c:pt>
                <c:pt idx="20">
                  <c:v>1.6</c:v>
                </c:pt>
                <c:pt idx="21">
                  <c:v>-0.6</c:v>
                </c:pt>
                <c:pt idx="22">
                  <c:v>1.8</c:v>
                </c:pt>
                <c:pt idx="23">
                  <c:v>1.6</c:v>
                </c:pt>
                <c:pt idx="24">
                  <c:v>2.9</c:v>
                </c:pt>
                <c:pt idx="25">
                  <c:v>2.2000000000000002</c:v>
                </c:pt>
                <c:pt idx="26">
                  <c:v>1.6</c:v>
                </c:pt>
                <c:pt idx="27">
                  <c:v>2</c:v>
                </c:pt>
                <c:pt idx="28">
                  <c:v>2.8</c:v>
                </c:pt>
                <c:pt idx="29">
                  <c:v>2.9</c:v>
                </c:pt>
                <c:pt idx="30">
                  <c:v>3.6</c:v>
                </c:pt>
                <c:pt idx="31">
                  <c:v>4.3</c:v>
                </c:pt>
                <c:pt idx="32">
                  <c:v>4</c:v>
                </c:pt>
                <c:pt idx="33">
                  <c:v>1.6</c:v>
                </c:pt>
                <c:pt idx="34">
                  <c:v>5</c:v>
                </c:pt>
                <c:pt idx="35">
                  <c:v>0.2</c:v>
                </c:pt>
                <c:pt idx="36">
                  <c:v>5.2</c:v>
                </c:pt>
                <c:pt idx="37">
                  <c:v>2.8</c:v>
                </c:pt>
                <c:pt idx="38" formatCode="0.0_)">
                  <c:v>4.2</c:v>
                </c:pt>
                <c:pt idx="39" formatCode="0.0_)">
                  <c:v>5.7</c:v>
                </c:pt>
                <c:pt idx="40">
                  <c:v>3.5</c:v>
                </c:pt>
              </c:numCache>
            </c:numRef>
          </c:val>
          <c:smooth val="0"/>
        </c:ser>
        <c:ser>
          <c:idx val="6"/>
          <c:order val="3"/>
          <c:tx>
            <c:strRef>
              <c:f>Arkusz1!$F$1</c:f>
              <c:strCache>
                <c:ptCount val="1"/>
                <c:pt idx="0">
                  <c:v>Zmiana syt. kraju w ostatnich 12 miesiącach</c:v>
                </c:pt>
              </c:strCache>
            </c:strRef>
          </c:tx>
          <c:spPr>
            <a:ln w="28575" cap="rnd">
              <a:solidFill>
                <a:srgbClr val="001D77">
                  <a:alpha val="60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1D77">
                  <a:alpha val="60000"/>
                </a:srgbClr>
              </a:solidFill>
              <a:ln w="9525">
                <a:noFill/>
              </a:ln>
              <a:effectLst/>
            </c:spPr>
          </c:marker>
          <c:cat>
            <c:multiLvlStrRef>
              <c:f>Arkusz1!$A$2:$B$85</c:f>
              <c:multiLvlStrCache>
                <c:ptCount val="41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 </c:v>
                  </c:pt>
                </c:lvl>
              </c:multiLvlStrCache>
            </c:multiLvlStrRef>
          </c:cat>
          <c:val>
            <c:numRef>
              <c:f>Arkusz1!$F$2:$F$85</c:f>
              <c:numCache>
                <c:formatCode>0.0</c:formatCode>
                <c:ptCount val="41"/>
                <c:pt idx="0">
                  <c:v>-23.2</c:v>
                </c:pt>
                <c:pt idx="1">
                  <c:v>-31.6</c:v>
                </c:pt>
                <c:pt idx="2">
                  <c:v>-28.8</c:v>
                </c:pt>
                <c:pt idx="3">
                  <c:v>-23.8</c:v>
                </c:pt>
                <c:pt idx="4">
                  <c:v>-24.9</c:v>
                </c:pt>
                <c:pt idx="5">
                  <c:v>-21.4</c:v>
                </c:pt>
                <c:pt idx="6">
                  <c:v>-22.2</c:v>
                </c:pt>
                <c:pt idx="7">
                  <c:v>-17.8</c:v>
                </c:pt>
                <c:pt idx="8">
                  <c:v>-18.8</c:v>
                </c:pt>
                <c:pt idx="9">
                  <c:v>-19.100000000000001</c:v>
                </c:pt>
                <c:pt idx="10">
                  <c:v>-10.4</c:v>
                </c:pt>
                <c:pt idx="11">
                  <c:v>-15.6</c:v>
                </c:pt>
                <c:pt idx="12">
                  <c:v>-14.4</c:v>
                </c:pt>
                <c:pt idx="13">
                  <c:v>-14.9</c:v>
                </c:pt>
                <c:pt idx="14">
                  <c:v>-16.7</c:v>
                </c:pt>
                <c:pt idx="15">
                  <c:v>-11.2</c:v>
                </c:pt>
                <c:pt idx="16">
                  <c:v>-15.4</c:v>
                </c:pt>
                <c:pt idx="17">
                  <c:v>-11.7</c:v>
                </c:pt>
                <c:pt idx="18">
                  <c:v>-9.6</c:v>
                </c:pt>
                <c:pt idx="19">
                  <c:v>-8.4</c:v>
                </c:pt>
                <c:pt idx="20">
                  <c:v>-5.9</c:v>
                </c:pt>
                <c:pt idx="21">
                  <c:v>-7.9</c:v>
                </c:pt>
                <c:pt idx="22">
                  <c:v>-6.9</c:v>
                </c:pt>
                <c:pt idx="23">
                  <c:v>-8.8000000000000007</c:v>
                </c:pt>
                <c:pt idx="24">
                  <c:v>-4.2</c:v>
                </c:pt>
                <c:pt idx="25">
                  <c:v>-4.8</c:v>
                </c:pt>
                <c:pt idx="26">
                  <c:v>-6.4</c:v>
                </c:pt>
                <c:pt idx="27">
                  <c:v>-3.8</c:v>
                </c:pt>
                <c:pt idx="28">
                  <c:v>0.2</c:v>
                </c:pt>
                <c:pt idx="29">
                  <c:v>3.8</c:v>
                </c:pt>
                <c:pt idx="30">
                  <c:v>4.5999999999999996</c:v>
                </c:pt>
                <c:pt idx="31">
                  <c:v>6.3</c:v>
                </c:pt>
                <c:pt idx="32">
                  <c:v>6.2</c:v>
                </c:pt>
                <c:pt idx="33">
                  <c:v>8.5</c:v>
                </c:pt>
                <c:pt idx="34">
                  <c:v>6.9</c:v>
                </c:pt>
                <c:pt idx="35">
                  <c:v>4</c:v>
                </c:pt>
                <c:pt idx="36">
                  <c:v>8.9</c:v>
                </c:pt>
                <c:pt idx="37">
                  <c:v>9</c:v>
                </c:pt>
                <c:pt idx="38" formatCode="0.0_)">
                  <c:v>9.5</c:v>
                </c:pt>
                <c:pt idx="39" formatCode="0.0_)">
                  <c:v>13.2</c:v>
                </c:pt>
                <c:pt idx="40">
                  <c:v>6.7</c:v>
                </c:pt>
              </c:numCache>
            </c:numRef>
          </c:val>
          <c:smooth val="0"/>
        </c:ser>
        <c:ser>
          <c:idx val="2"/>
          <c:order val="4"/>
          <c:tx>
            <c:strRef>
              <c:f>Arkusz1!$G$1</c:f>
              <c:strCache>
                <c:ptCount val="1"/>
                <c:pt idx="0">
                  <c:v>Zmiana syt. kraju w najbliższych 12 miesiącach</c:v>
                </c:pt>
              </c:strCache>
            </c:strRef>
          </c:tx>
          <c:spPr>
            <a:ln w="28575" cap="rnd">
              <a:solidFill>
                <a:srgbClr val="522398">
                  <a:alpha val="60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522398">
                  <a:alpha val="60000"/>
                </a:srgbClr>
              </a:solidFill>
              <a:ln w="9525">
                <a:noFill/>
              </a:ln>
              <a:effectLst/>
            </c:spPr>
          </c:marker>
          <c:cat>
            <c:multiLvlStrRef>
              <c:f>Arkusz1!$A$2:$B$85</c:f>
              <c:multiLvlStrCache>
                <c:ptCount val="41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 </c:v>
                  </c:pt>
                </c:lvl>
              </c:multiLvlStrCache>
            </c:multiLvlStrRef>
          </c:cat>
          <c:val>
            <c:numRef>
              <c:f>Arkusz1!$G$2:$G$85</c:f>
              <c:numCache>
                <c:formatCode>0.0</c:formatCode>
                <c:ptCount val="41"/>
                <c:pt idx="0">
                  <c:v>-13.2</c:v>
                </c:pt>
                <c:pt idx="1">
                  <c:v>-19.5</c:v>
                </c:pt>
                <c:pt idx="2">
                  <c:v>-18.399999999999999</c:v>
                </c:pt>
                <c:pt idx="3">
                  <c:v>-12.3</c:v>
                </c:pt>
                <c:pt idx="4">
                  <c:v>-14.5</c:v>
                </c:pt>
                <c:pt idx="5">
                  <c:v>-5.0999999999999996</c:v>
                </c:pt>
                <c:pt idx="6">
                  <c:v>-9.6</c:v>
                </c:pt>
                <c:pt idx="7">
                  <c:v>-4.8</c:v>
                </c:pt>
                <c:pt idx="8">
                  <c:v>-12.5</c:v>
                </c:pt>
                <c:pt idx="9">
                  <c:v>-11.4</c:v>
                </c:pt>
                <c:pt idx="10">
                  <c:v>-0.7</c:v>
                </c:pt>
                <c:pt idx="11">
                  <c:v>-14.6</c:v>
                </c:pt>
                <c:pt idx="12">
                  <c:v>-9.4</c:v>
                </c:pt>
                <c:pt idx="13">
                  <c:v>-7.7</c:v>
                </c:pt>
                <c:pt idx="14">
                  <c:v>-13.4</c:v>
                </c:pt>
                <c:pt idx="15">
                  <c:v>-5.8</c:v>
                </c:pt>
                <c:pt idx="16">
                  <c:v>-11</c:v>
                </c:pt>
                <c:pt idx="17">
                  <c:v>-13.2</c:v>
                </c:pt>
                <c:pt idx="18">
                  <c:v>-9.3000000000000007</c:v>
                </c:pt>
                <c:pt idx="19">
                  <c:v>-7.2</c:v>
                </c:pt>
                <c:pt idx="20">
                  <c:v>-8.1</c:v>
                </c:pt>
                <c:pt idx="21">
                  <c:v>-9.9</c:v>
                </c:pt>
                <c:pt idx="22">
                  <c:v>-8.5</c:v>
                </c:pt>
                <c:pt idx="23">
                  <c:v>-9.6</c:v>
                </c:pt>
                <c:pt idx="24">
                  <c:v>-10.1</c:v>
                </c:pt>
                <c:pt idx="25">
                  <c:v>-9.1999999999999993</c:v>
                </c:pt>
                <c:pt idx="26">
                  <c:v>-8.3000000000000007</c:v>
                </c:pt>
                <c:pt idx="27">
                  <c:v>-7.2</c:v>
                </c:pt>
                <c:pt idx="28">
                  <c:v>-1.4</c:v>
                </c:pt>
                <c:pt idx="29">
                  <c:v>1.8</c:v>
                </c:pt>
                <c:pt idx="30">
                  <c:v>1.9</c:v>
                </c:pt>
                <c:pt idx="31">
                  <c:v>2.7</c:v>
                </c:pt>
                <c:pt idx="32">
                  <c:v>0.8</c:v>
                </c:pt>
                <c:pt idx="33">
                  <c:v>3.4</c:v>
                </c:pt>
                <c:pt idx="34">
                  <c:v>3.8</c:v>
                </c:pt>
                <c:pt idx="35">
                  <c:v>0.3</c:v>
                </c:pt>
                <c:pt idx="36">
                  <c:v>4</c:v>
                </c:pt>
                <c:pt idx="37">
                  <c:v>6.3</c:v>
                </c:pt>
                <c:pt idx="38" formatCode="0.0_)">
                  <c:v>3.2</c:v>
                </c:pt>
                <c:pt idx="39" formatCode="0.0_)">
                  <c:v>6</c:v>
                </c:pt>
                <c:pt idx="40">
                  <c:v>3.8</c:v>
                </c:pt>
              </c:numCache>
            </c:numRef>
          </c:val>
          <c:smooth val="0"/>
        </c:ser>
        <c:ser>
          <c:idx val="4"/>
          <c:order val="5"/>
          <c:tx>
            <c:strRef>
              <c:f>Arkusz1!$H$1</c:f>
              <c:strCache>
                <c:ptCount val="1"/>
                <c:pt idx="0">
                  <c:v>Obecne dokonyw. ważnych zakupów</c:v>
                </c:pt>
              </c:strCache>
            </c:strRef>
          </c:tx>
          <c:spPr>
            <a:ln w="28575" cap="rnd">
              <a:solidFill>
                <a:srgbClr val="BED600">
                  <a:alpha val="60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BED600">
                  <a:alpha val="60000"/>
                </a:srgbClr>
              </a:solidFill>
              <a:ln w="9525">
                <a:noFill/>
              </a:ln>
              <a:effectLst/>
            </c:spPr>
          </c:marker>
          <c:cat>
            <c:multiLvlStrRef>
              <c:f>Arkusz1!$A$2:$B$85</c:f>
              <c:multiLvlStrCache>
                <c:ptCount val="41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 </c:v>
                  </c:pt>
                </c:lvl>
              </c:multiLvlStrCache>
            </c:multiLvlStrRef>
          </c:cat>
          <c:val>
            <c:numRef>
              <c:f>Arkusz1!$H$2:$H$85</c:f>
              <c:numCache>
                <c:formatCode>0.0</c:formatCode>
                <c:ptCount val="41"/>
                <c:pt idx="0">
                  <c:v>-8.3000000000000007</c:v>
                </c:pt>
                <c:pt idx="1">
                  <c:v>-11.6</c:v>
                </c:pt>
                <c:pt idx="2">
                  <c:v>-14.8</c:v>
                </c:pt>
                <c:pt idx="3">
                  <c:v>-7.4</c:v>
                </c:pt>
                <c:pt idx="4">
                  <c:v>-10.9</c:v>
                </c:pt>
                <c:pt idx="5">
                  <c:v>-11.5</c:v>
                </c:pt>
                <c:pt idx="6">
                  <c:v>-9.1</c:v>
                </c:pt>
                <c:pt idx="7">
                  <c:v>-8.1999999999999993</c:v>
                </c:pt>
                <c:pt idx="8">
                  <c:v>-3.9</c:v>
                </c:pt>
                <c:pt idx="9">
                  <c:v>-3.3</c:v>
                </c:pt>
                <c:pt idx="10">
                  <c:v>-4</c:v>
                </c:pt>
                <c:pt idx="11">
                  <c:v>-5.4</c:v>
                </c:pt>
                <c:pt idx="12">
                  <c:v>-5.7</c:v>
                </c:pt>
                <c:pt idx="13">
                  <c:v>-5.9</c:v>
                </c:pt>
                <c:pt idx="14">
                  <c:v>-8.6</c:v>
                </c:pt>
                <c:pt idx="15">
                  <c:v>-4.5</c:v>
                </c:pt>
                <c:pt idx="16">
                  <c:v>-2.6</c:v>
                </c:pt>
                <c:pt idx="17">
                  <c:v>-5.6</c:v>
                </c:pt>
                <c:pt idx="18">
                  <c:v>-5.0999999999999996</c:v>
                </c:pt>
                <c:pt idx="19">
                  <c:v>-0.3</c:v>
                </c:pt>
                <c:pt idx="20">
                  <c:v>2.2999999999999998</c:v>
                </c:pt>
                <c:pt idx="21">
                  <c:v>2.7</c:v>
                </c:pt>
                <c:pt idx="22">
                  <c:v>1.3</c:v>
                </c:pt>
                <c:pt idx="23">
                  <c:v>1.5</c:v>
                </c:pt>
                <c:pt idx="24">
                  <c:v>6.6</c:v>
                </c:pt>
                <c:pt idx="25">
                  <c:v>3.4</c:v>
                </c:pt>
                <c:pt idx="26">
                  <c:v>3.3</c:v>
                </c:pt>
                <c:pt idx="27">
                  <c:v>4.7</c:v>
                </c:pt>
                <c:pt idx="28">
                  <c:v>12.9</c:v>
                </c:pt>
                <c:pt idx="29">
                  <c:v>13.2</c:v>
                </c:pt>
                <c:pt idx="30">
                  <c:v>10.3</c:v>
                </c:pt>
                <c:pt idx="31">
                  <c:v>13</c:v>
                </c:pt>
                <c:pt idx="32">
                  <c:v>13.2</c:v>
                </c:pt>
                <c:pt idx="33">
                  <c:v>10</c:v>
                </c:pt>
                <c:pt idx="34">
                  <c:v>11</c:v>
                </c:pt>
                <c:pt idx="35">
                  <c:v>8.4</c:v>
                </c:pt>
                <c:pt idx="36">
                  <c:v>11.4</c:v>
                </c:pt>
                <c:pt idx="37">
                  <c:v>13</c:v>
                </c:pt>
                <c:pt idx="38">
                  <c:v>12.7</c:v>
                </c:pt>
                <c:pt idx="39">
                  <c:v>11.9</c:v>
                </c:pt>
                <c:pt idx="40">
                  <c:v>14.9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07305792"/>
        <c:axId val="1507303072"/>
      </c:lineChart>
      <c:catAx>
        <c:axId val="1507305792"/>
        <c:scaling>
          <c:orientation val="minMax"/>
        </c:scaling>
        <c:delete val="0"/>
        <c:axPos val="b"/>
        <c:numFmt formatCode="d/mm" sourceLinked="0"/>
        <c:majorTickMark val="in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7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1507303072"/>
        <c:crossesAt val="0"/>
        <c:auto val="1"/>
        <c:lblAlgn val="ctr"/>
        <c:lblOffset val="100"/>
        <c:tickLblSkip val="1"/>
        <c:noMultiLvlLbl val="0"/>
      </c:catAx>
      <c:valAx>
        <c:axId val="1507303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1507305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6822253391625268E-4"/>
          <c:y val="0.83178335136222992"/>
          <c:w val="0.99511785645611706"/>
          <c:h val="0.1682165865630432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700">
          <a:solidFill>
            <a:sysClr val="windowText" lastClr="000000"/>
          </a:solidFill>
          <a:latin typeface="Fira Sans" panose="020B0503050000020004" pitchFamily="34" charset="0"/>
          <a:ea typeface="Fira Sans" panose="020B0503050000020004" pitchFamily="34" charset="0"/>
        </a:defRPr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546769232871537E-2"/>
          <c:y val="0.12403682659834088"/>
          <c:w val="0.91936996161087892"/>
          <c:h val="0.59331270756533183"/>
        </c:manualLayout>
      </c:layout>
      <c:barChart>
        <c:barDir val="col"/>
        <c:grouping val="clustered"/>
        <c:varyColors val="0"/>
        <c:ser>
          <c:idx val="3"/>
          <c:order val="0"/>
          <c:tx>
            <c:strRef>
              <c:f>Arkusz1!$C$1</c:f>
              <c:strCache>
                <c:ptCount val="1"/>
                <c:pt idx="0">
                  <c:v>BWUK</c:v>
                </c:pt>
              </c:strCache>
            </c:strRef>
          </c:tx>
          <c:spPr>
            <a:solidFill>
              <a:srgbClr val="008542"/>
            </a:solidFill>
            <a:ln>
              <a:noFill/>
            </a:ln>
            <a:effectLst/>
          </c:spPr>
          <c:invertIfNegative val="0"/>
          <c:cat>
            <c:strRef>
              <c:f>Arkusz1!$B$2:$B$30</c:f>
              <c:strCache>
                <c:ptCount val="21"/>
                <c:pt idx="0">
                  <c:v>1997**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  <c:pt idx="20">
                  <c:v>2017</c:v>
                </c:pt>
              </c:strCache>
            </c:strRef>
          </c:cat>
          <c:val>
            <c:numRef>
              <c:f>Arkusz1!$C$2:$C$30</c:f>
              <c:numCache>
                <c:formatCode>0.0_)</c:formatCode>
                <c:ptCount val="21"/>
                <c:pt idx="0">
                  <c:v>-13.8</c:v>
                </c:pt>
                <c:pt idx="1">
                  <c:v>-20.8</c:v>
                </c:pt>
                <c:pt idx="2">
                  <c:v>-30</c:v>
                </c:pt>
                <c:pt idx="3">
                  <c:v>-33.700000000000003</c:v>
                </c:pt>
                <c:pt idx="4">
                  <c:v>-35.5</c:v>
                </c:pt>
                <c:pt idx="5">
                  <c:v>-37.5</c:v>
                </c:pt>
                <c:pt idx="6">
                  <c:v>-35.799999999999997</c:v>
                </c:pt>
                <c:pt idx="7">
                  <c:v>-31.8</c:v>
                </c:pt>
                <c:pt idx="8" formatCode="0.0">
                  <c:v>-22.1</c:v>
                </c:pt>
                <c:pt idx="9" formatCode="0.0">
                  <c:v>-14.9</c:v>
                </c:pt>
                <c:pt idx="10" formatCode="0.0">
                  <c:v>-7.1</c:v>
                </c:pt>
                <c:pt idx="11" formatCode="0.0">
                  <c:v>-8</c:v>
                </c:pt>
                <c:pt idx="12" formatCode="0.0">
                  <c:v>-22.3</c:v>
                </c:pt>
                <c:pt idx="13" formatCode="0.0">
                  <c:v>-16.899999999999999</c:v>
                </c:pt>
                <c:pt idx="14" formatCode="0.0">
                  <c:v>-25</c:v>
                </c:pt>
                <c:pt idx="15" formatCode="0.0">
                  <c:v>-29.5</c:v>
                </c:pt>
                <c:pt idx="16" formatCode="0.0">
                  <c:v>-26.7</c:v>
                </c:pt>
                <c:pt idx="17" formatCode="0.0">
                  <c:v>-17</c:v>
                </c:pt>
                <c:pt idx="18" formatCode="0.0">
                  <c:v>-10.9</c:v>
                </c:pt>
                <c:pt idx="19" formatCode="0.0">
                  <c:v>-5.2</c:v>
                </c:pt>
                <c:pt idx="20" formatCode="0.0">
                  <c:v>2.4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07306336"/>
        <c:axId val="1507299264"/>
      </c:barChart>
      <c:lineChart>
        <c:grouping val="standard"/>
        <c:varyColors val="0"/>
        <c:ser>
          <c:idx val="4"/>
          <c:order val="1"/>
          <c:tx>
            <c:strRef>
              <c:f>Arkusz1!$D$1</c:f>
              <c:strCache>
                <c:ptCount val="1"/>
                <c:pt idx="0">
                  <c:v>Zmiana syt. gosp. dom. w ostatnich 12 miesiącach</c:v>
                </c:pt>
              </c:strCache>
            </c:strRef>
          </c:tx>
          <c:spPr>
            <a:ln w="28575" cap="rnd">
              <a:solidFill>
                <a:srgbClr val="009AA6">
                  <a:alpha val="60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9AA6">
                  <a:alpha val="60000"/>
                </a:srgbClr>
              </a:solidFill>
              <a:ln w="9525">
                <a:noFill/>
              </a:ln>
              <a:effectLst/>
            </c:spPr>
          </c:marker>
          <c:cat>
            <c:strRef>
              <c:f>Arkusz1!$B$2:$B$30</c:f>
              <c:strCache>
                <c:ptCount val="21"/>
                <c:pt idx="0">
                  <c:v>1997**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  <c:pt idx="20">
                  <c:v>2017</c:v>
                </c:pt>
              </c:strCache>
            </c:strRef>
          </c:cat>
          <c:val>
            <c:numRef>
              <c:f>Arkusz1!$D$2:$D$30</c:f>
              <c:numCache>
                <c:formatCode>0.0_)</c:formatCode>
                <c:ptCount val="21"/>
                <c:pt idx="0">
                  <c:v>-21.6</c:v>
                </c:pt>
                <c:pt idx="1">
                  <c:v>-28.6</c:v>
                </c:pt>
                <c:pt idx="2">
                  <c:v>-36.299999999999997</c:v>
                </c:pt>
                <c:pt idx="3">
                  <c:v>-40.6</c:v>
                </c:pt>
                <c:pt idx="4">
                  <c:v>-39.700000000000003</c:v>
                </c:pt>
                <c:pt idx="5">
                  <c:v>-39.6</c:v>
                </c:pt>
                <c:pt idx="6">
                  <c:v>-38.1</c:v>
                </c:pt>
                <c:pt idx="7">
                  <c:v>-33.1</c:v>
                </c:pt>
                <c:pt idx="8" formatCode="0.0">
                  <c:v>-27</c:v>
                </c:pt>
                <c:pt idx="9" formatCode="0.0">
                  <c:v>-18.2</c:v>
                </c:pt>
                <c:pt idx="10" formatCode="0.0">
                  <c:v>-10.9</c:v>
                </c:pt>
                <c:pt idx="11" formatCode="0.0">
                  <c:v>-10.6</c:v>
                </c:pt>
                <c:pt idx="12" formatCode="0.0">
                  <c:v>-18.100000000000001</c:v>
                </c:pt>
                <c:pt idx="13" formatCode="0.0">
                  <c:v>-17.2</c:v>
                </c:pt>
                <c:pt idx="14" formatCode="0.0">
                  <c:v>-22.4</c:v>
                </c:pt>
                <c:pt idx="15" formatCode="0.0">
                  <c:v>-25.4</c:v>
                </c:pt>
                <c:pt idx="16" formatCode="0.0">
                  <c:v>-21.9</c:v>
                </c:pt>
                <c:pt idx="17" formatCode="0.0">
                  <c:v>-15.7</c:v>
                </c:pt>
                <c:pt idx="18" formatCode="0.0">
                  <c:v>-10.7</c:v>
                </c:pt>
                <c:pt idx="19" formatCode="0.0">
                  <c:v>-3.9</c:v>
                </c:pt>
                <c:pt idx="20" formatCode="0.0">
                  <c:v>0.1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Arkusz1!$E$1</c:f>
              <c:strCache>
                <c:ptCount val="1"/>
                <c:pt idx="0">
                  <c:v>Zmiana syt. gosp. dom. w najbliższych 12 miesiącach</c:v>
                </c:pt>
              </c:strCache>
            </c:strRef>
          </c:tx>
          <c:spPr>
            <a:ln w="28575" cap="rnd">
              <a:solidFill>
                <a:srgbClr val="007AC9">
                  <a:alpha val="60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7AC9">
                  <a:alpha val="60000"/>
                </a:srgbClr>
              </a:solidFill>
              <a:ln w="9525">
                <a:noFill/>
              </a:ln>
              <a:effectLst/>
            </c:spPr>
          </c:marker>
          <c:cat>
            <c:strRef>
              <c:f>Arkusz1!$B$2:$B$30</c:f>
              <c:strCache>
                <c:ptCount val="21"/>
                <c:pt idx="0">
                  <c:v>1997**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  <c:pt idx="20">
                  <c:v>2017</c:v>
                </c:pt>
              </c:strCache>
            </c:strRef>
          </c:cat>
          <c:val>
            <c:numRef>
              <c:f>Arkusz1!$E$2:$E$30</c:f>
              <c:numCache>
                <c:formatCode>0.0_)</c:formatCode>
                <c:ptCount val="21"/>
                <c:pt idx="0">
                  <c:v>-11</c:v>
                </c:pt>
                <c:pt idx="1">
                  <c:v>-19.2</c:v>
                </c:pt>
                <c:pt idx="2">
                  <c:v>-25.3</c:v>
                </c:pt>
                <c:pt idx="3">
                  <c:v>-26.8</c:v>
                </c:pt>
                <c:pt idx="4">
                  <c:v>-25.8</c:v>
                </c:pt>
                <c:pt idx="5">
                  <c:v>-27.8</c:v>
                </c:pt>
                <c:pt idx="6">
                  <c:v>-24.5</c:v>
                </c:pt>
                <c:pt idx="7">
                  <c:v>-22.3</c:v>
                </c:pt>
                <c:pt idx="8" formatCode="0.0">
                  <c:v>-12</c:v>
                </c:pt>
                <c:pt idx="9" formatCode="0.0">
                  <c:v>-6.1</c:v>
                </c:pt>
                <c:pt idx="10" formatCode="0.0">
                  <c:v>-1.9</c:v>
                </c:pt>
                <c:pt idx="11" formatCode="0.0">
                  <c:v>-4.5</c:v>
                </c:pt>
                <c:pt idx="12" formatCode="0.0">
                  <c:v>-11.1</c:v>
                </c:pt>
                <c:pt idx="13" formatCode="0.0">
                  <c:v>-8.1999999999999993</c:v>
                </c:pt>
                <c:pt idx="14" formatCode="0.0">
                  <c:v>-14.6</c:v>
                </c:pt>
                <c:pt idx="15" formatCode="0.0">
                  <c:v>-18.5</c:v>
                </c:pt>
                <c:pt idx="16" formatCode="0.0">
                  <c:v>-13.6</c:v>
                </c:pt>
                <c:pt idx="17" formatCode="0.0">
                  <c:v>-7.3</c:v>
                </c:pt>
                <c:pt idx="18" formatCode="0.0">
                  <c:v>-2.8</c:v>
                </c:pt>
                <c:pt idx="19" formatCode="0.0">
                  <c:v>0.9</c:v>
                </c:pt>
                <c:pt idx="20" formatCode="0.0">
                  <c:v>2.8</c:v>
                </c:pt>
              </c:numCache>
            </c:numRef>
          </c:val>
          <c:smooth val="0"/>
        </c:ser>
        <c:ser>
          <c:idx val="5"/>
          <c:order val="3"/>
          <c:tx>
            <c:strRef>
              <c:f>Arkusz1!$F$1</c:f>
              <c:strCache>
                <c:ptCount val="1"/>
                <c:pt idx="0">
                  <c:v>Zmiana syt. kraju w ostatnich 12 miesiącach</c:v>
                </c:pt>
              </c:strCache>
            </c:strRef>
          </c:tx>
          <c:spPr>
            <a:ln w="28575" cap="rnd">
              <a:solidFill>
                <a:srgbClr val="001D77">
                  <a:alpha val="60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1D77">
                  <a:alpha val="60000"/>
                </a:srgbClr>
              </a:solidFill>
              <a:ln w="9525">
                <a:noFill/>
              </a:ln>
              <a:effectLst/>
            </c:spPr>
          </c:marker>
          <c:cat>
            <c:strRef>
              <c:f>Arkusz1!$B$2:$B$30</c:f>
              <c:strCache>
                <c:ptCount val="21"/>
                <c:pt idx="0">
                  <c:v>1997**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  <c:pt idx="20">
                  <c:v>2017</c:v>
                </c:pt>
              </c:strCache>
            </c:strRef>
          </c:cat>
          <c:val>
            <c:numRef>
              <c:f>Arkusz1!$F$2:$F$30</c:f>
              <c:numCache>
                <c:formatCode>0.0_)</c:formatCode>
                <c:ptCount val="21"/>
                <c:pt idx="0">
                  <c:v>-12.8</c:v>
                </c:pt>
                <c:pt idx="1">
                  <c:v>-22.3</c:v>
                </c:pt>
                <c:pt idx="2">
                  <c:v>-37.9</c:v>
                </c:pt>
                <c:pt idx="3">
                  <c:v>-45.8</c:v>
                </c:pt>
                <c:pt idx="4">
                  <c:v>-51.8</c:v>
                </c:pt>
                <c:pt idx="5">
                  <c:v>-52.9</c:v>
                </c:pt>
                <c:pt idx="6">
                  <c:v>-51.7</c:v>
                </c:pt>
                <c:pt idx="7">
                  <c:v>-49.5</c:v>
                </c:pt>
                <c:pt idx="8" formatCode="0.0">
                  <c:v>-38.5</c:v>
                </c:pt>
                <c:pt idx="9" formatCode="0.0">
                  <c:v>-26.2</c:v>
                </c:pt>
                <c:pt idx="10" formatCode="0.0">
                  <c:v>-17.7</c:v>
                </c:pt>
                <c:pt idx="11" formatCode="0.0">
                  <c:v>-16.600000000000001</c:v>
                </c:pt>
                <c:pt idx="12" formatCode="0.0">
                  <c:v>-40</c:v>
                </c:pt>
                <c:pt idx="13" formatCode="0.0">
                  <c:v>-31.2</c:v>
                </c:pt>
                <c:pt idx="14" formatCode="0.0">
                  <c:v>-41.5</c:v>
                </c:pt>
                <c:pt idx="15" formatCode="0.0">
                  <c:v>-46.5</c:v>
                </c:pt>
                <c:pt idx="16" formatCode="0.0">
                  <c:v>-45.2</c:v>
                </c:pt>
                <c:pt idx="17" formatCode="0.0">
                  <c:v>-29.9</c:v>
                </c:pt>
                <c:pt idx="18" formatCode="0.0">
                  <c:v>-21.5</c:v>
                </c:pt>
                <c:pt idx="19" formatCode="0.0">
                  <c:v>-11</c:v>
                </c:pt>
                <c:pt idx="20" formatCode="0.0">
                  <c:v>1.8</c:v>
                </c:pt>
              </c:numCache>
            </c:numRef>
          </c:val>
          <c:smooth val="0"/>
        </c:ser>
        <c:ser>
          <c:idx val="1"/>
          <c:order val="4"/>
          <c:tx>
            <c:strRef>
              <c:f>Arkusz1!$G$1</c:f>
              <c:strCache>
                <c:ptCount val="1"/>
                <c:pt idx="0">
                  <c:v>Zmiana syt. kraju w najbliższych 12 miesiącach</c:v>
                </c:pt>
              </c:strCache>
            </c:strRef>
          </c:tx>
          <c:spPr>
            <a:ln w="28575" cap="rnd">
              <a:solidFill>
                <a:srgbClr val="522398">
                  <a:alpha val="60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522398">
                  <a:alpha val="60000"/>
                </a:srgbClr>
              </a:solidFill>
              <a:ln w="9525">
                <a:noFill/>
              </a:ln>
              <a:effectLst/>
            </c:spPr>
          </c:marker>
          <c:cat>
            <c:strRef>
              <c:f>Arkusz1!$B$2:$B$30</c:f>
              <c:strCache>
                <c:ptCount val="21"/>
                <c:pt idx="0">
                  <c:v>1997**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  <c:pt idx="20">
                  <c:v>2017</c:v>
                </c:pt>
              </c:strCache>
            </c:strRef>
          </c:cat>
          <c:val>
            <c:numRef>
              <c:f>Arkusz1!$G$2:$G$30</c:f>
              <c:numCache>
                <c:formatCode>0.0_)</c:formatCode>
                <c:ptCount val="21"/>
                <c:pt idx="0">
                  <c:v>-10</c:v>
                </c:pt>
                <c:pt idx="1">
                  <c:v>-17</c:v>
                </c:pt>
                <c:pt idx="2">
                  <c:v>-29.7</c:v>
                </c:pt>
                <c:pt idx="3">
                  <c:v>-29.5</c:v>
                </c:pt>
                <c:pt idx="4">
                  <c:v>-32.200000000000003</c:v>
                </c:pt>
                <c:pt idx="5">
                  <c:v>-35.1</c:v>
                </c:pt>
                <c:pt idx="6">
                  <c:v>-35.200000000000003</c:v>
                </c:pt>
                <c:pt idx="7">
                  <c:v>-30.8</c:v>
                </c:pt>
                <c:pt idx="8" formatCode="0.0">
                  <c:v>-16.7</c:v>
                </c:pt>
                <c:pt idx="9" formatCode="0.0">
                  <c:v>-13</c:v>
                </c:pt>
                <c:pt idx="10" formatCode="0.0">
                  <c:v>-6.6</c:v>
                </c:pt>
                <c:pt idx="11" formatCode="0.0">
                  <c:v>-9.6999999999999993</c:v>
                </c:pt>
                <c:pt idx="12" formatCode="0.0">
                  <c:v>-26.5</c:v>
                </c:pt>
                <c:pt idx="13" formatCode="0.0">
                  <c:v>-18.899999999999999</c:v>
                </c:pt>
                <c:pt idx="14" formatCode="0.0">
                  <c:v>-30.8</c:v>
                </c:pt>
                <c:pt idx="15" formatCode="0.0">
                  <c:v>-38</c:v>
                </c:pt>
                <c:pt idx="16" formatCode="0.0">
                  <c:v>-31.2</c:v>
                </c:pt>
                <c:pt idx="17" formatCode="0.0">
                  <c:v>-18.399999999999999</c:v>
                </c:pt>
                <c:pt idx="18" formatCode="0.0">
                  <c:v>-11.4</c:v>
                </c:pt>
                <c:pt idx="19" formatCode="0.0">
                  <c:v>-9.4</c:v>
                </c:pt>
                <c:pt idx="20" formatCode="0.0">
                  <c:v>-1.8</c:v>
                </c:pt>
              </c:numCache>
            </c:numRef>
          </c:val>
          <c:smooth val="0"/>
        </c:ser>
        <c:ser>
          <c:idx val="2"/>
          <c:order val="5"/>
          <c:tx>
            <c:strRef>
              <c:f>Arkusz1!$H$1</c:f>
              <c:strCache>
                <c:ptCount val="1"/>
                <c:pt idx="0">
                  <c:v>Obecne dokonyw. ważnych zakupów</c:v>
                </c:pt>
              </c:strCache>
            </c:strRef>
          </c:tx>
          <c:spPr>
            <a:ln w="28575" cap="rnd">
              <a:solidFill>
                <a:srgbClr val="BED600">
                  <a:alpha val="60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BED600">
                  <a:alpha val="60000"/>
                </a:srgbClr>
              </a:solidFill>
              <a:ln w="9525">
                <a:noFill/>
              </a:ln>
              <a:effectLst/>
            </c:spPr>
          </c:marker>
          <c:cat>
            <c:strRef>
              <c:f>Arkusz1!$B$2:$B$30</c:f>
              <c:strCache>
                <c:ptCount val="21"/>
                <c:pt idx="0">
                  <c:v>1997**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  <c:pt idx="20">
                  <c:v>2017</c:v>
                </c:pt>
              </c:strCache>
            </c:strRef>
          </c:cat>
          <c:val>
            <c:numRef>
              <c:f>Arkusz1!$H$2:$H$30</c:f>
              <c:numCache>
                <c:formatCode>0.0_)</c:formatCode>
                <c:ptCount val="21"/>
                <c:pt idx="0">
                  <c:v>-13.4</c:v>
                </c:pt>
                <c:pt idx="1">
                  <c:v>-16.600000000000001</c:v>
                </c:pt>
                <c:pt idx="2">
                  <c:v>-21</c:v>
                </c:pt>
                <c:pt idx="3">
                  <c:v>-25.8</c:v>
                </c:pt>
                <c:pt idx="4">
                  <c:v>-27.8</c:v>
                </c:pt>
                <c:pt idx="5">
                  <c:v>-32.1</c:v>
                </c:pt>
                <c:pt idx="6">
                  <c:v>-29.4</c:v>
                </c:pt>
                <c:pt idx="7">
                  <c:v>-23.3</c:v>
                </c:pt>
                <c:pt idx="8" formatCode="0.0">
                  <c:v>-16.399999999999999</c:v>
                </c:pt>
                <c:pt idx="9" formatCode="0.0">
                  <c:v>-11.1</c:v>
                </c:pt>
                <c:pt idx="10" formatCode="0.0">
                  <c:v>1.3</c:v>
                </c:pt>
                <c:pt idx="11" formatCode="0.0">
                  <c:v>1.2</c:v>
                </c:pt>
                <c:pt idx="12" formatCode="0.0">
                  <c:v>-16.100000000000001</c:v>
                </c:pt>
                <c:pt idx="13" formatCode="0.0">
                  <c:v>-9.1999999999999993</c:v>
                </c:pt>
                <c:pt idx="14" formatCode="0.0">
                  <c:v>-15.9</c:v>
                </c:pt>
                <c:pt idx="15" formatCode="0.0">
                  <c:v>-19.3</c:v>
                </c:pt>
                <c:pt idx="16" formatCode="0.0">
                  <c:v>-21.6</c:v>
                </c:pt>
                <c:pt idx="17" formatCode="0.0">
                  <c:v>-13.7</c:v>
                </c:pt>
                <c:pt idx="18" formatCode="0.0">
                  <c:v>-8.1999999999999993</c:v>
                </c:pt>
                <c:pt idx="19" formatCode="0.0">
                  <c:v>-2.5</c:v>
                </c:pt>
                <c:pt idx="20" formatCode="0.0">
                  <c:v>9.1999999999999993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07306336"/>
        <c:axId val="1507299264"/>
      </c:lineChart>
      <c:catAx>
        <c:axId val="1507306336"/>
        <c:scaling>
          <c:orientation val="minMax"/>
        </c:scaling>
        <c:delete val="0"/>
        <c:axPos val="b"/>
        <c:numFmt formatCode="d/mm" sourceLinked="0"/>
        <c:majorTickMark val="in"/>
        <c:minorTickMark val="none"/>
        <c:tickLblPos val="low"/>
        <c:spPr>
          <a:noFill/>
          <a:ln w="6350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7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1507299264"/>
        <c:crossesAt val="0"/>
        <c:auto val="0"/>
        <c:lblAlgn val="ctr"/>
        <c:lblOffset val="100"/>
        <c:tickLblSkip val="1"/>
        <c:noMultiLvlLbl val="0"/>
      </c:catAx>
      <c:valAx>
        <c:axId val="1507299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1507306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6822253391625268E-4"/>
          <c:y val="0.86735319766516639"/>
          <c:w val="0.9993317774660837"/>
          <c:h val="0.132646802334833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700">
          <a:solidFill>
            <a:sysClr val="windowText" lastClr="000000"/>
          </a:solidFill>
          <a:latin typeface="Fira Sans" panose="020B0503050000020004" pitchFamily="34" charset="0"/>
          <a:ea typeface="Fira Sans" panose="020B0503050000020004" pitchFamily="34" charset="0"/>
        </a:defRPr>
      </a:pPr>
      <a:endParaRPr lang="pl-PL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31090600473007E-2"/>
          <c:y val="3.5143769968051117E-2"/>
          <c:w val="0.92572481061659784"/>
          <c:h val="0.69522074916354304"/>
        </c:manualLayout>
      </c:layout>
      <c:barChart>
        <c:barDir val="col"/>
        <c:grouping val="clustered"/>
        <c:varyColors val="0"/>
        <c:ser>
          <c:idx val="4"/>
          <c:order val="0"/>
          <c:tx>
            <c:strRef>
              <c:f>Arkusz1!$C$1</c:f>
              <c:strCache>
                <c:ptCount val="1"/>
                <c:pt idx="0">
                  <c:v>WWUK</c:v>
                </c:pt>
              </c:strCache>
            </c:strRef>
          </c:tx>
          <c:spPr>
            <a:solidFill>
              <a:srgbClr val="008542"/>
            </a:solidFill>
            <a:ln>
              <a:noFill/>
            </a:ln>
            <a:effectLst/>
          </c:spPr>
          <c:invertIfNegative val="0"/>
          <c:cat>
            <c:multiLvlStrRef>
              <c:f>Arkusz1!$A$2:$B$85</c:f>
              <c:multiLvlStrCache>
                <c:ptCount val="41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 </c:v>
                  </c:pt>
                </c:lvl>
              </c:multiLvlStrCache>
            </c:multiLvlStrRef>
          </c:cat>
          <c:val>
            <c:numRef>
              <c:f>Arkusz1!$C$2:$C$85</c:f>
              <c:numCache>
                <c:formatCode>0.0</c:formatCode>
                <c:ptCount val="41"/>
                <c:pt idx="0">
                  <c:v>-16.5</c:v>
                </c:pt>
                <c:pt idx="1">
                  <c:v>-21.7</c:v>
                </c:pt>
                <c:pt idx="2">
                  <c:v>-19.5</c:v>
                </c:pt>
                <c:pt idx="3">
                  <c:v>-14.2</c:v>
                </c:pt>
                <c:pt idx="4">
                  <c:v>-17.2</c:v>
                </c:pt>
                <c:pt idx="5">
                  <c:v>-11.7</c:v>
                </c:pt>
                <c:pt idx="6">
                  <c:v>-14.3</c:v>
                </c:pt>
                <c:pt idx="7">
                  <c:v>-13.2</c:v>
                </c:pt>
                <c:pt idx="8">
                  <c:v>-15.3</c:v>
                </c:pt>
                <c:pt idx="9">
                  <c:v>-15</c:v>
                </c:pt>
                <c:pt idx="10">
                  <c:v>-8.3000000000000007</c:v>
                </c:pt>
                <c:pt idx="11">
                  <c:v>-13.7</c:v>
                </c:pt>
                <c:pt idx="12">
                  <c:v>-10.9</c:v>
                </c:pt>
                <c:pt idx="13">
                  <c:v>-8.1999999999999993</c:v>
                </c:pt>
                <c:pt idx="14">
                  <c:v>-11.5</c:v>
                </c:pt>
                <c:pt idx="15">
                  <c:v>-7.2</c:v>
                </c:pt>
                <c:pt idx="16">
                  <c:v>-7.7</c:v>
                </c:pt>
                <c:pt idx="17">
                  <c:v>-9.6999999999999993</c:v>
                </c:pt>
                <c:pt idx="18">
                  <c:v>-10.6</c:v>
                </c:pt>
                <c:pt idx="19">
                  <c:v>-7.3</c:v>
                </c:pt>
                <c:pt idx="20">
                  <c:v>-7.5</c:v>
                </c:pt>
                <c:pt idx="21">
                  <c:v>-10.3</c:v>
                </c:pt>
                <c:pt idx="22">
                  <c:v>-5.4</c:v>
                </c:pt>
                <c:pt idx="23">
                  <c:v>-6.7</c:v>
                </c:pt>
                <c:pt idx="24">
                  <c:v>-4.4000000000000004</c:v>
                </c:pt>
                <c:pt idx="25">
                  <c:v>-3.6</c:v>
                </c:pt>
                <c:pt idx="26">
                  <c:v>-4.2</c:v>
                </c:pt>
                <c:pt idx="27">
                  <c:v>-3.1</c:v>
                </c:pt>
                <c:pt idx="28">
                  <c:v>0.6</c:v>
                </c:pt>
                <c:pt idx="29">
                  <c:v>1.8</c:v>
                </c:pt>
                <c:pt idx="30">
                  <c:v>1.3</c:v>
                </c:pt>
                <c:pt idx="31">
                  <c:v>2.7</c:v>
                </c:pt>
                <c:pt idx="32">
                  <c:v>0.8</c:v>
                </c:pt>
                <c:pt idx="33">
                  <c:v>1.6</c:v>
                </c:pt>
                <c:pt idx="34">
                  <c:v>3.4</c:v>
                </c:pt>
                <c:pt idx="35">
                  <c:v>-0.2</c:v>
                </c:pt>
                <c:pt idx="36">
                  <c:v>4.3</c:v>
                </c:pt>
                <c:pt idx="37">
                  <c:v>4.2</c:v>
                </c:pt>
                <c:pt idx="38">
                  <c:v>2.9</c:v>
                </c:pt>
                <c:pt idx="39">
                  <c:v>5.7</c:v>
                </c:pt>
                <c:pt idx="40">
                  <c:v>2.8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07299808"/>
        <c:axId val="1327749104"/>
      </c:barChart>
      <c:lineChart>
        <c:grouping val="standard"/>
        <c:varyColors val="0"/>
        <c:ser>
          <c:idx val="0"/>
          <c:order val="1"/>
          <c:tx>
            <c:strRef>
              <c:f>Arkusz1!$D$1</c:f>
              <c:strCache>
                <c:ptCount val="1"/>
                <c:pt idx="0">
                  <c:v>Zmiana syt. gosp. dom. w najbliższych 12 miesiącach</c:v>
                </c:pt>
              </c:strCache>
            </c:strRef>
          </c:tx>
          <c:spPr>
            <a:ln w="28575" cap="rnd">
              <a:solidFill>
                <a:srgbClr val="007AC9">
                  <a:alpha val="60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7AC9">
                  <a:alpha val="60000"/>
                </a:srgbClr>
              </a:solidFill>
              <a:ln w="9525">
                <a:noFill/>
              </a:ln>
              <a:effectLst/>
            </c:spPr>
          </c:marker>
          <c:cat>
            <c:multiLvlStrRef>
              <c:f>Arkusz1!$A$2:$B$85</c:f>
              <c:multiLvlStrCache>
                <c:ptCount val="41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 </c:v>
                  </c:pt>
                </c:lvl>
              </c:multiLvlStrCache>
            </c:multiLvlStrRef>
          </c:cat>
          <c:val>
            <c:numRef>
              <c:f>Arkusz1!$D$2:$D$85</c:f>
              <c:numCache>
                <c:formatCode>0.0</c:formatCode>
                <c:ptCount val="41"/>
                <c:pt idx="0">
                  <c:v>-2.6</c:v>
                </c:pt>
                <c:pt idx="1">
                  <c:v>-5.9</c:v>
                </c:pt>
                <c:pt idx="2">
                  <c:v>-5.8</c:v>
                </c:pt>
                <c:pt idx="3">
                  <c:v>-1.8</c:v>
                </c:pt>
                <c:pt idx="4">
                  <c:v>-4.8</c:v>
                </c:pt>
                <c:pt idx="5">
                  <c:v>-2.4</c:v>
                </c:pt>
                <c:pt idx="6">
                  <c:v>-1.9</c:v>
                </c:pt>
                <c:pt idx="7">
                  <c:v>-0.6</c:v>
                </c:pt>
                <c:pt idx="8">
                  <c:v>-3.9</c:v>
                </c:pt>
                <c:pt idx="9">
                  <c:v>-3.9</c:v>
                </c:pt>
                <c:pt idx="10">
                  <c:v>2.6</c:v>
                </c:pt>
                <c:pt idx="11">
                  <c:v>-2.6</c:v>
                </c:pt>
                <c:pt idx="12">
                  <c:v>0.6</c:v>
                </c:pt>
                <c:pt idx="13">
                  <c:v>2.2999999999999998</c:v>
                </c:pt>
                <c:pt idx="14">
                  <c:v>-0.5</c:v>
                </c:pt>
                <c:pt idx="15">
                  <c:v>3.4</c:v>
                </c:pt>
                <c:pt idx="16">
                  <c:v>0.4</c:v>
                </c:pt>
                <c:pt idx="17">
                  <c:v>0.1</c:v>
                </c:pt>
                <c:pt idx="18">
                  <c:v>-0.2</c:v>
                </c:pt>
                <c:pt idx="19">
                  <c:v>0.8</c:v>
                </c:pt>
                <c:pt idx="20">
                  <c:v>1.6</c:v>
                </c:pt>
                <c:pt idx="21">
                  <c:v>-0.6</c:v>
                </c:pt>
                <c:pt idx="22">
                  <c:v>1.8</c:v>
                </c:pt>
                <c:pt idx="23">
                  <c:v>1.6</c:v>
                </c:pt>
                <c:pt idx="24">
                  <c:v>2.9</c:v>
                </c:pt>
                <c:pt idx="25">
                  <c:v>2.2000000000000002</c:v>
                </c:pt>
                <c:pt idx="26">
                  <c:v>1.6</c:v>
                </c:pt>
                <c:pt idx="27">
                  <c:v>2</c:v>
                </c:pt>
                <c:pt idx="28">
                  <c:v>2.8</c:v>
                </c:pt>
                <c:pt idx="29">
                  <c:v>2.9</c:v>
                </c:pt>
                <c:pt idx="30">
                  <c:v>3.6</c:v>
                </c:pt>
                <c:pt idx="31">
                  <c:v>4.3</c:v>
                </c:pt>
                <c:pt idx="32">
                  <c:v>4</c:v>
                </c:pt>
                <c:pt idx="33">
                  <c:v>1.6</c:v>
                </c:pt>
                <c:pt idx="34">
                  <c:v>5</c:v>
                </c:pt>
                <c:pt idx="35">
                  <c:v>0.2</c:v>
                </c:pt>
                <c:pt idx="36">
                  <c:v>5.2</c:v>
                </c:pt>
                <c:pt idx="37">
                  <c:v>2.8</c:v>
                </c:pt>
                <c:pt idx="38">
                  <c:v>4.2</c:v>
                </c:pt>
                <c:pt idx="39">
                  <c:v>5.7</c:v>
                </c:pt>
                <c:pt idx="40">
                  <c:v>3.5</c:v>
                </c:pt>
              </c:numCache>
            </c:numRef>
          </c:val>
          <c:smooth val="0"/>
        </c:ser>
        <c:ser>
          <c:idx val="1"/>
          <c:order val="2"/>
          <c:tx>
            <c:strRef>
              <c:f>Arkusz1!$E$1</c:f>
              <c:strCache>
                <c:ptCount val="1"/>
                <c:pt idx="0">
                  <c:v>Zmiana syt. kraju w najbliższych 12 miesiącach</c:v>
                </c:pt>
              </c:strCache>
            </c:strRef>
          </c:tx>
          <c:spPr>
            <a:ln w="28575" cap="rnd">
              <a:solidFill>
                <a:srgbClr val="522398">
                  <a:alpha val="60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522398">
                  <a:alpha val="60000"/>
                </a:srgbClr>
              </a:solidFill>
              <a:ln w="9525">
                <a:noFill/>
              </a:ln>
              <a:effectLst/>
            </c:spPr>
          </c:marker>
          <c:cat>
            <c:multiLvlStrRef>
              <c:f>Arkusz1!$A$2:$B$85</c:f>
              <c:multiLvlStrCache>
                <c:ptCount val="41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 </c:v>
                  </c:pt>
                </c:lvl>
              </c:multiLvlStrCache>
            </c:multiLvlStrRef>
          </c:cat>
          <c:val>
            <c:numRef>
              <c:f>Arkusz1!$E$2:$E$85</c:f>
              <c:numCache>
                <c:formatCode>0.0</c:formatCode>
                <c:ptCount val="41"/>
                <c:pt idx="0">
                  <c:v>-13.2</c:v>
                </c:pt>
                <c:pt idx="1">
                  <c:v>-19.5</c:v>
                </c:pt>
                <c:pt idx="2">
                  <c:v>-18.399999999999999</c:v>
                </c:pt>
                <c:pt idx="3">
                  <c:v>-12.3</c:v>
                </c:pt>
                <c:pt idx="4">
                  <c:v>-14.5</c:v>
                </c:pt>
                <c:pt idx="5">
                  <c:v>-5.0999999999999996</c:v>
                </c:pt>
                <c:pt idx="6">
                  <c:v>-9.6</c:v>
                </c:pt>
                <c:pt idx="7">
                  <c:v>-4.8</c:v>
                </c:pt>
                <c:pt idx="8">
                  <c:v>-12.5</c:v>
                </c:pt>
                <c:pt idx="9">
                  <c:v>-11.4</c:v>
                </c:pt>
                <c:pt idx="10">
                  <c:v>-0.7</c:v>
                </c:pt>
                <c:pt idx="11">
                  <c:v>-14.6</c:v>
                </c:pt>
                <c:pt idx="12">
                  <c:v>-9.4</c:v>
                </c:pt>
                <c:pt idx="13">
                  <c:v>-7.7</c:v>
                </c:pt>
                <c:pt idx="14">
                  <c:v>-13.4</c:v>
                </c:pt>
                <c:pt idx="15">
                  <c:v>-5.8</c:v>
                </c:pt>
                <c:pt idx="16">
                  <c:v>-11</c:v>
                </c:pt>
                <c:pt idx="17">
                  <c:v>-13.2</c:v>
                </c:pt>
                <c:pt idx="18">
                  <c:v>-9.3000000000000007</c:v>
                </c:pt>
                <c:pt idx="19">
                  <c:v>-7.2</c:v>
                </c:pt>
                <c:pt idx="20">
                  <c:v>-8.1</c:v>
                </c:pt>
                <c:pt idx="21">
                  <c:v>-9.9</c:v>
                </c:pt>
                <c:pt idx="22">
                  <c:v>-8.5</c:v>
                </c:pt>
                <c:pt idx="23">
                  <c:v>-9.6</c:v>
                </c:pt>
                <c:pt idx="24">
                  <c:v>-10.1</c:v>
                </c:pt>
                <c:pt idx="25">
                  <c:v>-9.1999999999999993</c:v>
                </c:pt>
                <c:pt idx="26">
                  <c:v>-8.3000000000000007</c:v>
                </c:pt>
                <c:pt idx="27">
                  <c:v>-7.2</c:v>
                </c:pt>
                <c:pt idx="28">
                  <c:v>-1.4</c:v>
                </c:pt>
                <c:pt idx="29">
                  <c:v>1.8</c:v>
                </c:pt>
                <c:pt idx="30">
                  <c:v>1.9</c:v>
                </c:pt>
                <c:pt idx="31">
                  <c:v>2.7</c:v>
                </c:pt>
                <c:pt idx="32">
                  <c:v>0.8</c:v>
                </c:pt>
                <c:pt idx="33">
                  <c:v>3.4</c:v>
                </c:pt>
                <c:pt idx="34">
                  <c:v>3.8</c:v>
                </c:pt>
                <c:pt idx="35">
                  <c:v>0.3</c:v>
                </c:pt>
                <c:pt idx="36">
                  <c:v>4</c:v>
                </c:pt>
                <c:pt idx="37">
                  <c:v>6.3</c:v>
                </c:pt>
                <c:pt idx="38">
                  <c:v>3.2</c:v>
                </c:pt>
                <c:pt idx="39">
                  <c:v>6</c:v>
                </c:pt>
                <c:pt idx="40">
                  <c:v>3.8</c:v>
                </c:pt>
              </c:numCache>
            </c:numRef>
          </c:val>
          <c:smooth val="0"/>
        </c:ser>
        <c:ser>
          <c:idx val="2"/>
          <c:order val="3"/>
          <c:tx>
            <c:strRef>
              <c:f>Arkusz1!$F$1</c:f>
              <c:strCache>
                <c:ptCount val="1"/>
                <c:pt idx="0">
                  <c:v>Zmiana poziomu bezrobocia</c:v>
                </c:pt>
              </c:strCache>
            </c:strRef>
          </c:tx>
          <c:spPr>
            <a:ln w="28575" cap="rnd">
              <a:solidFill>
                <a:srgbClr val="BED600">
                  <a:alpha val="60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BED600">
                  <a:alpha val="60000"/>
                </a:srgbClr>
              </a:solidFill>
              <a:ln w="9525">
                <a:noFill/>
              </a:ln>
              <a:effectLst/>
            </c:spPr>
          </c:marker>
          <c:cat>
            <c:multiLvlStrRef>
              <c:f>Arkusz1!$A$2:$B$85</c:f>
              <c:multiLvlStrCache>
                <c:ptCount val="41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 </c:v>
                  </c:pt>
                </c:lvl>
              </c:multiLvlStrCache>
            </c:multiLvlStrRef>
          </c:cat>
          <c:val>
            <c:numRef>
              <c:f>Arkusz1!$F$2:$F$85</c:f>
              <c:numCache>
                <c:formatCode>0.0</c:formatCode>
                <c:ptCount val="41"/>
                <c:pt idx="0">
                  <c:v>-27.2</c:v>
                </c:pt>
                <c:pt idx="1">
                  <c:v>-31</c:v>
                </c:pt>
                <c:pt idx="2">
                  <c:v>-26.5</c:v>
                </c:pt>
                <c:pt idx="3">
                  <c:v>-16.8</c:v>
                </c:pt>
                <c:pt idx="4">
                  <c:v>-20.8</c:v>
                </c:pt>
                <c:pt idx="5">
                  <c:v>-11.4</c:v>
                </c:pt>
                <c:pt idx="6">
                  <c:v>-16.2</c:v>
                </c:pt>
                <c:pt idx="7">
                  <c:v>-20.100000000000001</c:v>
                </c:pt>
                <c:pt idx="8">
                  <c:v>-20.3</c:v>
                </c:pt>
                <c:pt idx="9">
                  <c:v>-20.100000000000001</c:v>
                </c:pt>
                <c:pt idx="10">
                  <c:v>-10</c:v>
                </c:pt>
                <c:pt idx="11">
                  <c:v>-16</c:v>
                </c:pt>
                <c:pt idx="12">
                  <c:v>-13.9</c:v>
                </c:pt>
                <c:pt idx="13">
                  <c:v>-9.6</c:v>
                </c:pt>
                <c:pt idx="14">
                  <c:v>-9.1</c:v>
                </c:pt>
                <c:pt idx="15">
                  <c:v>-7.7</c:v>
                </c:pt>
                <c:pt idx="16">
                  <c:v>-3.9</c:v>
                </c:pt>
                <c:pt idx="17">
                  <c:v>-5.3</c:v>
                </c:pt>
                <c:pt idx="18">
                  <c:v>-13.5</c:v>
                </c:pt>
                <c:pt idx="19">
                  <c:v>-7.1</c:v>
                </c:pt>
                <c:pt idx="20">
                  <c:v>-6.6</c:v>
                </c:pt>
                <c:pt idx="21">
                  <c:v>-11.7</c:v>
                </c:pt>
                <c:pt idx="22">
                  <c:v>-1.1000000000000001</c:v>
                </c:pt>
                <c:pt idx="23">
                  <c:v>-4.0999999999999996</c:v>
                </c:pt>
                <c:pt idx="24">
                  <c:v>-0.1</c:v>
                </c:pt>
                <c:pt idx="25">
                  <c:v>4.4000000000000004</c:v>
                </c:pt>
                <c:pt idx="26">
                  <c:v>4.9000000000000004</c:v>
                </c:pt>
                <c:pt idx="27">
                  <c:v>5.9</c:v>
                </c:pt>
                <c:pt idx="28">
                  <c:v>11</c:v>
                </c:pt>
                <c:pt idx="29">
                  <c:v>11.7</c:v>
                </c:pt>
                <c:pt idx="30">
                  <c:v>10.1</c:v>
                </c:pt>
                <c:pt idx="31">
                  <c:v>11</c:v>
                </c:pt>
                <c:pt idx="32">
                  <c:v>10.199999999999999</c:v>
                </c:pt>
                <c:pt idx="33">
                  <c:v>9.1999999999999993</c:v>
                </c:pt>
                <c:pt idx="34">
                  <c:v>13.5</c:v>
                </c:pt>
                <c:pt idx="35">
                  <c:v>10.8</c:v>
                </c:pt>
                <c:pt idx="36">
                  <c:v>13.6</c:v>
                </c:pt>
                <c:pt idx="37">
                  <c:v>14.1</c:v>
                </c:pt>
                <c:pt idx="38">
                  <c:v>13.4</c:v>
                </c:pt>
                <c:pt idx="39">
                  <c:v>18</c:v>
                </c:pt>
                <c:pt idx="40">
                  <c:v>14.2</c:v>
                </c:pt>
              </c:numCache>
            </c:numRef>
          </c:val>
          <c:smooth val="0"/>
        </c:ser>
        <c:ser>
          <c:idx val="5"/>
          <c:order val="4"/>
          <c:tx>
            <c:strRef>
              <c:f>Arkusz1!$G$1</c:f>
              <c:strCache>
                <c:ptCount val="1"/>
                <c:pt idx="0">
                  <c:v>Oszczędzanie pieniędzy</c:v>
                </c:pt>
              </c:strCache>
            </c:strRef>
          </c:tx>
          <c:spPr>
            <a:ln w="28575" cap="rnd">
              <a:solidFill>
                <a:srgbClr val="009AA6">
                  <a:alpha val="60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9AA6">
                  <a:alpha val="60000"/>
                </a:srgbClr>
              </a:solidFill>
              <a:ln w="9525">
                <a:noFill/>
              </a:ln>
              <a:effectLst/>
            </c:spPr>
          </c:marker>
          <c:cat>
            <c:multiLvlStrRef>
              <c:f>Arkusz1!$A$2:$B$85</c:f>
              <c:multiLvlStrCache>
                <c:ptCount val="41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 </c:v>
                  </c:pt>
                </c:lvl>
              </c:multiLvlStrCache>
            </c:multiLvlStrRef>
          </c:cat>
          <c:val>
            <c:numRef>
              <c:f>Arkusz1!$G$2:$G$85</c:f>
              <c:numCache>
                <c:formatCode>0.0</c:formatCode>
                <c:ptCount val="41"/>
                <c:pt idx="0">
                  <c:v>-22.8</c:v>
                </c:pt>
                <c:pt idx="1">
                  <c:v>-30.2</c:v>
                </c:pt>
                <c:pt idx="2">
                  <c:v>-27.3</c:v>
                </c:pt>
                <c:pt idx="3">
                  <c:v>-25.9</c:v>
                </c:pt>
                <c:pt idx="4">
                  <c:v>-28.7</c:v>
                </c:pt>
                <c:pt idx="5">
                  <c:v>-27.9</c:v>
                </c:pt>
                <c:pt idx="6">
                  <c:v>-29.6</c:v>
                </c:pt>
                <c:pt idx="7">
                  <c:v>-27.4</c:v>
                </c:pt>
                <c:pt idx="8">
                  <c:v>-24.3</c:v>
                </c:pt>
                <c:pt idx="9">
                  <c:v>-24.7</c:v>
                </c:pt>
                <c:pt idx="10">
                  <c:v>-25</c:v>
                </c:pt>
                <c:pt idx="11">
                  <c:v>-21.6</c:v>
                </c:pt>
                <c:pt idx="12">
                  <c:v>-20.8</c:v>
                </c:pt>
                <c:pt idx="13">
                  <c:v>-17.7</c:v>
                </c:pt>
                <c:pt idx="14">
                  <c:v>-22.9</c:v>
                </c:pt>
                <c:pt idx="15">
                  <c:v>-18.5</c:v>
                </c:pt>
                <c:pt idx="16">
                  <c:v>-16.399999999999999</c:v>
                </c:pt>
                <c:pt idx="17">
                  <c:v>-20.2</c:v>
                </c:pt>
                <c:pt idx="18">
                  <c:v>-19.2</c:v>
                </c:pt>
                <c:pt idx="19">
                  <c:v>-15.6</c:v>
                </c:pt>
                <c:pt idx="20">
                  <c:v>-16.8</c:v>
                </c:pt>
                <c:pt idx="21">
                  <c:v>-18.8</c:v>
                </c:pt>
                <c:pt idx="22">
                  <c:v>-13.8</c:v>
                </c:pt>
                <c:pt idx="23">
                  <c:v>-14.6</c:v>
                </c:pt>
                <c:pt idx="24">
                  <c:v>-10.1</c:v>
                </c:pt>
                <c:pt idx="25">
                  <c:v>-11.8</c:v>
                </c:pt>
                <c:pt idx="26">
                  <c:v>-15</c:v>
                </c:pt>
                <c:pt idx="27">
                  <c:v>-12.9</c:v>
                </c:pt>
                <c:pt idx="28">
                  <c:v>-10</c:v>
                </c:pt>
                <c:pt idx="29">
                  <c:v>-9.4</c:v>
                </c:pt>
                <c:pt idx="30">
                  <c:v>-10.5</c:v>
                </c:pt>
                <c:pt idx="31">
                  <c:v>-7.3</c:v>
                </c:pt>
                <c:pt idx="32">
                  <c:v>-11.7</c:v>
                </c:pt>
                <c:pt idx="33">
                  <c:v>-8</c:v>
                </c:pt>
                <c:pt idx="34">
                  <c:v>-8.8000000000000007</c:v>
                </c:pt>
                <c:pt idx="35">
                  <c:v>-12</c:v>
                </c:pt>
                <c:pt idx="36">
                  <c:v>-5.8</c:v>
                </c:pt>
                <c:pt idx="37">
                  <c:v>-6.4</c:v>
                </c:pt>
                <c:pt idx="38">
                  <c:v>-9.1999999999999993</c:v>
                </c:pt>
                <c:pt idx="39">
                  <c:v>-6.9</c:v>
                </c:pt>
                <c:pt idx="40">
                  <c:v>-10.199999999999999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07299808"/>
        <c:axId val="1327749104"/>
      </c:lineChart>
      <c:catAx>
        <c:axId val="1507299808"/>
        <c:scaling>
          <c:orientation val="minMax"/>
        </c:scaling>
        <c:delete val="0"/>
        <c:axPos val="b"/>
        <c:numFmt formatCode="d/mm" sourceLinked="0"/>
        <c:majorTickMark val="in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7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1327749104"/>
        <c:crossesAt val="0"/>
        <c:auto val="1"/>
        <c:lblAlgn val="ctr"/>
        <c:lblOffset val="100"/>
        <c:tickLblSkip val="1"/>
        <c:noMultiLvlLbl val="0"/>
      </c:catAx>
      <c:valAx>
        <c:axId val="1327749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1507299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6822253391625268E-4"/>
          <c:y val="0.84503937007874019"/>
          <c:w val="0.9993317774660837"/>
          <c:h val="0.1549606299212598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700">
          <a:solidFill>
            <a:sysClr val="windowText" lastClr="000000"/>
          </a:solidFill>
          <a:latin typeface="Fira Sans" panose="020B0503050000020004" pitchFamily="34" charset="0"/>
          <a:ea typeface="Fira Sans" panose="020B0503050000020004" pitchFamily="34" charset="0"/>
        </a:defRPr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546769232871537E-2"/>
          <c:y val="3.182981166293733E-2"/>
          <c:w val="0.91936996161087892"/>
          <c:h val="0.68551983144386652"/>
        </c:manualLayout>
      </c:layout>
      <c:barChart>
        <c:barDir val="col"/>
        <c:grouping val="clustered"/>
        <c:varyColors val="0"/>
        <c:ser>
          <c:idx val="4"/>
          <c:order val="0"/>
          <c:tx>
            <c:strRef>
              <c:f>Arkusz1!$C$1</c:f>
              <c:strCache>
                <c:ptCount val="1"/>
                <c:pt idx="0">
                  <c:v>WWUK</c:v>
                </c:pt>
              </c:strCache>
            </c:strRef>
          </c:tx>
          <c:spPr>
            <a:solidFill>
              <a:srgbClr val="008542"/>
            </a:solidFill>
            <a:ln>
              <a:noFill/>
            </a:ln>
            <a:effectLst/>
          </c:spPr>
          <c:invertIfNegative val="0"/>
          <c:cat>
            <c:strRef>
              <c:f>Arkusz1!$B$2:$B$30</c:f>
              <c:strCache>
                <c:ptCount val="21"/>
                <c:pt idx="0">
                  <c:v>1997**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  <c:pt idx="20">
                  <c:v>2017</c:v>
                </c:pt>
              </c:strCache>
            </c:strRef>
          </c:cat>
          <c:val>
            <c:numRef>
              <c:f>Arkusz1!$C$2:$C$30</c:f>
              <c:numCache>
                <c:formatCode>0.0_)</c:formatCode>
                <c:ptCount val="21"/>
                <c:pt idx="0">
                  <c:v>-21.85</c:v>
                </c:pt>
                <c:pt idx="1">
                  <c:v>-29.625</c:v>
                </c:pt>
                <c:pt idx="2">
                  <c:v>-41.424999999999997</c:v>
                </c:pt>
                <c:pt idx="3">
                  <c:v>-44.6</c:v>
                </c:pt>
                <c:pt idx="4">
                  <c:v>-46.524999999999999</c:v>
                </c:pt>
                <c:pt idx="5">
                  <c:v>-47.825000000000003</c:v>
                </c:pt>
                <c:pt idx="6">
                  <c:v>-44.8</c:v>
                </c:pt>
                <c:pt idx="7">
                  <c:v>-35.700000000000003</c:v>
                </c:pt>
                <c:pt idx="8" formatCode="0.0">
                  <c:v>-27.2</c:v>
                </c:pt>
                <c:pt idx="9" formatCode="0.0">
                  <c:v>-18.5</c:v>
                </c:pt>
                <c:pt idx="10" formatCode="0.0">
                  <c:v>-7.9</c:v>
                </c:pt>
                <c:pt idx="11" formatCode="0.0">
                  <c:v>-11.6</c:v>
                </c:pt>
                <c:pt idx="12" formatCode="0.0">
                  <c:v>-32.5</c:v>
                </c:pt>
                <c:pt idx="13" formatCode="0.0">
                  <c:v>-23.5</c:v>
                </c:pt>
                <c:pt idx="14" formatCode="0.0">
                  <c:v>-29.8</c:v>
                </c:pt>
                <c:pt idx="15" formatCode="0.0">
                  <c:v>-36.700000000000003</c:v>
                </c:pt>
                <c:pt idx="16" formatCode="0.0">
                  <c:v>-33.700000000000003</c:v>
                </c:pt>
                <c:pt idx="17" formatCode="0.0">
                  <c:v>-21.8</c:v>
                </c:pt>
                <c:pt idx="18" formatCode="0.0">
                  <c:v>-15.1</c:v>
                </c:pt>
                <c:pt idx="19" formatCode="0.0">
                  <c:v>-8.6</c:v>
                </c:pt>
                <c:pt idx="20" formatCode="0.0">
                  <c:v>-0.3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7741488"/>
        <c:axId val="1327742576"/>
      </c:barChart>
      <c:lineChart>
        <c:grouping val="standard"/>
        <c:varyColors val="0"/>
        <c:ser>
          <c:idx val="0"/>
          <c:order val="1"/>
          <c:tx>
            <c:strRef>
              <c:f>Arkusz1!$D$1</c:f>
              <c:strCache>
                <c:ptCount val="1"/>
                <c:pt idx="0">
                  <c:v>Zmiana syt. gosp. dom. w najbliższych 12 miesiącach</c:v>
                </c:pt>
              </c:strCache>
            </c:strRef>
          </c:tx>
          <c:spPr>
            <a:ln w="28575" cap="rnd">
              <a:solidFill>
                <a:srgbClr val="007AC9">
                  <a:alpha val="60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7AC9">
                  <a:alpha val="60000"/>
                </a:srgbClr>
              </a:solidFill>
              <a:ln w="9525">
                <a:noFill/>
              </a:ln>
              <a:effectLst/>
            </c:spPr>
          </c:marker>
          <c:cat>
            <c:strRef>
              <c:f>Arkusz1!$B$2:$B$30</c:f>
              <c:strCache>
                <c:ptCount val="21"/>
                <c:pt idx="0">
                  <c:v>1997**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  <c:pt idx="20">
                  <c:v>2017</c:v>
                </c:pt>
              </c:strCache>
            </c:strRef>
          </c:cat>
          <c:val>
            <c:numRef>
              <c:f>Arkusz1!$D$2:$D$30</c:f>
              <c:numCache>
                <c:formatCode>0.0_)</c:formatCode>
                <c:ptCount val="21"/>
                <c:pt idx="0">
                  <c:v>-11</c:v>
                </c:pt>
                <c:pt idx="1">
                  <c:v>-19.2</c:v>
                </c:pt>
                <c:pt idx="2">
                  <c:v>-25.3</c:v>
                </c:pt>
                <c:pt idx="3">
                  <c:v>-26.8</c:v>
                </c:pt>
                <c:pt idx="4">
                  <c:v>-25.8</c:v>
                </c:pt>
                <c:pt idx="5">
                  <c:v>-27.8</c:v>
                </c:pt>
                <c:pt idx="6">
                  <c:v>-24.5</c:v>
                </c:pt>
                <c:pt idx="7">
                  <c:v>-22.3</c:v>
                </c:pt>
                <c:pt idx="8" formatCode="0.0">
                  <c:v>-12</c:v>
                </c:pt>
                <c:pt idx="9" formatCode="0.0">
                  <c:v>-6.1</c:v>
                </c:pt>
                <c:pt idx="10" formatCode="0.0">
                  <c:v>-1.9</c:v>
                </c:pt>
                <c:pt idx="11" formatCode="0.0">
                  <c:v>-4.5</c:v>
                </c:pt>
                <c:pt idx="12" formatCode="0.0">
                  <c:v>-11.1</c:v>
                </c:pt>
                <c:pt idx="13" formatCode="0.0">
                  <c:v>-8.1999999999999993</c:v>
                </c:pt>
                <c:pt idx="14" formatCode="0.0">
                  <c:v>-14.6</c:v>
                </c:pt>
                <c:pt idx="15" formatCode="0.0">
                  <c:v>-18.5</c:v>
                </c:pt>
                <c:pt idx="16" formatCode="0.0">
                  <c:v>-13.6</c:v>
                </c:pt>
                <c:pt idx="17" formatCode="0.0">
                  <c:v>-7.3</c:v>
                </c:pt>
                <c:pt idx="18" formatCode="0.0">
                  <c:v>-2.8</c:v>
                </c:pt>
                <c:pt idx="19" formatCode="0.0">
                  <c:v>0.9</c:v>
                </c:pt>
                <c:pt idx="20" formatCode="0.0">
                  <c:v>2.8</c:v>
                </c:pt>
              </c:numCache>
            </c:numRef>
          </c:val>
          <c:smooth val="0"/>
        </c:ser>
        <c:ser>
          <c:idx val="5"/>
          <c:order val="2"/>
          <c:tx>
            <c:strRef>
              <c:f>Arkusz1!$E$1</c:f>
              <c:strCache>
                <c:ptCount val="1"/>
                <c:pt idx="0">
                  <c:v>Zmiana syt. kraju w najbliższych 12 miesiącach</c:v>
                </c:pt>
              </c:strCache>
            </c:strRef>
          </c:tx>
          <c:spPr>
            <a:ln w="28575" cap="rnd">
              <a:solidFill>
                <a:srgbClr val="522398">
                  <a:alpha val="60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522398">
                  <a:alpha val="60000"/>
                </a:srgbClr>
              </a:solidFill>
              <a:ln w="9525">
                <a:noFill/>
              </a:ln>
              <a:effectLst/>
            </c:spPr>
          </c:marker>
          <c:cat>
            <c:strRef>
              <c:f>Arkusz1!$B$2:$B$30</c:f>
              <c:strCache>
                <c:ptCount val="21"/>
                <c:pt idx="0">
                  <c:v>1997**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  <c:pt idx="20">
                  <c:v>2017</c:v>
                </c:pt>
              </c:strCache>
            </c:strRef>
          </c:cat>
          <c:val>
            <c:numRef>
              <c:f>Arkusz1!$E$2:$E$30</c:f>
              <c:numCache>
                <c:formatCode>0.0_)</c:formatCode>
                <c:ptCount val="21"/>
                <c:pt idx="0">
                  <c:v>-10</c:v>
                </c:pt>
                <c:pt idx="1">
                  <c:v>-17</c:v>
                </c:pt>
                <c:pt idx="2">
                  <c:v>-29.7</c:v>
                </c:pt>
                <c:pt idx="3">
                  <c:v>-29.5</c:v>
                </c:pt>
                <c:pt idx="4">
                  <c:v>-32.200000000000003</c:v>
                </c:pt>
                <c:pt idx="5">
                  <c:v>-35.1</c:v>
                </c:pt>
                <c:pt idx="6">
                  <c:v>-35.200000000000003</c:v>
                </c:pt>
                <c:pt idx="7">
                  <c:v>-30.8</c:v>
                </c:pt>
                <c:pt idx="8" formatCode="0.0">
                  <c:v>-16.7</c:v>
                </c:pt>
                <c:pt idx="9" formatCode="0.0">
                  <c:v>-13</c:v>
                </c:pt>
                <c:pt idx="10" formatCode="0.0">
                  <c:v>-6.6</c:v>
                </c:pt>
                <c:pt idx="11" formatCode="0.0">
                  <c:v>-9.6999999999999993</c:v>
                </c:pt>
                <c:pt idx="12" formatCode="0.0">
                  <c:v>-26.5</c:v>
                </c:pt>
                <c:pt idx="13" formatCode="0.0">
                  <c:v>-18.899999999999999</c:v>
                </c:pt>
                <c:pt idx="14" formatCode="0.0">
                  <c:v>-30.8</c:v>
                </c:pt>
                <c:pt idx="15" formatCode="0.0">
                  <c:v>-38</c:v>
                </c:pt>
                <c:pt idx="16" formatCode="0.0">
                  <c:v>-31.2</c:v>
                </c:pt>
                <c:pt idx="17" formatCode="0.0">
                  <c:v>-18.399999999999999</c:v>
                </c:pt>
                <c:pt idx="18" formatCode="0.0">
                  <c:v>-11.4</c:v>
                </c:pt>
                <c:pt idx="19" formatCode="0.0">
                  <c:v>-9.4</c:v>
                </c:pt>
                <c:pt idx="20" formatCode="0.0">
                  <c:v>-1.8</c:v>
                </c:pt>
              </c:numCache>
            </c:numRef>
          </c:val>
          <c:smooth val="0"/>
        </c:ser>
        <c:ser>
          <c:idx val="1"/>
          <c:order val="3"/>
          <c:tx>
            <c:strRef>
              <c:f>Arkusz1!$F$1</c:f>
              <c:strCache>
                <c:ptCount val="1"/>
                <c:pt idx="0">
                  <c:v>Zmiana poziomu bezrobocia</c:v>
                </c:pt>
              </c:strCache>
            </c:strRef>
          </c:tx>
          <c:spPr>
            <a:ln w="28575" cap="rnd">
              <a:solidFill>
                <a:srgbClr val="BED600">
                  <a:alpha val="60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BED600">
                  <a:alpha val="60000"/>
                </a:srgbClr>
              </a:solidFill>
              <a:ln w="9525">
                <a:noFill/>
              </a:ln>
              <a:effectLst/>
            </c:spPr>
          </c:marker>
          <c:cat>
            <c:strRef>
              <c:f>Arkusz1!$B$2:$B$30</c:f>
              <c:strCache>
                <c:ptCount val="21"/>
                <c:pt idx="0">
                  <c:v>1997**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  <c:pt idx="20">
                  <c:v>2017</c:v>
                </c:pt>
              </c:strCache>
            </c:strRef>
          </c:cat>
          <c:val>
            <c:numRef>
              <c:f>Arkusz1!$F$2:$F$30</c:f>
              <c:numCache>
                <c:formatCode>0.0_)</c:formatCode>
                <c:ptCount val="21"/>
                <c:pt idx="0">
                  <c:v>-15</c:v>
                </c:pt>
                <c:pt idx="1">
                  <c:v>-27.3</c:v>
                </c:pt>
                <c:pt idx="2">
                  <c:v>-53.1</c:v>
                </c:pt>
                <c:pt idx="3">
                  <c:v>-62</c:v>
                </c:pt>
                <c:pt idx="4">
                  <c:v>-68</c:v>
                </c:pt>
                <c:pt idx="5">
                  <c:v>-63.8</c:v>
                </c:pt>
                <c:pt idx="6">
                  <c:v>-54.1</c:v>
                </c:pt>
                <c:pt idx="7">
                  <c:v>-30.3</c:v>
                </c:pt>
                <c:pt idx="8" formatCode="0.0">
                  <c:v>-24.8</c:v>
                </c:pt>
                <c:pt idx="9" formatCode="0.0">
                  <c:v>-6.3</c:v>
                </c:pt>
                <c:pt idx="10" formatCode="0.0">
                  <c:v>17.600000000000001</c:v>
                </c:pt>
                <c:pt idx="11" formatCode="0.0">
                  <c:v>5.0999999999999996</c:v>
                </c:pt>
                <c:pt idx="12" formatCode="0.0">
                  <c:v>-54.6</c:v>
                </c:pt>
                <c:pt idx="13" formatCode="0.0">
                  <c:v>-34.4</c:v>
                </c:pt>
                <c:pt idx="14" formatCode="0.0">
                  <c:v>-37</c:v>
                </c:pt>
                <c:pt idx="15" formatCode="0.0">
                  <c:v>-53.3</c:v>
                </c:pt>
                <c:pt idx="16" formatCode="0.0">
                  <c:v>-53.7</c:v>
                </c:pt>
                <c:pt idx="17" formatCode="0.0">
                  <c:v>-31.1</c:v>
                </c:pt>
                <c:pt idx="18" formatCode="0.0">
                  <c:v>-19.7</c:v>
                </c:pt>
                <c:pt idx="19" formatCode="0.0">
                  <c:v>-7.8</c:v>
                </c:pt>
                <c:pt idx="20" formatCode="0.0">
                  <c:v>8.5</c:v>
                </c:pt>
              </c:numCache>
            </c:numRef>
          </c:val>
          <c:smooth val="0"/>
        </c:ser>
        <c:ser>
          <c:idx val="2"/>
          <c:order val="4"/>
          <c:tx>
            <c:strRef>
              <c:f>Arkusz1!$G$1</c:f>
              <c:strCache>
                <c:ptCount val="1"/>
                <c:pt idx="0">
                  <c:v>Oszczędzanie pieniędzy</c:v>
                </c:pt>
              </c:strCache>
            </c:strRef>
          </c:tx>
          <c:spPr>
            <a:ln w="28575" cap="rnd">
              <a:solidFill>
                <a:srgbClr val="009AA6">
                  <a:alpha val="60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9AA6">
                  <a:alpha val="60000"/>
                </a:srgbClr>
              </a:solidFill>
              <a:ln w="9525">
                <a:noFill/>
              </a:ln>
              <a:effectLst/>
            </c:spPr>
          </c:marker>
          <c:cat>
            <c:strRef>
              <c:f>Arkusz1!$B$2:$B$30</c:f>
              <c:strCache>
                <c:ptCount val="21"/>
                <c:pt idx="0">
                  <c:v>1997**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  <c:pt idx="20">
                  <c:v>2017</c:v>
                </c:pt>
              </c:strCache>
            </c:strRef>
          </c:cat>
          <c:val>
            <c:numRef>
              <c:f>Arkusz1!$G$2:$G$30</c:f>
              <c:numCache>
                <c:formatCode>0.0_)</c:formatCode>
                <c:ptCount val="21"/>
                <c:pt idx="0">
                  <c:v>-51.4</c:v>
                </c:pt>
                <c:pt idx="1">
                  <c:v>-55</c:v>
                </c:pt>
                <c:pt idx="2">
                  <c:v>-57.6</c:v>
                </c:pt>
                <c:pt idx="3">
                  <c:v>-60.1</c:v>
                </c:pt>
                <c:pt idx="4">
                  <c:v>-60.1</c:v>
                </c:pt>
                <c:pt idx="5">
                  <c:v>-64.599999999999994</c:v>
                </c:pt>
                <c:pt idx="6">
                  <c:v>-65.400000000000006</c:v>
                </c:pt>
                <c:pt idx="7">
                  <c:v>-58.8</c:v>
                </c:pt>
                <c:pt idx="8" formatCode="0.0">
                  <c:v>-54.6</c:v>
                </c:pt>
                <c:pt idx="9" formatCode="0.0">
                  <c:v>-48.3</c:v>
                </c:pt>
                <c:pt idx="10" formatCode="0.0">
                  <c:v>-40.700000000000003</c:v>
                </c:pt>
                <c:pt idx="11" formatCode="0.0">
                  <c:v>-37.200000000000003</c:v>
                </c:pt>
                <c:pt idx="12" formatCode="0.0">
                  <c:v>-37.1</c:v>
                </c:pt>
                <c:pt idx="13" formatCode="0.0">
                  <c:v>-32</c:v>
                </c:pt>
                <c:pt idx="14" formatCode="0.0">
                  <c:v>-36.1</c:v>
                </c:pt>
                <c:pt idx="15" formatCode="0.0">
                  <c:v>-36.9</c:v>
                </c:pt>
                <c:pt idx="16" formatCode="0.0">
                  <c:v>-36.1</c:v>
                </c:pt>
                <c:pt idx="17" formatCode="0.0">
                  <c:v>-30.5</c:v>
                </c:pt>
                <c:pt idx="18" formatCode="0.0">
                  <c:v>-26.3</c:v>
                </c:pt>
                <c:pt idx="19" formatCode="0.0">
                  <c:v>-18</c:v>
                </c:pt>
                <c:pt idx="20" formatCode="0.0">
                  <c:v>-10.6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27741488"/>
        <c:axId val="1327742576"/>
      </c:lineChart>
      <c:catAx>
        <c:axId val="1327741488"/>
        <c:scaling>
          <c:orientation val="minMax"/>
        </c:scaling>
        <c:delete val="0"/>
        <c:axPos val="b"/>
        <c:numFmt formatCode="d/mm" sourceLinked="0"/>
        <c:majorTickMark val="in"/>
        <c:minorTickMark val="none"/>
        <c:tickLblPos val="low"/>
        <c:spPr>
          <a:noFill/>
          <a:ln w="6350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7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1327742576"/>
        <c:crossesAt val="0"/>
        <c:auto val="0"/>
        <c:lblAlgn val="ctr"/>
        <c:lblOffset val="100"/>
        <c:noMultiLvlLbl val="0"/>
      </c:catAx>
      <c:valAx>
        <c:axId val="1327742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1327741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6822253391625268E-4"/>
          <c:y val="0.86735319766516639"/>
          <c:w val="0.99511785645611706"/>
          <c:h val="0.132646802334833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700">
          <a:solidFill>
            <a:sysClr val="windowText" lastClr="000000"/>
          </a:solidFill>
          <a:latin typeface="Fira Sans" panose="020B0503050000020004" pitchFamily="34" charset="0"/>
          <a:ea typeface="Fira Sans" panose="020B0503050000020004" pitchFamily="34" charset="0"/>
        </a:defRPr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0.07018</cdr:x>
      <cdr:y>0.75718</cdr:y>
    </cdr:from>
    <cdr:to>
      <cdr:x>0.36348</cdr:x>
      <cdr:y>0.82589</cdr:y>
    </cdr:to>
    <cdr:sp macro="" textlink="">
      <cdr:nvSpPr>
        <cdr:cNvPr id="2" name="Pole tekstowe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59521" y="2973788"/>
          <a:ext cx="1502410" cy="269875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/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pl-PL" sz="700">
              <a:solidFill>
                <a:schemeClr val="tx1"/>
              </a:solidFill>
              <a:effectLst/>
              <a:latin typeface="Fira Sans" panose="020B0503050000020004" pitchFamily="34" charset="0"/>
              <a:ea typeface="Fira Sans" panose="020B0503050000020004" pitchFamily="34" charset="0"/>
              <a:cs typeface="+mn-cs"/>
            </a:rPr>
            <a:t>** kwiecień, lipiec, październik</a:t>
          </a:r>
        </a:p>
        <a:p xmlns:a="http://schemas.openxmlformats.org/drawingml/2006/main">
          <a:endParaRPr lang="pl-PL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39804-E15D-40D9-A3F2-808567566B96}">
  <ds:schemaRefs>
    <ds:schemaRef ds:uri="http://schemas.microsoft.com/office/2006/metadata/properties"/>
    <ds:schemaRef ds:uri="http://schemas.microsoft.com/office/infopath/2007/PartnerControls"/>
    <ds:schemaRef ds:uri="30d47203-49ec-4c8c-a442-62231931aabb"/>
  </ds:schemaRefs>
</ds:datastoreItem>
</file>

<file path=customXml/itemProps2.xml><?xml version="1.0" encoding="utf-8"?>
<ds:datastoreItem xmlns:ds="http://schemas.openxmlformats.org/officeDocument/2006/customXml" ds:itemID="{FCFCB642-C1E9-4590-A884-732586E76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4DC58-EFEE-42A1-9591-F32E189D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4A66D8-69D2-48AB-86ED-DC0276519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Zawistowska Beata</dc:creator>
  <cp:keywords/>
  <dc:description/>
  <cp:lastModifiedBy>Zawistowska Beata</cp:lastModifiedBy>
  <cp:revision>3</cp:revision>
  <cp:lastPrinted>2018-05-21T07:21:00Z</cp:lastPrinted>
  <dcterms:created xsi:type="dcterms:W3CDTF">2018-05-23T06:44:00Z</dcterms:created>
  <dcterms:modified xsi:type="dcterms:W3CDTF">2018-05-23T06:44:00Z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