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E3" w:rsidRPr="00091E91" w:rsidRDefault="00A468E3" w:rsidP="00A468E3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bookmarkStart w:id="0" w:name="_GoBack"/>
      <w:bookmarkEnd w:id="0"/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i według krajów w 2017 </w:t>
      </w:r>
    </w:p>
    <w:p w:rsidR="00A468E3" w:rsidRPr="00001C5B" w:rsidRDefault="00A468E3" w:rsidP="00A468E3">
      <w:pPr>
        <w:pStyle w:val="tytuinformacji"/>
        <w:rPr>
          <w:sz w:val="32"/>
        </w:rPr>
      </w:pPr>
    </w:p>
    <w:p w:rsidR="00A468E3" w:rsidRPr="00690129" w:rsidRDefault="00A468E3" w:rsidP="00A468E3">
      <w:pPr>
        <w:pStyle w:val="LID"/>
      </w:pPr>
      <w:r w:rsidRPr="00690129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F6F338E" wp14:editId="4819BE4E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3" w:rsidRPr="00B66B19" w:rsidRDefault="00A468E3" w:rsidP="00A468E3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0995" cy="327660"/>
                                  <wp:effectExtent l="0" t="0" r="190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111,9</w:t>
                            </w:r>
                          </w:p>
                          <w:p w:rsidR="00A468E3" w:rsidRPr="00690129" w:rsidRDefault="00A468E3" w:rsidP="00A468E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Wskaźnik dynamiki importu w złotych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F33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A468E3" w:rsidRPr="00B66B19" w:rsidRDefault="00A468E3" w:rsidP="00A468E3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0995" cy="327660"/>
                            <wp:effectExtent l="0" t="0" r="190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111,9</w:t>
                      </w:r>
                    </w:p>
                    <w:p w:rsidR="00A468E3" w:rsidRPr="00690129" w:rsidRDefault="00A468E3" w:rsidP="00A468E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Wskaźnik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dynamiki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importu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 </w:t>
                      </w:r>
                      <w:proofErr w:type="spellStart"/>
                      <w:r>
                        <w:rPr>
                          <w:lang w:val="en-US"/>
                        </w:rPr>
                        <w:t>złotych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Obroty towarowe handlu zagranicznego</w:t>
      </w:r>
      <w:r>
        <w:rPr>
          <w:rFonts w:cs="Arial"/>
        </w:rPr>
        <w:t xml:space="preserve">  w 2017 roku</w:t>
      </w:r>
      <w:r w:rsidRPr="00690129">
        <w:rPr>
          <w:rFonts w:cs="Arial"/>
        </w:rPr>
        <w:t xml:space="preserve"> </w:t>
      </w:r>
      <w:r>
        <w:rPr>
          <w:rFonts w:cs="Arial"/>
        </w:rPr>
        <w:t>według danych ostatecznych wyniosły</w:t>
      </w:r>
      <w:r w:rsidRPr="00690129">
        <w:rPr>
          <w:rFonts w:cs="Arial"/>
        </w:rPr>
        <w:t xml:space="preserve"> w cenach bieżących </w:t>
      </w:r>
      <w:r>
        <w:rPr>
          <w:rFonts w:cs="Arial"/>
          <w:bCs/>
          <w:color w:val="000000"/>
        </w:rPr>
        <w:t>882,6</w:t>
      </w:r>
      <w:r w:rsidRPr="00690129">
        <w:rPr>
          <w:rFonts w:cs="Arial"/>
          <w:bCs/>
          <w:color w:val="000000"/>
        </w:rPr>
        <w:t> </w:t>
      </w:r>
      <w:r w:rsidRPr="00690129">
        <w:rPr>
          <w:rFonts w:cs="Arial"/>
        </w:rPr>
        <w:t>ml</w:t>
      </w:r>
      <w:r>
        <w:rPr>
          <w:rFonts w:cs="Arial"/>
        </w:rPr>
        <w:t>d</w:t>
      </w:r>
      <w:r w:rsidRPr="00690129">
        <w:rPr>
          <w:rFonts w:cs="Arial"/>
        </w:rPr>
        <w:t> zł</w:t>
      </w:r>
      <w:r w:rsidRPr="00992926">
        <w:rPr>
          <w:rFonts w:cs="Arial"/>
        </w:rPr>
        <w:t xml:space="preserve"> </w:t>
      </w:r>
      <w:r>
        <w:rPr>
          <w:rFonts w:cs="Arial"/>
        </w:rPr>
        <w:t xml:space="preserve">w  eksporcie oraz </w:t>
      </w:r>
      <w:r w:rsidRPr="00690129">
        <w:rPr>
          <w:rFonts w:cs="Arial"/>
        </w:rPr>
        <w:t> </w:t>
      </w:r>
      <w:r>
        <w:rPr>
          <w:rFonts w:cs="Arial"/>
          <w:bCs/>
          <w:color w:val="000000"/>
        </w:rPr>
        <w:t>880,1</w:t>
      </w:r>
      <w:r w:rsidRPr="00690129">
        <w:rPr>
          <w:rFonts w:cs="Arial"/>
          <w:bCs/>
          <w:color w:val="000000"/>
        </w:rPr>
        <w:t xml:space="preserve"> </w:t>
      </w:r>
      <w:r>
        <w:rPr>
          <w:rFonts w:cs="Arial"/>
        </w:rPr>
        <w:t>mld</w:t>
      </w:r>
      <w:r w:rsidRPr="00690129">
        <w:rPr>
          <w:rFonts w:cs="Arial"/>
        </w:rPr>
        <w:t xml:space="preserve"> zł</w:t>
      </w:r>
      <w:r w:rsidRPr="00992926">
        <w:rPr>
          <w:rFonts w:cs="Arial"/>
        </w:rPr>
        <w:t xml:space="preserve"> </w:t>
      </w:r>
      <w:r>
        <w:rPr>
          <w:rFonts w:cs="Arial"/>
        </w:rPr>
        <w:t>w</w:t>
      </w:r>
      <w:r w:rsidRPr="00690129">
        <w:rPr>
          <w:rFonts w:cs="Arial"/>
        </w:rPr>
        <w:t> impor</w:t>
      </w:r>
      <w:r>
        <w:rPr>
          <w:rFonts w:cs="Arial"/>
        </w:rPr>
        <w:t>cie</w:t>
      </w:r>
      <w:r w:rsidRPr="00690129">
        <w:rPr>
          <w:rFonts w:cs="Arial"/>
        </w:rPr>
        <w:t xml:space="preserve">. </w:t>
      </w:r>
      <w:r w:rsidRPr="00690129">
        <w:rPr>
          <w:rFonts w:cs="Arial"/>
          <w:spacing w:val="-3"/>
        </w:rPr>
        <w:t xml:space="preserve">Dodatnie saldo ukształtowało się na poziomie </w:t>
      </w:r>
      <w:r>
        <w:rPr>
          <w:rFonts w:cs="Arial"/>
          <w:bCs/>
          <w:color w:val="000000"/>
        </w:rPr>
        <w:t>2,5</w:t>
      </w:r>
      <w:r w:rsidRPr="00690129">
        <w:rPr>
          <w:rFonts w:cs="Arial"/>
          <w:spacing w:val="-3"/>
        </w:rPr>
        <w:t xml:space="preserve"> ml</w:t>
      </w:r>
      <w:r>
        <w:rPr>
          <w:rFonts w:cs="Arial"/>
          <w:spacing w:val="-3"/>
        </w:rPr>
        <w:t>d</w:t>
      </w:r>
      <w:r w:rsidRPr="00690129">
        <w:rPr>
          <w:rFonts w:cs="Arial"/>
          <w:spacing w:val="-3"/>
        </w:rPr>
        <w:t xml:space="preserve"> zł, </w:t>
      </w:r>
      <w:r>
        <w:rPr>
          <w:rFonts w:cs="Arial"/>
          <w:spacing w:val="-3"/>
        </w:rPr>
        <w:t>podczas gdy</w:t>
      </w:r>
      <w:r w:rsidRPr="00690129">
        <w:rPr>
          <w:rFonts w:cs="Arial"/>
          <w:spacing w:val="-3"/>
        </w:rPr>
        <w:t xml:space="preserve"> </w:t>
      </w:r>
      <w:r w:rsidRPr="00F70DA2">
        <w:t>w</w:t>
      </w:r>
      <w:r>
        <w:t xml:space="preserve"> </w:t>
      </w:r>
      <w:r w:rsidRPr="00F70DA2">
        <w:t>2016</w:t>
      </w:r>
      <w:r>
        <w:rPr>
          <w:rFonts w:cs="Arial"/>
          <w:spacing w:val="-3"/>
        </w:rPr>
        <w:t> r.</w:t>
      </w:r>
      <w:r w:rsidRPr="00690129">
        <w:rPr>
          <w:rFonts w:cs="Arial"/>
          <w:spacing w:val="-3"/>
        </w:rPr>
        <w:t xml:space="preserve"> wyniosło </w:t>
      </w:r>
      <w:r>
        <w:rPr>
          <w:rFonts w:cs="Arial"/>
          <w:spacing w:val="-3"/>
        </w:rPr>
        <w:t>17,0</w:t>
      </w:r>
      <w:r w:rsidRPr="00690129">
        <w:rPr>
          <w:rFonts w:cs="Arial"/>
          <w:spacing w:val="-3"/>
        </w:rPr>
        <w:t xml:space="preserve"> ml</w:t>
      </w:r>
      <w:r>
        <w:rPr>
          <w:rFonts w:cs="Arial"/>
          <w:spacing w:val="-3"/>
        </w:rPr>
        <w:t>d</w:t>
      </w:r>
      <w:r w:rsidRPr="00690129">
        <w:rPr>
          <w:rFonts w:cs="Arial"/>
          <w:spacing w:val="-3"/>
        </w:rPr>
        <w:t xml:space="preserve"> zł</w:t>
      </w:r>
      <w:r w:rsidRPr="009A5C86">
        <w:rPr>
          <w:rFonts w:cs="Arial"/>
          <w:spacing w:val="-3"/>
        </w:rPr>
        <w:t>.</w:t>
      </w:r>
      <w:r>
        <w:rPr>
          <w:rFonts w:cs="Arial"/>
          <w:spacing w:val="-3"/>
        </w:rPr>
        <w:t xml:space="preserve"> </w:t>
      </w:r>
      <w:r w:rsidRPr="009A5C86">
        <w:rPr>
          <w:rFonts w:cs="Arial"/>
        </w:rPr>
        <w:t xml:space="preserve">W porównaniu </w:t>
      </w:r>
      <w:r w:rsidRPr="00F70DA2">
        <w:t>z</w:t>
      </w:r>
      <w:r>
        <w:t xml:space="preserve"> </w:t>
      </w:r>
      <w:r w:rsidRPr="009A5C86">
        <w:rPr>
          <w:rFonts w:cs="Arial"/>
          <w:spacing w:val="-3"/>
        </w:rPr>
        <w:t>2016 rok</w:t>
      </w:r>
      <w:r>
        <w:rPr>
          <w:rFonts w:cs="Arial"/>
          <w:spacing w:val="-3"/>
        </w:rPr>
        <w:t>iem</w:t>
      </w:r>
      <w:r w:rsidRPr="009A5C86">
        <w:rPr>
          <w:rFonts w:cs="Arial"/>
        </w:rPr>
        <w:t xml:space="preserve"> eksport wzrósł </w:t>
      </w:r>
      <w:r w:rsidRPr="00F70DA2">
        <w:t>o</w:t>
      </w:r>
      <w:r>
        <w:t xml:space="preserve"> 9,8</w:t>
      </w:r>
      <w:r w:rsidRPr="009A5C86">
        <w:rPr>
          <w:rFonts w:cs="Arial"/>
        </w:rPr>
        <w:t>%, a import o 1</w:t>
      </w:r>
      <w:r>
        <w:rPr>
          <w:rFonts w:cs="Arial"/>
        </w:rPr>
        <w:t>1</w:t>
      </w:r>
      <w:r w:rsidRPr="009A5C86">
        <w:rPr>
          <w:rFonts w:cs="Arial"/>
        </w:rPr>
        <w:t>,</w:t>
      </w:r>
      <w:r>
        <w:rPr>
          <w:rFonts w:cs="Arial"/>
        </w:rPr>
        <w:t>9</w:t>
      </w:r>
      <w:r w:rsidRPr="009A5C86">
        <w:rPr>
          <w:rFonts w:cs="Arial"/>
        </w:rPr>
        <w:t>%</w:t>
      </w:r>
      <w:r>
        <w:rPr>
          <w:rFonts w:cs="Arial"/>
        </w:rPr>
        <w:t>.</w:t>
      </w:r>
    </w:p>
    <w:p w:rsidR="00A468E3" w:rsidRPr="00690129" w:rsidRDefault="00A468E3" w:rsidP="00A468E3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A468E3" w:rsidRPr="00277A82" w:rsidRDefault="00A468E3" w:rsidP="00A468E3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EA68982" wp14:editId="75F60B87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3" w:rsidRPr="00074DD8" w:rsidRDefault="00A468E3" w:rsidP="00A468E3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Dodatnie saldo w handlu zagranicznym notujemy od 2015 r.</w:t>
                            </w:r>
                          </w:p>
                          <w:p w:rsidR="00A468E3" w:rsidRPr="00D616D2" w:rsidRDefault="00A468E3" w:rsidP="00A468E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8982" id="_x0000_s1027" type="#_x0000_t202" style="position:absolute;margin-left:412.05pt;margin-top:12.2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8+XOU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A468E3" w:rsidRPr="00074DD8" w:rsidRDefault="00A468E3" w:rsidP="00A468E3">
                      <w:pPr>
                        <w:pStyle w:val="tekstzboku"/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>Dodatnie saldo w handlu zagranicznym notujemy od 2015 r.</w:t>
                      </w:r>
                    </w:p>
                    <w:p w:rsidR="00A468E3" w:rsidRPr="00D616D2" w:rsidRDefault="00A468E3" w:rsidP="00A468E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77A82">
        <w:t xml:space="preserve">Obroty towarowe handlu zagranicznego wyrażone w dolarach USA </w:t>
      </w:r>
      <w:r>
        <w:t>i</w:t>
      </w:r>
      <w:r w:rsidRPr="00277A82">
        <w:t xml:space="preserve"> w </w:t>
      </w:r>
      <w:r>
        <w:t>euro</w:t>
      </w:r>
      <w:r w:rsidRPr="00277A82">
        <w:t xml:space="preserve"> </w:t>
      </w:r>
    </w:p>
    <w:p w:rsidR="00A468E3" w:rsidRPr="0084092E" w:rsidRDefault="00A468E3" w:rsidP="00A468E3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wyniósł </w:t>
      </w:r>
      <w:r>
        <w:rPr>
          <w:rFonts w:cs="Arial"/>
          <w:bCs/>
          <w:color w:val="000000"/>
          <w:szCs w:val="19"/>
        </w:rPr>
        <w:t xml:space="preserve">231,6 </w:t>
      </w:r>
      <w:r w:rsidRPr="0084092E">
        <w:rPr>
          <w:rFonts w:cs="Arial"/>
          <w:spacing w:val="-3"/>
          <w:szCs w:val="19"/>
        </w:rPr>
        <w:t>ml</w:t>
      </w:r>
      <w:r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 USD, a import </w:t>
      </w:r>
      <w:r>
        <w:rPr>
          <w:rFonts w:cs="Arial"/>
          <w:bCs/>
          <w:color w:val="000000"/>
          <w:szCs w:val="19"/>
        </w:rPr>
        <w:t>231,0</w:t>
      </w:r>
      <w:r w:rsidRPr="0084092E">
        <w:rPr>
          <w:rFonts w:cs="Arial"/>
          <w:spacing w:val="-3"/>
          <w:szCs w:val="19"/>
        </w:rPr>
        <w:t xml:space="preserve"> ml</w:t>
      </w:r>
      <w:r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 USD (wzrost  odpowiednio o </w:t>
      </w:r>
      <w:r>
        <w:rPr>
          <w:rFonts w:cs="Arial"/>
          <w:spacing w:val="-3"/>
          <w:szCs w:val="19"/>
        </w:rPr>
        <w:t>12,9</w:t>
      </w:r>
      <w:r w:rsidRPr="0084092E">
        <w:rPr>
          <w:rFonts w:cs="Arial"/>
          <w:spacing w:val="-3"/>
          <w:szCs w:val="19"/>
        </w:rPr>
        <w:t>% i o </w:t>
      </w:r>
      <w:r>
        <w:rPr>
          <w:rFonts w:cs="Arial"/>
          <w:spacing w:val="-3"/>
          <w:szCs w:val="19"/>
        </w:rPr>
        <w:t>15,1</w:t>
      </w:r>
      <w:r w:rsidRPr="0084092E">
        <w:rPr>
          <w:rFonts w:cs="Arial"/>
          <w:spacing w:val="-3"/>
          <w:szCs w:val="19"/>
        </w:rPr>
        <w:t xml:space="preserve">%). Dodatnie saldo ukształtowało się </w:t>
      </w:r>
      <w:r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                         </w:t>
      </w:r>
      <w:r>
        <w:rPr>
          <w:rFonts w:cs="Arial"/>
          <w:bCs/>
          <w:color w:val="000000"/>
          <w:szCs w:val="19"/>
        </w:rPr>
        <w:t>0,6</w:t>
      </w:r>
      <w:r w:rsidRPr="0084092E">
        <w:rPr>
          <w:rFonts w:cs="Arial"/>
          <w:bCs/>
          <w:color w:val="000000"/>
          <w:szCs w:val="19"/>
        </w:rPr>
        <w:t xml:space="preserve"> </w:t>
      </w:r>
      <w:r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> USD (w analogicznym okresie 2016 roku 4</w:t>
      </w:r>
      <w:r>
        <w:rPr>
          <w:rFonts w:cs="Arial"/>
          <w:spacing w:val="-3"/>
          <w:szCs w:val="19"/>
        </w:rPr>
        <w:t>,4 mld</w:t>
      </w:r>
      <w:r w:rsidRPr="0084092E">
        <w:rPr>
          <w:rFonts w:cs="Arial"/>
          <w:spacing w:val="-3"/>
          <w:szCs w:val="19"/>
        </w:rPr>
        <w:t xml:space="preserve"> USD). </w:t>
      </w:r>
    </w:p>
    <w:p w:rsidR="00A468E3" w:rsidRDefault="00A468E3" w:rsidP="00A468E3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092E">
        <w:rPr>
          <w:rFonts w:cs="Arial"/>
          <w:szCs w:val="19"/>
        </w:rPr>
        <w:t>Eksport wyrażony w euro wyniósł</w:t>
      </w:r>
      <w:r w:rsidRPr="00277A82">
        <w:rPr>
          <w:rFonts w:cs="Arial"/>
          <w:szCs w:val="19"/>
        </w:rPr>
        <w:t xml:space="preserve"> </w:t>
      </w:r>
      <w:r>
        <w:rPr>
          <w:rFonts w:cs="Arial"/>
          <w:bCs/>
          <w:color w:val="000000"/>
          <w:szCs w:val="19"/>
        </w:rPr>
        <w:t>206,6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EUR, a import </w:t>
      </w:r>
      <w:r>
        <w:rPr>
          <w:rFonts w:cs="Arial"/>
          <w:bCs/>
          <w:color w:val="000000"/>
          <w:szCs w:val="19"/>
        </w:rPr>
        <w:t>206,1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   (wzrost w eksporcie o </w:t>
      </w:r>
      <w:r>
        <w:rPr>
          <w:rFonts w:cs="Arial"/>
          <w:szCs w:val="19"/>
        </w:rPr>
        <w:t>11,8</w:t>
      </w:r>
      <w:r w:rsidRPr="00277A82">
        <w:rPr>
          <w:rFonts w:cs="Arial"/>
          <w:szCs w:val="19"/>
        </w:rPr>
        <w:t xml:space="preserve">%, a w imporcie o </w:t>
      </w:r>
      <w:r>
        <w:rPr>
          <w:rFonts w:cs="Arial"/>
          <w:szCs w:val="19"/>
        </w:rPr>
        <w:t>13,9</w:t>
      </w:r>
      <w:r w:rsidRPr="00277A82">
        <w:rPr>
          <w:rFonts w:cs="Arial"/>
          <w:szCs w:val="19"/>
        </w:rPr>
        <w:t xml:space="preserve">%). Dodatnie saldo wyniosło </w:t>
      </w:r>
      <w:r>
        <w:rPr>
          <w:rFonts w:cs="Arial"/>
          <w:bCs/>
          <w:color w:val="000000"/>
          <w:szCs w:val="19"/>
        </w:rPr>
        <w:t>0</w:t>
      </w:r>
      <w:r w:rsidRPr="00277A82">
        <w:rPr>
          <w:rFonts w:cs="Arial"/>
          <w:bCs/>
          <w:color w:val="000000"/>
          <w:szCs w:val="19"/>
        </w:rPr>
        <w:t>,</w:t>
      </w:r>
      <w:r>
        <w:rPr>
          <w:rFonts w:cs="Arial"/>
          <w:bCs/>
          <w:color w:val="000000"/>
          <w:szCs w:val="19"/>
        </w:rPr>
        <w:t>5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    wobec 3</w:t>
      </w:r>
      <w:r>
        <w:rPr>
          <w:rFonts w:cs="Arial"/>
          <w:szCs w:val="19"/>
        </w:rPr>
        <w:t>,9</w:t>
      </w:r>
      <w:r w:rsidRPr="00277A82">
        <w:rPr>
          <w:rFonts w:cs="Arial"/>
          <w:szCs w:val="19"/>
        </w:rPr>
        <w:t xml:space="preserve"> ml</w:t>
      </w:r>
      <w:r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w analogicznym okresie 2016 roku.</w:t>
      </w:r>
    </w:p>
    <w:p w:rsidR="00A468E3" w:rsidRPr="00277A82" w:rsidRDefault="00A468E3" w:rsidP="00A468E3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</w:p>
    <w:p w:rsidR="00A468E3" w:rsidRPr="00017EBA" w:rsidRDefault="00A468E3" w:rsidP="00A468E3">
      <w:pPr>
        <w:pStyle w:val="tytuwykresu"/>
      </w:pPr>
      <w:r w:rsidRPr="00017EBA">
        <w:t>Wykres 1</w:t>
      </w:r>
      <w:r>
        <w:t>.</w:t>
      </w:r>
      <w:r w:rsidRPr="00017EBA">
        <w:rPr>
          <w:shd w:val="clear" w:color="auto" w:fill="FFFFFF"/>
        </w:rPr>
        <w:t xml:space="preserve"> Obroty z</w:t>
      </w:r>
      <w:r>
        <w:rPr>
          <w:shd w:val="clear" w:color="auto" w:fill="FFFFFF"/>
        </w:rPr>
        <w:t>a trzy ostatnie miesiące</w:t>
      </w:r>
      <w:r w:rsidR="001E6D81">
        <w:rPr>
          <w:shd w:val="clear" w:color="auto" w:fill="FFFFFF"/>
        </w:rPr>
        <w:t xml:space="preserve"> 2017 r.</w:t>
      </w:r>
      <w:r>
        <w:rPr>
          <w:shd w:val="clear" w:color="auto" w:fill="FFFFFF"/>
        </w:rPr>
        <w:t xml:space="preserve"> w mld zł</w:t>
      </w:r>
    </w:p>
    <w:p w:rsidR="00A468E3" w:rsidRDefault="00A468E3" w:rsidP="00A468E3">
      <w:pPr>
        <w:pStyle w:val="Nagwek1"/>
        <w:rPr>
          <w:noProof/>
        </w:rPr>
      </w:pPr>
      <w:r>
        <w:rPr>
          <w:noProof/>
        </w:rPr>
        <w:drawing>
          <wp:inline distT="0" distB="0" distL="0" distR="0" wp14:anchorId="66A61222" wp14:editId="06E4C4AC">
            <wp:extent cx="4887595" cy="1839884"/>
            <wp:effectExtent l="0" t="0" r="8255" b="825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8E3" w:rsidRDefault="00A468E3" w:rsidP="00A468E3">
      <w:pPr>
        <w:pStyle w:val="Nagwek1"/>
        <w:rPr>
          <w:color w:val="auto"/>
          <w:shd w:val="clear" w:color="auto" w:fill="FFFFFF"/>
        </w:rPr>
      </w:pPr>
      <w:r w:rsidRPr="00F70DA2">
        <w:rPr>
          <w:noProof/>
          <w:sz w:val="18"/>
          <w:szCs w:val="18"/>
        </w:rPr>
        <w:drawing>
          <wp:anchor distT="0" distB="0" distL="114300" distR="114300" simplePos="0" relativeHeight="251741184" behindDoc="1" locked="0" layoutInCell="1" allowOverlap="1" wp14:anchorId="3EE5166F" wp14:editId="3092B2DE">
            <wp:simplePos x="0" y="0"/>
            <wp:positionH relativeFrom="margin">
              <wp:align>left</wp:align>
            </wp:positionH>
            <wp:positionV relativeFrom="paragraph">
              <wp:posOffset>345383</wp:posOffset>
            </wp:positionV>
            <wp:extent cx="5029200" cy="963930"/>
            <wp:effectExtent l="0" t="0" r="0" b="762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DA2">
        <w:rPr>
          <w:color w:val="auto"/>
          <w:sz w:val="18"/>
          <w:szCs w:val="18"/>
        </w:rPr>
        <w:t>Wykres 2</w:t>
      </w:r>
      <w:r>
        <w:rPr>
          <w:color w:val="auto"/>
          <w:sz w:val="18"/>
          <w:szCs w:val="18"/>
        </w:rPr>
        <w:t>.</w:t>
      </w:r>
      <w:r w:rsidRPr="00F70DA2">
        <w:rPr>
          <w:color w:val="auto"/>
          <w:sz w:val="18"/>
          <w:szCs w:val="18"/>
          <w:shd w:val="clear" w:color="auto" w:fill="FFFFFF"/>
        </w:rPr>
        <w:t xml:space="preserve"> Wskaźniki wartości </w:t>
      </w:r>
      <w:r>
        <w:rPr>
          <w:color w:val="auto"/>
          <w:sz w:val="18"/>
          <w:szCs w:val="18"/>
          <w:shd w:val="clear" w:color="auto" w:fill="FFFFFF"/>
        </w:rPr>
        <w:t xml:space="preserve">eksportu </w:t>
      </w:r>
      <w:r w:rsidRPr="00F70DA2">
        <w:rPr>
          <w:color w:val="auto"/>
          <w:sz w:val="18"/>
          <w:szCs w:val="18"/>
          <w:shd w:val="clear" w:color="auto" w:fill="FFFFFF"/>
        </w:rPr>
        <w:t>w złotych - rok poprzedni = 100</w:t>
      </w:r>
    </w:p>
    <w:p w:rsidR="00A468E3" w:rsidRDefault="00A468E3" w:rsidP="00A468E3">
      <w:pPr>
        <w:rPr>
          <w:lang w:eastAsia="pl-PL"/>
        </w:rPr>
      </w:pPr>
    </w:p>
    <w:p w:rsidR="00A468E3" w:rsidRDefault="00A468E3" w:rsidP="00A468E3">
      <w:pPr>
        <w:pStyle w:val="Nagwek1"/>
      </w:pPr>
      <w:r w:rsidRPr="00F70DA2">
        <w:rPr>
          <w:color w:val="auto"/>
          <w:sz w:val="18"/>
          <w:szCs w:val="18"/>
        </w:rPr>
        <w:lastRenderedPageBreak/>
        <w:t xml:space="preserve">Wykres </w:t>
      </w:r>
      <w:r>
        <w:rPr>
          <w:color w:val="auto"/>
          <w:sz w:val="18"/>
          <w:szCs w:val="18"/>
        </w:rPr>
        <w:t>3.</w:t>
      </w:r>
      <w:r w:rsidRPr="00F70DA2">
        <w:rPr>
          <w:color w:val="auto"/>
          <w:sz w:val="18"/>
          <w:szCs w:val="18"/>
          <w:shd w:val="clear" w:color="auto" w:fill="FFFFFF"/>
        </w:rPr>
        <w:t xml:space="preserve"> Wskaźniki wartości </w:t>
      </w:r>
      <w:r>
        <w:rPr>
          <w:color w:val="auto"/>
          <w:sz w:val="18"/>
          <w:szCs w:val="18"/>
          <w:shd w:val="clear" w:color="auto" w:fill="FFFFFF"/>
        </w:rPr>
        <w:t xml:space="preserve">importu </w:t>
      </w:r>
      <w:r w:rsidRPr="00F70DA2">
        <w:rPr>
          <w:color w:val="auto"/>
          <w:sz w:val="18"/>
          <w:szCs w:val="18"/>
          <w:shd w:val="clear" w:color="auto" w:fill="FFFFFF"/>
        </w:rPr>
        <w:t>w złotych - rok poprzedni = 100</w:t>
      </w:r>
    </w:p>
    <w:p w:rsidR="00A468E3" w:rsidRDefault="00A468E3" w:rsidP="00A468E3">
      <w:pPr>
        <w:pStyle w:val="Nagwek1"/>
      </w:pPr>
      <w:r>
        <w:rPr>
          <w:noProof/>
        </w:rPr>
        <w:drawing>
          <wp:inline distT="0" distB="0" distL="0" distR="0" wp14:anchorId="437E2139" wp14:editId="211B54D8">
            <wp:extent cx="5186680" cy="1025236"/>
            <wp:effectExtent l="0" t="0" r="0" b="381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8E3" w:rsidRPr="003C6B82" w:rsidRDefault="00A468E3" w:rsidP="00A468E3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57D9A3EA" wp14:editId="53721E19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3" w:rsidRDefault="00A468E3" w:rsidP="00A468E3">
                            <w:pPr>
                              <w:pStyle w:val="tekstzboku"/>
                            </w:pPr>
                            <w:r w:rsidRPr="008720A0">
                              <w:t xml:space="preserve">Na wysoki udział krajów rozwiniętych w obrotach towarowych </w:t>
                            </w:r>
                            <w:r>
                              <w:t>miały</w:t>
                            </w:r>
                            <w:r w:rsidRPr="008720A0">
                              <w:t xml:space="preserve"> </w:t>
                            </w:r>
                            <w:r>
                              <w:t xml:space="preserve">wpływ duże obroty z </w:t>
                            </w:r>
                            <w:r w:rsidRPr="008720A0">
                              <w:t>UE</w:t>
                            </w:r>
                            <w:r>
                              <w:t xml:space="preserve"> </w:t>
                            </w: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Pr="00074DD8" w:rsidRDefault="00A468E3" w:rsidP="00A468E3">
                            <w:pPr>
                              <w:pStyle w:val="tekstzboku"/>
                            </w:pPr>
                          </w:p>
                          <w:p w:rsidR="00A468E3" w:rsidRPr="00D616D2" w:rsidRDefault="00A468E3" w:rsidP="00A468E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A3EA" id="Pole tekstowe 16" o:spid="_x0000_s1028" type="#_x0000_t202" style="position:absolute;margin-left:411pt;margin-top:12.4pt;width:135.85pt;height:65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CW&#10;SDGq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A468E3" w:rsidRDefault="00A468E3" w:rsidP="00A468E3">
                      <w:pPr>
                        <w:pStyle w:val="tekstzboku"/>
                      </w:pPr>
                      <w:r w:rsidRPr="008720A0">
                        <w:t xml:space="preserve">Na wysoki udział krajów rozwiniętych w obrotach towarowych </w:t>
                      </w:r>
                      <w:r>
                        <w:t>miały</w:t>
                      </w:r>
                      <w:r w:rsidRPr="008720A0">
                        <w:t xml:space="preserve"> </w:t>
                      </w:r>
                      <w:r>
                        <w:t xml:space="preserve">wpływ duże obroty z </w:t>
                      </w:r>
                      <w:r w:rsidRPr="008720A0">
                        <w:t>UE</w:t>
                      </w:r>
                      <w:r>
                        <w:t xml:space="preserve"> </w:t>
                      </w: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Pr="00074DD8" w:rsidRDefault="00A468E3" w:rsidP="00A468E3">
                      <w:pPr>
                        <w:pStyle w:val="tekstzboku"/>
                      </w:pPr>
                    </w:p>
                    <w:p w:rsidR="00A468E3" w:rsidRPr="00D616D2" w:rsidRDefault="00A468E3" w:rsidP="00A468E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C6B82">
        <w:t>Obroty towarowe ogółem i według grup krajów</w:t>
      </w:r>
    </w:p>
    <w:p w:rsidR="00A468E3" w:rsidRDefault="00A468E3" w:rsidP="00A468E3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>dział w eksporcie ogółem</w:t>
      </w:r>
      <w:r>
        <w:rPr>
          <w:rFonts w:cs="Arial"/>
          <w:spacing w:val="-3"/>
        </w:rPr>
        <w:t xml:space="preserve"> 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 xml:space="preserve">mi </w:t>
      </w:r>
      <w:r w:rsidRPr="003C6B82"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86,</w:t>
      </w:r>
      <w:r>
        <w:rPr>
          <w:rFonts w:cs="Arial"/>
          <w:spacing w:val="-3"/>
        </w:rPr>
        <w:t>6</w:t>
      </w:r>
      <w:r w:rsidRPr="003C6B82">
        <w:rPr>
          <w:rFonts w:cs="Arial"/>
          <w:spacing w:val="-3"/>
        </w:rPr>
        <w:t>%</w:t>
      </w:r>
      <w:r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>
        <w:rPr>
          <w:rFonts w:cs="Arial"/>
          <w:spacing w:val="-3"/>
        </w:rPr>
        <w:t> 80,0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Pr="003C6B82">
        <w:rPr>
          <w:rFonts w:cs="Arial"/>
          <w:spacing w:val="-3"/>
        </w:rPr>
        <w:t>67,</w:t>
      </w:r>
      <w:r>
        <w:rPr>
          <w:rFonts w:cs="Arial"/>
          <w:spacing w:val="-3"/>
        </w:rPr>
        <w:t>7% (w tym UE 60,4</w:t>
      </w:r>
      <w:r w:rsidRPr="003C6B82">
        <w:rPr>
          <w:rFonts w:cs="Arial"/>
          <w:spacing w:val="-3"/>
        </w:rPr>
        <w:t>%), wobec odpowiednio 86,</w:t>
      </w:r>
      <w:r>
        <w:rPr>
          <w:rFonts w:cs="Arial"/>
          <w:spacing w:val="-3"/>
        </w:rPr>
        <w:t>3</w:t>
      </w:r>
      <w:r w:rsidRPr="003C6B82">
        <w:rPr>
          <w:rFonts w:cs="Arial"/>
          <w:spacing w:val="-3"/>
        </w:rPr>
        <w:t xml:space="preserve">% (w tym UE </w:t>
      </w:r>
      <w:r>
        <w:rPr>
          <w:rFonts w:cs="Arial"/>
          <w:spacing w:val="-3"/>
        </w:rPr>
        <w:t>79,8</w:t>
      </w:r>
      <w:r w:rsidRPr="003C6B82">
        <w:rPr>
          <w:rFonts w:cs="Arial"/>
          <w:spacing w:val="-3"/>
        </w:rPr>
        <w:t>%) i</w:t>
      </w:r>
      <w:r>
        <w:rPr>
          <w:rFonts w:cs="Arial"/>
          <w:spacing w:val="-3"/>
        </w:rPr>
        <w:t> </w:t>
      </w:r>
      <w:r w:rsidRPr="003C6B82">
        <w:rPr>
          <w:rFonts w:cs="Arial"/>
          <w:spacing w:val="-3"/>
        </w:rPr>
        <w:t>68,</w:t>
      </w:r>
      <w:r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>% (w tym UE 61,</w:t>
      </w:r>
      <w:r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>%) w analogicznym okresie 2016 roku</w:t>
      </w:r>
      <w:r w:rsidRPr="003C6B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Natomiast najmniejszy udział odnotowano z krajami </w:t>
      </w:r>
      <w:r w:rsidRPr="008720A0">
        <w:rPr>
          <w:rFonts w:cs="Arial"/>
          <w:spacing w:val="-3"/>
        </w:rPr>
        <w:t>Europy Środkowo-Wschodniej</w:t>
      </w:r>
      <w:r>
        <w:rPr>
          <w:rFonts w:cs="Arial"/>
          <w:spacing w:val="-3"/>
        </w:rPr>
        <w:t>, który w eksporcie ogółem wyniósł 5,8%, a w imporcie 7,9%, wobec odpowiednio 5,5% i 7,2% w 2016 r.</w:t>
      </w:r>
    </w:p>
    <w:p w:rsidR="00A468E3" w:rsidRDefault="00A468E3" w:rsidP="00A468E3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>
        <w:rPr>
          <w:rFonts w:cs="Arial"/>
          <w:color w:val="000000"/>
        </w:rPr>
        <w:t xml:space="preserve">147,5 </w:t>
      </w:r>
      <w:r>
        <w:rPr>
          <w:rFonts w:cs="Arial"/>
          <w:spacing w:val="-3"/>
        </w:rPr>
        <w:t>mld zł (min</w:t>
      </w:r>
      <w:r w:rsidRPr="008720A0">
        <w:rPr>
          <w:rFonts w:cs="Arial"/>
          <w:spacing w:val="-3"/>
        </w:rPr>
        <w:t>us </w:t>
      </w:r>
      <w:r w:rsidRPr="008720A0">
        <w:rPr>
          <w:rFonts w:cs="Arial"/>
          <w:color w:val="000000"/>
        </w:rPr>
        <w:t>3</w:t>
      </w:r>
      <w:r>
        <w:rPr>
          <w:rFonts w:cs="Arial"/>
          <w:color w:val="000000"/>
        </w:rPr>
        <w:t>8,7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Pr="008720A0">
        <w:rPr>
          <w:rFonts w:cs="Arial"/>
          <w:color w:val="000000"/>
        </w:rPr>
        <w:t>3</w:t>
      </w:r>
      <w:r>
        <w:rPr>
          <w:rFonts w:cs="Arial"/>
          <w:color w:val="000000"/>
        </w:rPr>
        <w:t>4,5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>
        <w:rPr>
          <w:rFonts w:cs="Arial"/>
          <w:spacing w:val="-3"/>
        </w:rPr>
        <w:t>18,6</w:t>
      </w:r>
      <w:r w:rsidRPr="008720A0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(minus </w:t>
      </w:r>
      <w:r w:rsidRPr="008720A0">
        <w:rPr>
          <w:rFonts w:cs="Arial"/>
          <w:color w:val="000000"/>
        </w:rPr>
        <w:t>4</w:t>
      </w:r>
      <w:r>
        <w:rPr>
          <w:rFonts w:cs="Arial"/>
          <w:color w:val="000000"/>
        </w:rPr>
        <w:t>,9</w:t>
      </w:r>
      <w:r w:rsidRPr="008720A0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>
        <w:rPr>
          <w:rFonts w:cs="Arial"/>
          <w:color w:val="000000"/>
        </w:rPr>
        <w:t>4,3</w:t>
      </w:r>
      <w:r w:rsidRPr="008720A0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>
        <w:rPr>
          <w:rFonts w:cs="Arial"/>
          <w:color w:val="000000"/>
        </w:rPr>
        <w:t>168,6</w:t>
      </w:r>
      <w:r w:rsidRPr="008720A0">
        <w:rPr>
          <w:rFonts w:cs="Arial"/>
          <w:spacing w:val="-3"/>
        </w:rPr>
        <w:t xml:space="preserve"> ml</w:t>
      </w:r>
      <w:r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zł (</w:t>
      </w:r>
      <w:r>
        <w:rPr>
          <w:rFonts w:cs="Arial"/>
          <w:color w:val="000000"/>
        </w:rPr>
        <w:t>44,2</w:t>
      </w:r>
      <w:r w:rsidRPr="008720A0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>
        <w:rPr>
          <w:rFonts w:cs="Arial"/>
          <w:color w:val="000000"/>
        </w:rPr>
        <w:t>39,4</w:t>
      </w:r>
      <w:r w:rsidRPr="008720A0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>
        <w:rPr>
          <w:rFonts w:cs="Arial"/>
          <w:color w:val="000000"/>
        </w:rPr>
        <w:t>175,1</w:t>
      </w:r>
      <w:r w:rsidRPr="008720A0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</w:t>
      </w:r>
      <w:r w:rsidRPr="008720A0">
        <w:rPr>
          <w:rFonts w:cs="Arial"/>
          <w:color w:val="000000"/>
        </w:rPr>
        <w:t>4</w:t>
      </w:r>
      <w:r>
        <w:rPr>
          <w:rFonts w:cs="Arial"/>
          <w:color w:val="000000"/>
        </w:rPr>
        <w:t>5,8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>
        <w:rPr>
          <w:rFonts w:cs="Arial"/>
          <w:color w:val="000000"/>
        </w:rPr>
        <w:t>41,0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A468E3" w:rsidRPr="00C30406" w:rsidRDefault="00A468E3" w:rsidP="00A468E3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A468E3" w:rsidRPr="00E33A76" w:rsidTr="001B0813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A468E3" w:rsidRPr="00E33A76" w:rsidTr="001B0813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A468E3" w:rsidRPr="00673305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A468E3" w:rsidRPr="00673305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A468E3" w:rsidRPr="00673305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2016 = 100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A468E3" w:rsidRPr="00E33A76" w:rsidTr="001B0813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673305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673305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673305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673305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A468E3" w:rsidRPr="00673305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A468E3" w:rsidRPr="007E4565" w:rsidRDefault="00A468E3" w:rsidP="001B081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7E4565">
              <w:rPr>
                <w:b/>
                <w:sz w:val="16"/>
                <w:szCs w:val="16"/>
              </w:rPr>
              <w:t>882,6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Pr="007E4565" w:rsidRDefault="00A468E3" w:rsidP="001B081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7E4565">
              <w:rPr>
                <w:b/>
                <w:sz w:val="16"/>
                <w:szCs w:val="16"/>
              </w:rPr>
              <w:t>231,6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Pr="007E4565" w:rsidRDefault="00A468E3" w:rsidP="001B081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7E4565">
              <w:rPr>
                <w:b/>
                <w:sz w:val="16"/>
                <w:szCs w:val="16"/>
              </w:rPr>
              <w:t>206,6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468E3" w:rsidRPr="00E33A76" w:rsidTr="001B0813">
        <w:trPr>
          <w:trHeight w:val="35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706,5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</w:t>
            </w:r>
          </w:p>
        </w:tc>
      </w:tr>
      <w:tr w:rsidR="00A468E3" w:rsidRPr="00E33A76" w:rsidTr="001B0813">
        <w:trPr>
          <w:trHeight w:val="270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503,8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</w:tr>
      <w:tr w:rsidR="00A468E3" w:rsidRPr="00E33A76" w:rsidTr="001B0813">
        <w:trPr>
          <w:trHeight w:val="308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17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A00ADB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1"/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880,1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65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468E3" w:rsidRPr="00E33A76" w:rsidTr="001B0813">
        <w:trPr>
          <w:trHeight w:val="35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67,7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</w:t>
            </w:r>
          </w:p>
        </w:tc>
      </w:tr>
      <w:tr w:rsidR="00A468E3" w:rsidRPr="00E33A76" w:rsidTr="001B0813">
        <w:trPr>
          <w:trHeight w:val="35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48,3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24,4</w:t>
            </w:r>
          </w:p>
        </w:tc>
      </w:tr>
      <w:tr w:rsidR="00A468E3" w:rsidRPr="00E33A76" w:rsidTr="001B0813">
        <w:trPr>
          <w:trHeight w:val="355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66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4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A468E3" w:rsidRPr="00E33A76" w:rsidTr="001B0813">
        <w:trPr>
          <w:trHeight w:val="35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E33A76" w:rsidTr="001B0813">
        <w:trPr>
          <w:trHeight w:val="35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E33A76" w:rsidTr="001B0813">
        <w:trPr>
          <w:trHeight w:val="342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-147,5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-38,7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-34,6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E33A76" w:rsidTr="001B0813">
        <w:trPr>
          <w:trHeight w:val="258"/>
        </w:trPr>
        <w:tc>
          <w:tcPr>
            <w:tcW w:w="2552" w:type="dxa"/>
            <w:vAlign w:val="center"/>
          </w:tcPr>
          <w:p w:rsidR="00A468E3" w:rsidRPr="00E33A76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-18,6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717" w:type="dxa"/>
            <w:vAlign w:val="center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A468E3" w:rsidRPr="00E33A76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A468E3" w:rsidRDefault="00A468E3" w:rsidP="00A468E3">
      <w:pPr>
        <w:pStyle w:val="Nagwek1"/>
      </w:pPr>
      <w:r w:rsidRPr="003C6B82">
        <w:lastRenderedPageBreak/>
        <w:t xml:space="preserve">Obroty towarowe według </w:t>
      </w:r>
      <w:r>
        <w:t>ważniejszych</w:t>
      </w:r>
      <w:r w:rsidRPr="003C6B82">
        <w:t xml:space="preserve"> krajów</w:t>
      </w:r>
    </w:p>
    <w:p w:rsidR="00A468E3" w:rsidRPr="00366025" w:rsidRDefault="00A468E3" w:rsidP="00A468E3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</w:rPr>
      </w:pPr>
      <w:r w:rsidRPr="00366025">
        <w:rPr>
          <w:rFonts w:cs="Arial"/>
        </w:rPr>
        <w:t xml:space="preserve">W 2017 r. wśród głównych partnerów handlowych Polski </w:t>
      </w:r>
      <w:r>
        <w:rPr>
          <w:rFonts w:cs="Arial"/>
        </w:rPr>
        <w:t>o</w:t>
      </w:r>
      <w:r w:rsidRPr="00366025">
        <w:rPr>
          <w:rFonts w:cs="Arial"/>
        </w:rPr>
        <w:t>dnotowano wzrost eksportu oraz importu do wszystkich krajów z pierwszej dziesiątki naszych partnerów.</w:t>
      </w:r>
    </w:p>
    <w:p w:rsidR="00A468E3" w:rsidRDefault="00A468E3" w:rsidP="00A468E3">
      <w:pPr>
        <w:rPr>
          <w:rFonts w:cs="Arial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5BF999F8" wp14:editId="1194A6B9">
                <wp:simplePos x="0" y="0"/>
                <wp:positionH relativeFrom="column">
                  <wp:posOffset>5210734</wp:posOffset>
                </wp:positionH>
                <wp:positionV relativeFrom="paragraph">
                  <wp:posOffset>392176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3" w:rsidRDefault="00A468E3" w:rsidP="00A468E3">
                            <w:pPr>
                              <w:pStyle w:val="tekstzboku"/>
                            </w:pPr>
                            <w:r>
                              <w:t xml:space="preserve">Od wejścia Polski do UE największym naszym partnerem handlowym, w eksporcie, jak i imporcie są Niemcy </w:t>
                            </w: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Pr="00074DD8" w:rsidRDefault="00A468E3" w:rsidP="00A468E3">
                            <w:pPr>
                              <w:pStyle w:val="tekstzboku"/>
                            </w:pPr>
                          </w:p>
                          <w:p w:rsidR="00A468E3" w:rsidRPr="00D616D2" w:rsidRDefault="00A468E3" w:rsidP="00A468E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99F8" id="Pole tekstowe 5" o:spid="_x0000_s1029" type="#_x0000_t202" style="position:absolute;margin-left:410.3pt;margin-top:30.9pt;width:135.85pt;height:65.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" filled="f" stroked="f">
                <v:textbox>
                  <w:txbxContent>
                    <w:p w:rsidR="00A468E3" w:rsidRDefault="00A468E3" w:rsidP="00A468E3">
                      <w:pPr>
                        <w:pStyle w:val="tekstzboku"/>
                      </w:pPr>
                      <w:r>
                        <w:t xml:space="preserve">Od wejścia Polski do UE największym naszym partnerem handlowym, w eksporcie, jak i imporcie są Niemcy </w:t>
                      </w: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Pr="00074DD8" w:rsidRDefault="00A468E3" w:rsidP="00A468E3">
                      <w:pPr>
                        <w:pStyle w:val="tekstzboku"/>
                      </w:pPr>
                    </w:p>
                    <w:p w:rsidR="00A468E3" w:rsidRPr="00D616D2" w:rsidRDefault="00A468E3" w:rsidP="00A468E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66025">
        <w:rPr>
          <w:rFonts w:cs="Arial"/>
        </w:rPr>
        <w:t xml:space="preserve">Obroty z pierwszą dziesiątką naszych partnerów handlowych </w:t>
      </w:r>
      <w:r>
        <w:rPr>
          <w:rFonts w:cs="Arial"/>
        </w:rPr>
        <w:t xml:space="preserve">w eksporcie w 2017 r. tak jak      </w:t>
      </w:r>
      <w:r w:rsidRPr="00947BE6">
        <w:t>w</w:t>
      </w:r>
      <w:r>
        <w:t xml:space="preserve"> </w:t>
      </w:r>
      <w:r w:rsidRPr="00947BE6">
        <w:t>analogicznych</w:t>
      </w:r>
      <w:r>
        <w:rPr>
          <w:rFonts w:cs="Arial"/>
        </w:rPr>
        <w:t xml:space="preserve"> okresie 2016 r. </w:t>
      </w:r>
      <w:r w:rsidRPr="00366025">
        <w:rPr>
          <w:rFonts w:cs="Arial"/>
        </w:rPr>
        <w:t>stanowiły 66,</w:t>
      </w:r>
      <w:r>
        <w:rPr>
          <w:rFonts w:cs="Arial"/>
        </w:rPr>
        <w:t>3</w:t>
      </w:r>
      <w:r w:rsidRPr="00366025">
        <w:rPr>
          <w:rFonts w:cs="Arial"/>
        </w:rPr>
        <w:t xml:space="preserve">%, a importu ogółem – </w:t>
      </w:r>
      <w:r>
        <w:rPr>
          <w:rFonts w:cs="Arial"/>
        </w:rPr>
        <w:t>65,7</w:t>
      </w:r>
      <w:r w:rsidRPr="00366025">
        <w:rPr>
          <w:rFonts w:cs="Arial"/>
        </w:rPr>
        <w:t>% (wobec 66,</w:t>
      </w:r>
      <w:r>
        <w:rPr>
          <w:rFonts w:cs="Arial"/>
        </w:rPr>
        <w:t>2</w:t>
      </w:r>
      <w:r w:rsidRPr="00366025">
        <w:rPr>
          <w:rFonts w:cs="Arial"/>
        </w:rPr>
        <w:t xml:space="preserve">% </w:t>
      </w:r>
      <w:r>
        <w:rPr>
          <w:rFonts w:cs="Arial"/>
        </w:rPr>
        <w:t xml:space="preserve">       </w:t>
      </w:r>
      <w:r w:rsidRPr="00366025">
        <w:rPr>
          <w:rFonts w:cs="Arial"/>
        </w:rPr>
        <w:t>w 2016 r.).</w:t>
      </w:r>
    </w:p>
    <w:p w:rsidR="00A468E3" w:rsidRPr="002D45CF" w:rsidRDefault="00A468E3" w:rsidP="00A468E3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  <w:r w:rsidRPr="00483835">
        <w:rPr>
          <w:rFonts w:cs="Arial"/>
          <w:szCs w:val="19"/>
        </w:rPr>
        <w:t xml:space="preserve">Udział Niemiec w eksporcie </w:t>
      </w:r>
      <w:r>
        <w:rPr>
          <w:rFonts w:cs="Arial"/>
          <w:szCs w:val="19"/>
        </w:rPr>
        <w:t xml:space="preserve">wzrósł </w:t>
      </w:r>
      <w:r w:rsidRPr="00483835">
        <w:rPr>
          <w:rFonts w:cs="Arial"/>
          <w:szCs w:val="19"/>
        </w:rPr>
        <w:t xml:space="preserve">w porównaniu z </w:t>
      </w:r>
      <w:r>
        <w:rPr>
          <w:rFonts w:cs="Arial"/>
          <w:szCs w:val="19"/>
        </w:rPr>
        <w:t>2016 r.</w:t>
      </w:r>
      <w:r w:rsidRPr="00483835">
        <w:rPr>
          <w:rFonts w:cs="Arial"/>
          <w:szCs w:val="19"/>
        </w:rPr>
        <w:t xml:space="preserve"> </w:t>
      </w:r>
      <w:r w:rsidRPr="00483835">
        <w:rPr>
          <w:szCs w:val="19"/>
        </w:rPr>
        <w:t>o 0</w:t>
      </w:r>
      <w:r w:rsidRPr="00483835">
        <w:rPr>
          <w:rFonts w:cs="Arial"/>
          <w:szCs w:val="19"/>
        </w:rPr>
        <w:t>,</w:t>
      </w:r>
      <w:r>
        <w:rPr>
          <w:rFonts w:cs="Arial"/>
          <w:szCs w:val="19"/>
        </w:rPr>
        <w:t>1</w:t>
      </w:r>
      <w:r w:rsidRPr="00483835">
        <w:rPr>
          <w:rFonts w:cs="Arial"/>
          <w:szCs w:val="19"/>
        </w:rPr>
        <w:t> p. proc. i wyniósł 2</w:t>
      </w:r>
      <w:r>
        <w:rPr>
          <w:rFonts w:cs="Arial"/>
          <w:szCs w:val="19"/>
        </w:rPr>
        <w:t>7</w:t>
      </w:r>
      <w:r w:rsidRPr="00483835">
        <w:rPr>
          <w:rFonts w:cs="Arial"/>
          <w:szCs w:val="19"/>
        </w:rPr>
        <w:t>,</w:t>
      </w:r>
      <w:r>
        <w:rPr>
          <w:rFonts w:cs="Arial"/>
          <w:szCs w:val="19"/>
        </w:rPr>
        <w:t>5</w:t>
      </w:r>
      <w:r w:rsidRPr="00483835">
        <w:rPr>
          <w:rFonts w:cs="Arial"/>
          <w:szCs w:val="19"/>
        </w:rPr>
        <w:t xml:space="preserve">%, a w imporcie </w:t>
      </w:r>
      <w:r>
        <w:rPr>
          <w:rFonts w:cs="Arial"/>
          <w:szCs w:val="19"/>
        </w:rPr>
        <w:t xml:space="preserve">obniżył się </w:t>
      </w:r>
      <w:r w:rsidRPr="00483835">
        <w:rPr>
          <w:rFonts w:cs="Arial"/>
          <w:szCs w:val="19"/>
        </w:rPr>
        <w:t>o 0,</w:t>
      </w:r>
      <w:r>
        <w:rPr>
          <w:rFonts w:cs="Arial"/>
          <w:szCs w:val="19"/>
        </w:rPr>
        <w:t>2</w:t>
      </w:r>
      <w:r w:rsidRPr="00483835">
        <w:rPr>
          <w:rFonts w:cs="Arial"/>
          <w:szCs w:val="19"/>
        </w:rPr>
        <w:t xml:space="preserve"> p. proc i stanowił 2</w:t>
      </w:r>
      <w:r>
        <w:rPr>
          <w:rFonts w:cs="Arial"/>
          <w:szCs w:val="19"/>
        </w:rPr>
        <w:t>3,1</w:t>
      </w:r>
      <w:r w:rsidRPr="00483835">
        <w:rPr>
          <w:rFonts w:cs="Arial"/>
          <w:szCs w:val="19"/>
        </w:rPr>
        <w:t xml:space="preserve">%. Dodatnie saldo wyniosło </w:t>
      </w:r>
      <w:r>
        <w:rPr>
          <w:rFonts w:cs="Arial"/>
          <w:szCs w:val="19"/>
        </w:rPr>
        <w:t>39,0</w:t>
      </w:r>
      <w:r w:rsidRPr="00483835">
        <w:rPr>
          <w:rFonts w:cs="Arial"/>
          <w:szCs w:val="19"/>
        </w:rPr>
        <w:t xml:space="preserve"> mld zł (</w:t>
      </w:r>
      <w:r>
        <w:rPr>
          <w:rFonts w:cs="Arial"/>
          <w:szCs w:val="19"/>
        </w:rPr>
        <w:t>10,2</w:t>
      </w:r>
      <w:r w:rsidRPr="00483835">
        <w:rPr>
          <w:rFonts w:cs="Arial"/>
          <w:szCs w:val="19"/>
        </w:rPr>
        <w:t xml:space="preserve"> mld USD</w:t>
      </w:r>
      <w:r w:rsidRPr="00797CEA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9,1</w:t>
      </w:r>
      <w:r w:rsidRPr="00797CEA">
        <w:rPr>
          <w:rFonts w:cs="Arial"/>
          <w:szCs w:val="19"/>
        </w:rPr>
        <w:t xml:space="preserve"> mld </w:t>
      </w:r>
      <w:r w:rsidRPr="00483835">
        <w:rPr>
          <w:rFonts w:cs="Arial"/>
          <w:szCs w:val="19"/>
        </w:rPr>
        <w:t xml:space="preserve">EUR) wobec </w:t>
      </w:r>
      <w:r>
        <w:rPr>
          <w:rFonts w:cs="Arial"/>
          <w:szCs w:val="19"/>
        </w:rPr>
        <w:t>36,8</w:t>
      </w:r>
      <w:r w:rsidRPr="00483835">
        <w:rPr>
          <w:rFonts w:cs="Arial"/>
          <w:szCs w:val="19"/>
        </w:rPr>
        <w:t xml:space="preserve"> mld zł (</w:t>
      </w:r>
      <w:r>
        <w:rPr>
          <w:rFonts w:cs="Arial"/>
          <w:szCs w:val="19"/>
        </w:rPr>
        <w:t>9,4</w:t>
      </w:r>
      <w:r w:rsidRPr="00483835">
        <w:rPr>
          <w:rFonts w:cs="Arial"/>
          <w:szCs w:val="19"/>
        </w:rPr>
        <w:t xml:space="preserve"> mld USD, </w:t>
      </w:r>
      <w:r>
        <w:rPr>
          <w:rFonts w:cs="Arial"/>
          <w:szCs w:val="19"/>
        </w:rPr>
        <w:t>8,4</w:t>
      </w:r>
      <w:r w:rsidRPr="00483835">
        <w:rPr>
          <w:rFonts w:cs="Arial"/>
          <w:szCs w:val="19"/>
        </w:rPr>
        <w:t xml:space="preserve"> mld EUR) </w:t>
      </w:r>
      <w:r w:rsidRPr="00483835">
        <w:rPr>
          <w:rFonts w:cs="Arial"/>
          <w:spacing w:val="-3"/>
          <w:szCs w:val="19"/>
        </w:rPr>
        <w:t xml:space="preserve">w </w:t>
      </w:r>
      <w:r>
        <w:rPr>
          <w:rFonts w:cs="Arial"/>
          <w:spacing w:val="-3"/>
          <w:szCs w:val="19"/>
        </w:rPr>
        <w:t>2016</w:t>
      </w:r>
      <w:r w:rsidRPr="00483835">
        <w:rPr>
          <w:rFonts w:cs="Arial"/>
          <w:spacing w:val="-3"/>
          <w:szCs w:val="19"/>
        </w:rPr>
        <w:t xml:space="preserve"> r.</w:t>
      </w:r>
      <w:r w:rsidRPr="002D45CF">
        <w:rPr>
          <w:rFonts w:cs="Arial"/>
          <w:spacing w:val="-3"/>
          <w:sz w:val="18"/>
          <w:szCs w:val="18"/>
        </w:rPr>
        <w:t xml:space="preserve"> </w:t>
      </w:r>
    </w:p>
    <w:p w:rsidR="00A468E3" w:rsidRPr="002D45CF" w:rsidRDefault="00A468E3" w:rsidP="00A468E3">
      <w:pPr>
        <w:rPr>
          <w:rFonts w:cs="Arial"/>
          <w:sz w:val="18"/>
          <w:szCs w:val="18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0ECCC2B4" wp14:editId="60562F68">
                <wp:simplePos x="0" y="0"/>
                <wp:positionH relativeFrom="column">
                  <wp:posOffset>5365608</wp:posOffset>
                </wp:positionH>
                <wp:positionV relativeFrom="paragraph">
                  <wp:posOffset>4607332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3" w:rsidRPr="00FF1498" w:rsidRDefault="00A468E3" w:rsidP="00A468E3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>Udział Rosji w</w:t>
                            </w:r>
                            <w:r>
                              <w:rPr>
                                <w:rFonts w:cs="Arial"/>
                              </w:rPr>
                              <w:t xml:space="preserve"> imporcie wzrósł w porównaniu z 2</w:t>
                            </w:r>
                            <w:r w:rsidRPr="00FF1498">
                              <w:rPr>
                                <w:rFonts w:cs="Arial"/>
                              </w:rPr>
                              <w:t>016</w:t>
                            </w:r>
                            <w:r>
                              <w:rPr>
                                <w:rFonts w:cs="Arial"/>
                              </w:rPr>
                              <w:t> r. o 0,6 p. proc. i stanowił 6,4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Pr="00074DD8" w:rsidRDefault="00A468E3" w:rsidP="00A468E3">
                            <w:pPr>
                              <w:pStyle w:val="tekstzboku"/>
                            </w:pPr>
                          </w:p>
                          <w:p w:rsidR="00A468E3" w:rsidRPr="00D616D2" w:rsidRDefault="00A468E3" w:rsidP="00A468E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C2B4" id="Pole tekstowe 14" o:spid="_x0000_s1030" type="#_x0000_t202" style="position:absolute;margin-left:422.5pt;margin-top:362.8pt;width:135.85pt;height:65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" filled="f" stroked="f">
                <v:textbox>
                  <w:txbxContent>
                    <w:p w:rsidR="00A468E3" w:rsidRPr="00FF1498" w:rsidRDefault="00A468E3" w:rsidP="00A468E3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>Udział Rosji w</w:t>
                      </w:r>
                      <w:r>
                        <w:rPr>
                          <w:rFonts w:cs="Arial"/>
                        </w:rPr>
                        <w:t xml:space="preserve"> imporcie wzrósł w porównaniu z 2</w:t>
                      </w:r>
                      <w:r w:rsidRPr="00FF1498">
                        <w:rPr>
                          <w:rFonts w:cs="Arial"/>
                        </w:rPr>
                        <w:t>016</w:t>
                      </w:r>
                      <w:r>
                        <w:rPr>
                          <w:rFonts w:cs="Arial"/>
                        </w:rPr>
                        <w:t> r. o 0,6 p. proc. i stanowił 6,4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Pr="00074DD8" w:rsidRDefault="00A468E3" w:rsidP="00A468E3">
                      <w:pPr>
                        <w:pStyle w:val="tekstzboku"/>
                      </w:pPr>
                    </w:p>
                    <w:p w:rsidR="00A468E3" w:rsidRPr="00D616D2" w:rsidRDefault="00A468E3" w:rsidP="00A468E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pacing w:val="-3"/>
          <w:sz w:val="18"/>
          <w:szCs w:val="18"/>
        </w:rPr>
        <w:t>Tablica 2</w:t>
      </w:r>
      <w:r w:rsidRPr="00C30406">
        <w:rPr>
          <w:rFonts w:cs="Arial"/>
          <w:b/>
          <w:spacing w:val="-3"/>
          <w:sz w:val="18"/>
          <w:szCs w:val="18"/>
        </w:rPr>
        <w:t xml:space="preserve">. </w:t>
      </w:r>
      <w:r>
        <w:rPr>
          <w:rFonts w:cs="Arial"/>
          <w:b/>
          <w:spacing w:val="-3"/>
          <w:sz w:val="18"/>
          <w:szCs w:val="18"/>
        </w:rPr>
        <w:t>Obroty towarowe według ważniejszych krajów</w:t>
      </w:r>
      <w:r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A468E3" w:rsidRPr="00366025" w:rsidTr="001B0813">
        <w:tc>
          <w:tcPr>
            <w:tcW w:w="2407" w:type="dxa"/>
            <w:vMerge w:val="restart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44" w:type="dxa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644" w:type="dxa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A468E3" w:rsidRPr="00366025" w:rsidTr="001B0813">
        <w:tc>
          <w:tcPr>
            <w:tcW w:w="2407" w:type="dxa"/>
            <w:vMerge/>
            <w:tcBorders>
              <w:bottom w:val="single" w:sz="4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A468E3" w:rsidRPr="005F3D74" w:rsidRDefault="00A468E3" w:rsidP="001B081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A468E3" w:rsidRPr="005F3D74" w:rsidRDefault="00A468E3" w:rsidP="001B081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2016 = 100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A468E3" w:rsidRPr="00366025" w:rsidTr="001B0813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68E3" w:rsidRPr="00366025" w:rsidTr="001B0813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A468E3" w:rsidRPr="00366025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242,6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63,7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56,8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113,4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W. Brytania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56,8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109,2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108,1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Czechy 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56,8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107,6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110,6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109,5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4. Francja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49,7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112,4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115,3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114,3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43,2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112,9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115,7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114,8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107,8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110,8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109,7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7. Rosja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118,4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 Szwecja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24,8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106,7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109,7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108,5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Hiszpania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110,2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112,0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 Stany Zjednoczone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123,9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127,7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126,3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A468E3" w:rsidRPr="00366025" w:rsidTr="001B0813">
        <w:tc>
          <w:tcPr>
            <w:tcW w:w="8023" w:type="dxa"/>
            <w:gridSpan w:val="9"/>
            <w:vAlign w:val="center"/>
          </w:tcPr>
          <w:p w:rsidR="00A468E3" w:rsidRPr="00366025" w:rsidRDefault="00A468E3" w:rsidP="001B081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203,6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53,5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47,7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114,3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103,7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110,0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113,4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112,0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55,9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123,4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126,8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125,4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46,9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107,2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110,0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109,1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Francja 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34,2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109,2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114,4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113,3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111,5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114,5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113,4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116,4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115,2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Belgia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108,1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110,9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109,9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A468E3" w:rsidRPr="00366025" w:rsidTr="001B0813">
        <w:tc>
          <w:tcPr>
            <w:tcW w:w="2407" w:type="dxa"/>
            <w:vAlign w:val="bottom"/>
          </w:tcPr>
          <w:p w:rsidR="00A468E3" w:rsidRPr="00366025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 W. Brytania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772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103,9</w:t>
            </w:r>
          </w:p>
        </w:tc>
        <w:tc>
          <w:tcPr>
            <w:tcW w:w="671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106,9</w:t>
            </w:r>
          </w:p>
        </w:tc>
        <w:tc>
          <w:tcPr>
            <w:tcW w:w="670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105,7</w:t>
            </w:r>
          </w:p>
        </w:tc>
        <w:tc>
          <w:tcPr>
            <w:tcW w:w="644" w:type="dxa"/>
            <w:vAlign w:val="bottom"/>
          </w:tcPr>
          <w:p w:rsidR="00A468E3" w:rsidRPr="00366025" w:rsidRDefault="00A468E3" w:rsidP="001B081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A468E3" w:rsidRDefault="00A468E3" w:rsidP="00A468E3">
      <w:pPr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65659593" wp14:editId="05281EB8">
            <wp:simplePos x="0" y="0"/>
            <wp:positionH relativeFrom="column">
              <wp:posOffset>-67945</wp:posOffset>
            </wp:positionH>
            <wp:positionV relativeFrom="paragraph">
              <wp:posOffset>243840</wp:posOffset>
            </wp:positionV>
            <wp:extent cx="5122545" cy="1092200"/>
            <wp:effectExtent l="0" t="0" r="1905" b="0"/>
            <wp:wrapSquare wrapText="bothSides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DA2">
        <w:rPr>
          <w:b/>
          <w:sz w:val="18"/>
          <w:szCs w:val="18"/>
        </w:rPr>
        <w:t xml:space="preserve">Wykres </w:t>
      </w:r>
      <w:r>
        <w:rPr>
          <w:b/>
          <w:sz w:val="18"/>
          <w:szCs w:val="18"/>
        </w:rPr>
        <w:t>4.</w:t>
      </w:r>
      <w:r w:rsidRPr="00F70DA2">
        <w:rPr>
          <w:b/>
          <w:sz w:val="18"/>
          <w:szCs w:val="18"/>
          <w:shd w:val="clear" w:color="auto" w:fill="FFFFFF"/>
        </w:rPr>
        <w:t xml:space="preserve"> </w:t>
      </w:r>
      <w:r>
        <w:rPr>
          <w:b/>
          <w:sz w:val="18"/>
          <w:szCs w:val="18"/>
          <w:shd w:val="clear" w:color="auto" w:fill="FFFFFF"/>
        </w:rPr>
        <w:t>Saldo Polski z Rosją (w mld zł)</w:t>
      </w:r>
      <w:r w:rsidRPr="002E14D1">
        <w:rPr>
          <w:noProof/>
          <w:lang w:eastAsia="pl-PL"/>
        </w:rPr>
        <w:t xml:space="preserve"> </w:t>
      </w:r>
    </w:p>
    <w:p w:rsidR="00A468E3" w:rsidRDefault="00A468E3" w:rsidP="00A468E3">
      <w:pPr>
        <w:pStyle w:val="Nagwek1"/>
      </w:pPr>
      <w:r>
        <w:lastRenderedPageBreak/>
        <w:t>Import według kraju wysyłki</w:t>
      </w:r>
      <w:r w:rsidRPr="003C6B82">
        <w:t xml:space="preserve"> ogółem i według grup krajów</w:t>
      </w:r>
    </w:p>
    <w:p w:rsidR="00A468E3" w:rsidRDefault="00A468E3" w:rsidP="00A468E3">
      <w:pPr>
        <w:rPr>
          <w:shd w:val="clear" w:color="auto" w:fill="FFFFFF"/>
        </w:rPr>
      </w:pPr>
      <w:r>
        <w:rPr>
          <w:rFonts w:cs="Arial"/>
          <w:spacing w:val="-3"/>
        </w:rPr>
        <w:t xml:space="preserve">Największy obrót towarowy w imporcie według kraju wysyłki Polska odnotowała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 xml:space="preserve">mi </w:t>
      </w:r>
      <w:r w:rsidRPr="003C6B82">
        <w:rPr>
          <w:rFonts w:cs="Arial"/>
        </w:rPr>
        <w:t>–</w:t>
      </w:r>
      <w:r>
        <w:rPr>
          <w:rFonts w:cs="Arial"/>
          <w:spacing w:val="-3"/>
        </w:rPr>
        <w:t xml:space="preserve"> 672,6 mld zł, </w:t>
      </w:r>
      <w:r w:rsidRPr="003C6B82">
        <w:rPr>
          <w:rFonts w:cs="Arial"/>
          <w:spacing w:val="-3"/>
        </w:rPr>
        <w:t xml:space="preserve">w tym </w:t>
      </w:r>
      <w:r>
        <w:rPr>
          <w:rFonts w:cs="Arial"/>
          <w:spacing w:val="-3"/>
        </w:rPr>
        <w:t xml:space="preserve">z </w:t>
      </w:r>
      <w:r w:rsidRPr="003C6B82">
        <w:rPr>
          <w:rFonts w:cs="Arial"/>
          <w:spacing w:val="-3"/>
        </w:rPr>
        <w:t>UE</w:t>
      </w:r>
      <w:r>
        <w:rPr>
          <w:rFonts w:cs="Arial"/>
          <w:spacing w:val="-3"/>
        </w:rPr>
        <w:t xml:space="preserve"> – 631,8 mld zł,</w:t>
      </w:r>
      <w:r w:rsidRPr="003C6B82">
        <w:rPr>
          <w:rFonts w:cs="Arial"/>
          <w:spacing w:val="-3"/>
        </w:rPr>
        <w:t xml:space="preserve"> wobec odpowiednio </w:t>
      </w:r>
      <w:r>
        <w:rPr>
          <w:rFonts w:cs="Arial"/>
          <w:spacing w:val="-3"/>
        </w:rPr>
        <w:t xml:space="preserve">605,9 mld zł, </w:t>
      </w:r>
      <w:r w:rsidRPr="003C6B82">
        <w:rPr>
          <w:rFonts w:cs="Arial"/>
          <w:spacing w:val="-3"/>
        </w:rPr>
        <w:t xml:space="preserve">w tym </w:t>
      </w:r>
      <w:r>
        <w:rPr>
          <w:rFonts w:cs="Arial"/>
          <w:spacing w:val="-3"/>
        </w:rPr>
        <w:t>z UE 570,2  mld zł </w:t>
      </w:r>
      <w:r w:rsidRPr="003C6B82">
        <w:rPr>
          <w:rFonts w:cs="Arial"/>
          <w:spacing w:val="-3"/>
        </w:rPr>
        <w:t>w </w:t>
      </w:r>
      <w:r>
        <w:rPr>
          <w:rFonts w:cs="Arial"/>
          <w:spacing w:val="-3"/>
        </w:rPr>
        <w:t xml:space="preserve">porównaniu z </w:t>
      </w:r>
      <w:r w:rsidRPr="003C6B82">
        <w:rPr>
          <w:rFonts w:cs="Arial"/>
          <w:spacing w:val="-3"/>
        </w:rPr>
        <w:t>2016 roku</w:t>
      </w:r>
      <w:r w:rsidRPr="003C6B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A468E3" w:rsidRDefault="00A468E3" w:rsidP="00A468E3">
      <w:pPr>
        <w:rPr>
          <w:b/>
          <w:sz w:val="18"/>
          <w:szCs w:val="18"/>
          <w:shd w:val="clear" w:color="auto" w:fill="FFFFFF"/>
        </w:rPr>
      </w:pPr>
      <w:r>
        <w:rPr>
          <w:rFonts w:cs="Arial"/>
          <w:b/>
          <w:spacing w:val="-3"/>
          <w:sz w:val="18"/>
          <w:szCs w:val="18"/>
        </w:rPr>
        <w:t>Tablica 3</w:t>
      </w:r>
      <w:r w:rsidRPr="00C30406">
        <w:rPr>
          <w:rFonts w:cs="Arial"/>
          <w:b/>
          <w:spacing w:val="-3"/>
          <w:sz w:val="18"/>
          <w:szCs w:val="18"/>
        </w:rPr>
        <w:t>.</w:t>
      </w:r>
      <w:r>
        <w:rPr>
          <w:rFonts w:cs="Arial"/>
          <w:b/>
          <w:spacing w:val="-3"/>
          <w:sz w:val="18"/>
          <w:szCs w:val="18"/>
        </w:rPr>
        <w:t xml:space="preserve"> </w:t>
      </w:r>
      <w:r w:rsidRPr="0048231B">
        <w:rPr>
          <w:b/>
        </w:rPr>
        <w:t>Import według kraju wysyłki</w:t>
      </w:r>
      <w:r>
        <w:rPr>
          <w:rStyle w:val="Odwoanieprzypisudolnego"/>
          <w:b/>
        </w:rPr>
        <w:footnoteReference w:id="2"/>
      </w:r>
      <w:r w:rsidRPr="0048231B">
        <w:rPr>
          <w:b/>
        </w:rPr>
        <w:t xml:space="preserve"> ogółem </w:t>
      </w:r>
      <w:r>
        <w:rPr>
          <w:b/>
        </w:rPr>
        <w:t>i według grup krajów</w:t>
      </w:r>
    </w:p>
    <w:tbl>
      <w:tblPr>
        <w:tblW w:w="7976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17"/>
        <w:gridCol w:w="717"/>
        <w:gridCol w:w="717"/>
        <w:gridCol w:w="719"/>
        <w:gridCol w:w="717"/>
        <w:gridCol w:w="717"/>
      </w:tblGrid>
      <w:tr w:rsidR="00A468E3" w:rsidRPr="0051165C" w:rsidTr="001B0813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0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A468E3" w:rsidRPr="0051165C" w:rsidTr="001B0813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A468E3" w:rsidRPr="005F3D74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A468E3" w:rsidRPr="005F3D74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A468E3" w:rsidRPr="005F3D74" w:rsidRDefault="00A468E3" w:rsidP="001B0813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5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2016 = 100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A468E3" w:rsidRPr="0051165C" w:rsidTr="001B0813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34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68E3" w:rsidRPr="0051165C" w:rsidTr="001B0813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:rsidR="00A468E3" w:rsidRPr="00A00ADB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880,1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Pr="00053C25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53C25">
              <w:rPr>
                <w:rFonts w:cs="Arial"/>
                <w:b/>
                <w:bCs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Pr="00053C25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53C25">
              <w:rPr>
                <w:rFonts w:cs="Arial"/>
                <w:b/>
                <w:b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719" w:type="dxa"/>
            <w:tcBorders>
              <w:top w:val="single" w:sz="12" w:space="0" w:color="001D77"/>
            </w:tcBorders>
            <w:vAlign w:val="bottom"/>
          </w:tcPr>
          <w:p w:rsidR="00A468E3" w:rsidRPr="00053C25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53C25">
              <w:rPr>
                <w:rFonts w:cs="Arial"/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468E3" w:rsidRPr="0051165C" w:rsidTr="001B0813">
        <w:trPr>
          <w:trHeight w:val="35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19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</w:tr>
      <w:tr w:rsidR="00A468E3" w:rsidRPr="0051165C" w:rsidTr="001B0813">
        <w:trPr>
          <w:trHeight w:val="34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631,8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19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</w:tr>
      <w:tr w:rsidR="00A468E3" w:rsidRPr="0051165C" w:rsidTr="001B0813">
        <w:trPr>
          <w:trHeight w:val="35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19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58,2</w:t>
            </w:r>
          </w:p>
        </w:tc>
      </w:tr>
      <w:tr w:rsidR="00A468E3" w:rsidRPr="0051165C" w:rsidTr="001B0813">
        <w:trPr>
          <w:trHeight w:val="34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19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15,5</w:t>
            </w:r>
          </w:p>
        </w:tc>
      </w:tr>
      <w:tr w:rsidR="00A468E3" w:rsidRPr="0051165C" w:rsidTr="001B0813">
        <w:trPr>
          <w:trHeight w:val="355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719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8,1</w:t>
            </w:r>
          </w:p>
        </w:tc>
      </w:tr>
      <w:tr w:rsidR="00A468E3" w:rsidRPr="0051165C" w:rsidTr="001B0813">
        <w:trPr>
          <w:trHeight w:val="34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A468E3" w:rsidRPr="0051165C" w:rsidTr="001B0813">
        <w:trPr>
          <w:trHeight w:val="35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51165C" w:rsidTr="001B0813">
        <w:trPr>
          <w:trHeight w:val="34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51165C" w:rsidTr="001B0813">
        <w:trPr>
          <w:trHeight w:val="35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-8,7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51165C" w:rsidTr="001B0813">
        <w:trPr>
          <w:trHeight w:val="342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-18,1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-16,3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A468E3" w:rsidRPr="0051165C" w:rsidTr="001B0813">
        <w:trPr>
          <w:trHeight w:val="258"/>
        </w:trPr>
        <w:tc>
          <w:tcPr>
            <w:tcW w:w="2237" w:type="dxa"/>
            <w:vAlign w:val="center"/>
          </w:tcPr>
          <w:p w:rsidR="00A468E3" w:rsidRPr="0051165C" w:rsidRDefault="00A468E3" w:rsidP="001B081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-20,3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717" w:type="dxa"/>
            <w:vAlign w:val="bottom"/>
          </w:tcPr>
          <w:p w:rsidR="00A468E3" w:rsidRDefault="00A468E3" w:rsidP="001B0813">
            <w:pPr>
              <w:spacing w:after="100" w:afterAutospacing="1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A468E3" w:rsidRPr="0051165C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A468E3" w:rsidRDefault="00A468E3" w:rsidP="00A468E3">
      <w:pPr>
        <w:rPr>
          <w:b/>
          <w:sz w:val="18"/>
          <w:szCs w:val="18"/>
        </w:rPr>
      </w:pPr>
    </w:p>
    <w:p w:rsidR="00010D91" w:rsidRDefault="00010D91" w:rsidP="00A468E3">
      <w:pPr>
        <w:rPr>
          <w:b/>
          <w:sz w:val="18"/>
          <w:szCs w:val="18"/>
        </w:rPr>
      </w:pPr>
    </w:p>
    <w:p w:rsidR="00010D91" w:rsidRDefault="00010D91" w:rsidP="00A468E3">
      <w:pPr>
        <w:rPr>
          <w:b/>
          <w:sz w:val="18"/>
          <w:szCs w:val="18"/>
        </w:rPr>
      </w:pPr>
    </w:p>
    <w:p w:rsidR="00010D91" w:rsidRDefault="00010D91" w:rsidP="00A468E3">
      <w:pPr>
        <w:rPr>
          <w:b/>
          <w:sz w:val="18"/>
          <w:szCs w:val="18"/>
        </w:rPr>
      </w:pPr>
    </w:p>
    <w:p w:rsidR="00010D91" w:rsidRDefault="00010D91" w:rsidP="00A468E3">
      <w:pPr>
        <w:rPr>
          <w:b/>
          <w:sz w:val="18"/>
          <w:szCs w:val="18"/>
        </w:rPr>
      </w:pPr>
    </w:p>
    <w:p w:rsidR="00A468E3" w:rsidRDefault="00A468E3" w:rsidP="00A468E3">
      <w:pPr>
        <w:rPr>
          <w:b/>
          <w:sz w:val="18"/>
          <w:szCs w:val="18"/>
          <w:shd w:val="clear" w:color="auto" w:fill="FFFFFF"/>
        </w:rPr>
      </w:pPr>
      <w:r w:rsidRPr="00F70DA2">
        <w:rPr>
          <w:b/>
          <w:sz w:val="18"/>
          <w:szCs w:val="18"/>
        </w:rPr>
        <w:t xml:space="preserve">Wykres </w:t>
      </w:r>
      <w:r>
        <w:rPr>
          <w:b/>
          <w:sz w:val="18"/>
          <w:szCs w:val="18"/>
        </w:rPr>
        <w:t>5.</w:t>
      </w:r>
      <w:r w:rsidRPr="00F70DA2">
        <w:rPr>
          <w:b/>
          <w:sz w:val="18"/>
          <w:szCs w:val="18"/>
          <w:shd w:val="clear" w:color="auto" w:fill="FFFFFF"/>
        </w:rPr>
        <w:t xml:space="preserve"> </w:t>
      </w:r>
      <w:r w:rsidRPr="002313C5">
        <w:rPr>
          <w:b/>
          <w:sz w:val="18"/>
          <w:szCs w:val="18"/>
          <w:shd w:val="clear" w:color="auto" w:fill="FFFFFF"/>
        </w:rPr>
        <w:t xml:space="preserve">Udział grup krajów </w:t>
      </w:r>
      <w:r w:rsidR="00CE36AB">
        <w:rPr>
          <w:b/>
          <w:sz w:val="18"/>
          <w:szCs w:val="18"/>
          <w:shd w:val="clear" w:color="auto" w:fill="FFFFFF"/>
        </w:rPr>
        <w:t xml:space="preserve">w imporcie </w:t>
      </w:r>
      <w:r w:rsidRPr="002313C5">
        <w:rPr>
          <w:b/>
          <w:sz w:val="18"/>
          <w:szCs w:val="18"/>
          <w:shd w:val="clear" w:color="auto" w:fill="FFFFFF"/>
        </w:rPr>
        <w:t xml:space="preserve">według kraju pochodzenia, a kraju wysyłki </w:t>
      </w:r>
      <w:r>
        <w:rPr>
          <w:b/>
          <w:sz w:val="18"/>
          <w:szCs w:val="18"/>
          <w:shd w:val="clear" w:color="auto" w:fill="FFFFFF"/>
        </w:rPr>
        <w:t>w</w:t>
      </w:r>
      <w:r w:rsidRPr="002313C5">
        <w:rPr>
          <w:b/>
          <w:sz w:val="18"/>
          <w:szCs w:val="18"/>
          <w:shd w:val="clear" w:color="auto" w:fill="FFFFFF"/>
        </w:rPr>
        <w:t xml:space="preserve"> 2017 r.</w:t>
      </w:r>
      <w:r>
        <w:rPr>
          <w:noProof/>
          <w:lang w:eastAsia="pl-PL"/>
        </w:rPr>
        <w:drawing>
          <wp:anchor distT="0" distB="0" distL="114300" distR="114300" simplePos="0" relativeHeight="251745280" behindDoc="0" locked="0" layoutInCell="1" allowOverlap="1" wp14:anchorId="6F2F250D" wp14:editId="7EAD440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5122545" cy="2292350"/>
            <wp:effectExtent l="0" t="0" r="1905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E3" w:rsidRDefault="00A468E3" w:rsidP="00A468E3">
      <w:pPr>
        <w:pStyle w:val="Nagwek1"/>
      </w:pPr>
      <w:r>
        <w:lastRenderedPageBreak/>
        <w:t>Import według kraju wysyłki – według krajów</w:t>
      </w:r>
    </w:p>
    <w:p w:rsidR="00A468E3" w:rsidRDefault="00A468E3" w:rsidP="00A468E3">
      <w:pPr>
        <w:rPr>
          <w:b/>
          <w:sz w:val="18"/>
          <w:szCs w:val="18"/>
          <w:shd w:val="clear" w:color="auto" w:fill="FFFFFF"/>
        </w:rPr>
      </w:pPr>
      <w:r>
        <w:t xml:space="preserve">Udział Niemiec w imporcie według </w:t>
      </w:r>
      <w:r w:rsidRPr="00345F7C">
        <w:t xml:space="preserve"> </w:t>
      </w:r>
      <w:r w:rsidRPr="00345F7C">
        <w:rPr>
          <w:rFonts w:cs="Arial"/>
        </w:rPr>
        <w:t xml:space="preserve">kraju </w:t>
      </w:r>
      <w:r>
        <w:rPr>
          <w:rFonts w:cs="Arial"/>
        </w:rPr>
        <w:t>wysyłki</w:t>
      </w:r>
      <w:r w:rsidRPr="00345F7C">
        <w:rPr>
          <w:rFonts w:cs="Arial"/>
        </w:rPr>
        <w:t xml:space="preserve"> </w:t>
      </w:r>
      <w:r>
        <w:rPr>
          <w:rFonts w:cs="Arial"/>
        </w:rPr>
        <w:t>w stosunk</w:t>
      </w:r>
      <w:r w:rsidR="009360D3">
        <w:rPr>
          <w:rFonts w:cs="Arial"/>
        </w:rPr>
        <w:t>u</w:t>
      </w:r>
      <w:r>
        <w:rPr>
          <w:rFonts w:cs="Arial"/>
        </w:rPr>
        <w:t xml:space="preserve"> do importu według kraju pochodzenia był większy o 4,9 p. proc., udział Holandii odpowiednio był większy o 2,2 p. proc., a Belgii o 1,1 p. proc.</w:t>
      </w:r>
      <w:r w:rsidRPr="00633014">
        <w:rPr>
          <w:b/>
          <w:noProof/>
          <w:spacing w:val="-2"/>
          <w:szCs w:val="19"/>
          <w:lang w:eastAsia="pl-PL"/>
        </w:rPr>
        <w:t xml:space="preserve"> </w:t>
      </w: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816C3F0" wp14:editId="7C67A57A">
                <wp:simplePos x="0" y="0"/>
                <wp:positionH relativeFrom="column">
                  <wp:posOffset>5290820</wp:posOffset>
                </wp:positionH>
                <wp:positionV relativeFrom="paragraph">
                  <wp:posOffset>1652558</wp:posOffset>
                </wp:positionV>
                <wp:extent cx="1725295" cy="2023872"/>
                <wp:effectExtent l="0" t="0" r="0" b="0"/>
                <wp:wrapTight wrapText="bothSides">
                  <wp:wrapPolygon edited="0">
                    <wp:start x="715" y="0"/>
                    <wp:lineTo x="715" y="21349"/>
                    <wp:lineTo x="20749" y="21349"/>
                    <wp:lineTo x="20749" y="0"/>
                    <wp:lineTo x="715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23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3" w:rsidRDefault="00A468E3" w:rsidP="00A468E3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Import z Chin </w:t>
                            </w:r>
                            <w:r>
                              <w:t xml:space="preserve">według </w:t>
                            </w:r>
                            <w:r w:rsidRPr="00345F7C">
                              <w:t xml:space="preserve"> 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kraju </w:t>
                            </w:r>
                            <w:r>
                              <w:rPr>
                                <w:rFonts w:cs="Arial"/>
                              </w:rPr>
                              <w:t>wysyłki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 stosunk</w:t>
                            </w:r>
                            <w:r w:rsidR="009360D3">
                              <w:rPr>
                                <w:rFonts w:cs="Arial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</w:rPr>
                              <w:t xml:space="preserve"> do importu według kraju pochodzenia był mniejszy o 4,7 p. proc.</w:t>
                            </w: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Default="00A468E3" w:rsidP="00A468E3">
                            <w:pPr>
                              <w:pStyle w:val="tekstzboku"/>
                            </w:pPr>
                          </w:p>
                          <w:p w:rsidR="00A468E3" w:rsidRPr="00074DD8" w:rsidRDefault="00A468E3" w:rsidP="00A468E3">
                            <w:pPr>
                              <w:pStyle w:val="tekstzboku"/>
                            </w:pPr>
                          </w:p>
                          <w:p w:rsidR="00A468E3" w:rsidRPr="00D616D2" w:rsidRDefault="00A468E3" w:rsidP="00A468E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C3F0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31" type="#_x0000_t202" style="position:absolute;margin-left:416.6pt;margin-top:130.1pt;width:135.85pt;height:159.3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" filled="f" stroked="f">
                <v:textbox>
                  <w:txbxContent>
                    <w:p w:rsidR="00A468E3" w:rsidRDefault="00A468E3" w:rsidP="00A468E3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Import z Chin </w:t>
                      </w:r>
                      <w:r>
                        <w:t xml:space="preserve">według </w:t>
                      </w:r>
                      <w:r w:rsidRPr="00345F7C">
                        <w:t xml:space="preserve"> </w:t>
                      </w:r>
                      <w:r w:rsidRPr="00345F7C">
                        <w:rPr>
                          <w:rFonts w:cs="Arial"/>
                        </w:rPr>
                        <w:t xml:space="preserve">kraju </w:t>
                      </w:r>
                      <w:r>
                        <w:rPr>
                          <w:rFonts w:cs="Arial"/>
                        </w:rPr>
                        <w:t>wysyłki</w:t>
                      </w:r>
                      <w:r w:rsidRPr="00345F7C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w stosunk</w:t>
                      </w:r>
                      <w:r w:rsidR="009360D3">
                        <w:rPr>
                          <w:rFonts w:cs="Arial"/>
                        </w:rPr>
                        <w:t>u</w:t>
                      </w:r>
                      <w:r>
                        <w:rPr>
                          <w:rFonts w:cs="Arial"/>
                        </w:rPr>
                        <w:t xml:space="preserve"> do importu według kraju pochodzenia był mniejszy o 4,7 p. proc.</w:t>
                      </w: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Default="00A468E3" w:rsidP="00A468E3">
                      <w:pPr>
                        <w:pStyle w:val="tekstzboku"/>
                      </w:pPr>
                    </w:p>
                    <w:p w:rsidR="00A468E3" w:rsidRPr="00074DD8" w:rsidRDefault="00A468E3" w:rsidP="00A468E3">
                      <w:pPr>
                        <w:pStyle w:val="tekstzboku"/>
                      </w:pPr>
                    </w:p>
                    <w:p w:rsidR="00A468E3" w:rsidRPr="00D616D2" w:rsidRDefault="00A468E3" w:rsidP="00A468E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3761" w:rsidRPr="00001C5B" w:rsidRDefault="00393761" w:rsidP="00074DD8">
      <w:pPr>
        <w:pStyle w:val="tytuinformacji"/>
        <w:rPr>
          <w:sz w:val="32"/>
        </w:rPr>
      </w:pPr>
    </w:p>
    <w:tbl>
      <w:tblPr>
        <w:tblpPr w:leftFromText="141" w:rightFromText="141" w:vertAnchor="page" w:horzAnchor="margin" w:tblpY="3780"/>
        <w:tblW w:w="485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51"/>
        <w:gridCol w:w="754"/>
        <w:gridCol w:w="754"/>
        <w:gridCol w:w="754"/>
        <w:gridCol w:w="655"/>
        <w:gridCol w:w="655"/>
        <w:gridCol w:w="656"/>
        <w:gridCol w:w="629"/>
        <w:gridCol w:w="630"/>
      </w:tblGrid>
      <w:tr w:rsidR="00A468E3" w:rsidRPr="00366025" w:rsidTr="001B0813">
        <w:trPr>
          <w:trHeight w:val="613"/>
        </w:trPr>
        <w:tc>
          <w:tcPr>
            <w:tcW w:w="2351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28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29" w:type="dxa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A468E3" w:rsidRPr="00366025" w:rsidTr="001B0813">
        <w:trPr>
          <w:trHeight w:val="613"/>
        </w:trPr>
        <w:tc>
          <w:tcPr>
            <w:tcW w:w="2351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A468E3" w:rsidRPr="005F3D74" w:rsidRDefault="00A468E3" w:rsidP="001B081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A468E3" w:rsidRPr="005F3D74" w:rsidRDefault="00A468E3" w:rsidP="001B081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6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2016 = 100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A468E3" w:rsidRPr="00366025" w:rsidTr="001B0813">
        <w:trPr>
          <w:trHeight w:val="774"/>
        </w:trPr>
        <w:tc>
          <w:tcPr>
            <w:tcW w:w="235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A468E3" w:rsidRPr="005F3D74" w:rsidRDefault="00A468E3" w:rsidP="001B08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5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59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A468E3" w:rsidRPr="005F3D74" w:rsidRDefault="00A468E3" w:rsidP="001B081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68E3" w:rsidRPr="00366025" w:rsidTr="001B0813">
        <w:trPr>
          <w:trHeight w:val="394"/>
        </w:trPr>
        <w:tc>
          <w:tcPr>
            <w:tcW w:w="7838" w:type="dxa"/>
            <w:gridSpan w:val="9"/>
            <w:tcBorders>
              <w:top w:val="single" w:sz="12" w:space="0" w:color="001D77"/>
            </w:tcBorders>
            <w:vAlign w:val="center"/>
          </w:tcPr>
          <w:p w:rsidR="00A468E3" w:rsidRPr="00366025" w:rsidRDefault="00A468E3" w:rsidP="001B081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246,6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64,8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57,7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111,4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114,5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113,3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28,0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62,3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110,3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113,7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112,3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56,6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122,5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126,0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124,5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52,4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114,3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47,5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109,8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112,8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111,8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6. Francja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108,8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111,7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110,7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114,3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112,5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115,6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114,5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9. W. Brytania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107,6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110,8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109,5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A468E3" w:rsidRPr="00366025" w:rsidTr="001B0813">
        <w:trPr>
          <w:trHeight w:val="394"/>
        </w:trPr>
        <w:tc>
          <w:tcPr>
            <w:tcW w:w="2351" w:type="dxa"/>
            <w:vAlign w:val="center"/>
          </w:tcPr>
          <w:p w:rsidR="00A468E3" w:rsidRPr="0038490F" w:rsidRDefault="00A468E3" w:rsidP="001B081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754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116,3</w:t>
            </w:r>
          </w:p>
        </w:tc>
        <w:tc>
          <w:tcPr>
            <w:tcW w:w="655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119,7</w:t>
            </w:r>
          </w:p>
        </w:tc>
        <w:tc>
          <w:tcPr>
            <w:tcW w:w="656" w:type="dxa"/>
            <w:vAlign w:val="bottom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118,4</w:t>
            </w:r>
          </w:p>
        </w:tc>
        <w:tc>
          <w:tcPr>
            <w:tcW w:w="629" w:type="dxa"/>
            <w:vAlign w:val="bottom"/>
          </w:tcPr>
          <w:p w:rsidR="00A468E3" w:rsidRPr="0038490F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30" w:type="dxa"/>
            <w:vAlign w:val="center"/>
          </w:tcPr>
          <w:p w:rsidR="00A468E3" w:rsidRDefault="00A468E3" w:rsidP="001B081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003437" w:rsidRPr="00A468E3" w:rsidRDefault="00A468E3" w:rsidP="00E76D26">
      <w:pPr>
        <w:pStyle w:val="Nagwek1"/>
        <w:spacing w:before="0"/>
        <w:rPr>
          <w:rFonts w:ascii="Fira Sans" w:hAnsi="Fira Sans"/>
          <w:b/>
          <w:color w:val="auto"/>
          <w:spacing w:val="-2"/>
          <w:szCs w:val="19"/>
        </w:rPr>
      </w:pPr>
      <w:r w:rsidRPr="00A468E3">
        <w:rPr>
          <w:rFonts w:ascii="Fira Sans" w:hAnsi="Fira Sans" w:cs="Arial"/>
          <w:b/>
          <w:color w:val="auto"/>
          <w:spacing w:val="-3"/>
          <w:szCs w:val="19"/>
        </w:rPr>
        <w:t xml:space="preserve">Tablica 4. </w:t>
      </w:r>
      <w:r w:rsidRPr="00A468E3">
        <w:rPr>
          <w:rFonts w:ascii="Fira Sans" w:hAnsi="Fira Sans"/>
          <w:b/>
          <w:color w:val="auto"/>
          <w:szCs w:val="19"/>
        </w:rPr>
        <w:t>Import według kraju wysyłki - według krajów</w:t>
      </w:r>
    </w:p>
    <w:p w:rsidR="00585385" w:rsidRPr="00C30406" w:rsidRDefault="00585385" w:rsidP="002D45CF">
      <w:pPr>
        <w:rPr>
          <w:rFonts w:cs="Arial"/>
          <w:b/>
          <w:spacing w:val="-3"/>
          <w:sz w:val="18"/>
          <w:szCs w:val="18"/>
        </w:rPr>
      </w:pPr>
    </w:p>
    <w:p w:rsidR="00490CCF" w:rsidRDefault="00490CCF" w:rsidP="00345F7C">
      <w:pPr>
        <w:pStyle w:val="Nagwek1"/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366025" w:rsidRPr="002D45CF" w:rsidRDefault="00366025" w:rsidP="00366025">
      <w:pPr>
        <w:rPr>
          <w:rFonts w:cs="Arial"/>
          <w:sz w:val="18"/>
          <w:szCs w:val="18"/>
        </w:rPr>
      </w:pPr>
    </w:p>
    <w:p w:rsidR="00CD2FE9" w:rsidRDefault="00CD2FE9" w:rsidP="00366025">
      <w:pPr>
        <w:rPr>
          <w:b/>
          <w:sz w:val="18"/>
          <w:szCs w:val="18"/>
        </w:rPr>
      </w:pPr>
    </w:p>
    <w:p w:rsidR="00207FAB" w:rsidRDefault="00207FAB" w:rsidP="00366025">
      <w:pPr>
        <w:rPr>
          <w:b/>
          <w:sz w:val="18"/>
          <w:szCs w:val="18"/>
        </w:rPr>
      </w:pPr>
    </w:p>
    <w:p w:rsidR="00490CCF" w:rsidRDefault="00490CCF" w:rsidP="0048231B">
      <w:pPr>
        <w:rPr>
          <w:shd w:val="clear" w:color="auto" w:fill="FFFFFF"/>
        </w:rPr>
      </w:pPr>
    </w:p>
    <w:p w:rsidR="00AE636C" w:rsidRDefault="00AE636C" w:rsidP="00366025">
      <w:pPr>
        <w:rPr>
          <w:b/>
          <w:sz w:val="18"/>
          <w:szCs w:val="18"/>
          <w:shd w:val="clear" w:color="auto" w:fill="FFFFFF"/>
        </w:rPr>
      </w:pPr>
    </w:p>
    <w:p w:rsidR="008935C5" w:rsidRDefault="009C17B6" w:rsidP="00366025">
      <w:pPr>
        <w:rPr>
          <w:b/>
          <w:noProof/>
          <w:spacing w:val="-2"/>
          <w:szCs w:val="19"/>
          <w:lang w:eastAsia="pl-PL"/>
        </w:rPr>
      </w:pPr>
      <w:r w:rsidRPr="00633014">
        <w:rPr>
          <w:b/>
          <w:noProof/>
          <w:spacing w:val="-2"/>
          <w:szCs w:val="19"/>
          <w:lang w:eastAsia="pl-PL"/>
        </w:rPr>
        <w:t xml:space="preserve"> </w:t>
      </w:r>
    </w:p>
    <w:p w:rsidR="00F3415A" w:rsidRPr="003D744D" w:rsidRDefault="00F3415A" w:rsidP="003D744D">
      <w:pPr>
        <w:rPr>
          <w:sz w:val="18"/>
          <w:szCs w:val="18"/>
          <w:lang w:eastAsia="pl-PL"/>
        </w:rPr>
        <w:sectPr w:rsidR="00F3415A" w:rsidRPr="003D744D" w:rsidSect="00673305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0470AA" w:rsidRPr="003F4EA4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B92654" w:rsidRPr="00D872C5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00AD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0470AA" w:rsidRPr="00690129" w:rsidRDefault="000470AA" w:rsidP="000470AA">
            <w:pPr>
              <w:rPr>
                <w:sz w:val="20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faks:</w:t>
            </w:r>
            <w:r w:rsidRPr="00690129">
              <w:rPr>
                <w:sz w:val="20"/>
                <w:lang w:val="en-US"/>
              </w:rPr>
              <w:t xml:space="preserve"> (+48 22) 608 38 86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24" w:history="1">
              <w:r w:rsidRPr="00690129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88D" w:rsidRDefault="0015688D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15688D" w:rsidRPr="00A00ADB" w:rsidRDefault="0015688D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15688D" w:rsidRPr="00A468E3" w:rsidRDefault="00564366" w:rsidP="00AB6D25">
                            <w:pPr>
                              <w:rPr>
                                <w:color w:val="001559" w:themeColor="accent5" w:themeShade="BF"/>
                                <w:szCs w:val="19"/>
                                <w:u w:val="single"/>
                              </w:rPr>
                            </w:pPr>
                            <w:hyperlink r:id="rId28" w:history="1">
                              <w:r w:rsidR="0015688D" w:rsidRPr="00A468E3">
                                <w:rPr>
                                  <w:rStyle w:val="Hipercze"/>
                                  <w:rFonts w:cstheme="minorBidi"/>
                                  <w:color w:val="001559" w:themeColor="accent5" w:themeShade="BF"/>
                                  <w:szCs w:val="19"/>
                                </w:rPr>
                                <w:t>Rocznik Statystyczny Handlu Zagranicznego 2017</w:t>
                              </w:r>
                            </w:hyperlink>
                          </w:p>
                          <w:p w:rsidR="0015688D" w:rsidRPr="00A468E3" w:rsidRDefault="00564366" w:rsidP="00E12DB3">
                            <w:pPr>
                              <w:rPr>
                                <w:rStyle w:val="Hipercze"/>
                                <w:rFonts w:cstheme="minorBidi"/>
                                <w:color w:val="001559" w:themeColor="accent5" w:themeShade="BF"/>
                              </w:rPr>
                            </w:pPr>
                            <w:hyperlink r:id="rId29" w:history="1">
                              <w:r w:rsidR="0015688D" w:rsidRPr="00A468E3">
                                <w:rPr>
                                  <w:rStyle w:val="Hipercze"/>
                                  <w:rFonts w:cstheme="minorBidi"/>
                                  <w:color w:val="001559" w:themeColor="accent5" w:themeShade="BF"/>
                                </w:rPr>
                                <w:t>Obroty towarowe handlu zagranicznego w 2016 r.</w:t>
                              </w:r>
                            </w:hyperlink>
                          </w:p>
                          <w:p w:rsidR="0015688D" w:rsidRPr="00A468E3" w:rsidRDefault="00564366" w:rsidP="00E12DB3">
                            <w:pPr>
                              <w:rPr>
                                <w:color w:val="001559" w:themeColor="accent5" w:themeShade="BF"/>
                                <w:szCs w:val="19"/>
                              </w:rPr>
                            </w:pPr>
                            <w:hyperlink r:id="rId30" w:history="1">
                              <w:r w:rsidR="0015688D" w:rsidRPr="00A468E3">
                                <w:rPr>
                                  <w:rStyle w:val="Hipercze"/>
                                  <w:color w:val="001559" w:themeColor="accent5" w:themeShade="BF"/>
                                  <w:szCs w:val="19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15688D" w:rsidRPr="00A00ADB" w:rsidRDefault="0015688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5688D" w:rsidRPr="00A00ADB" w:rsidRDefault="0015688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15688D" w:rsidRPr="00A468E3" w:rsidRDefault="0015688D" w:rsidP="0045590E">
                            <w:pPr>
                              <w:rPr>
                                <w:color w:val="001559" w:themeColor="accent5" w:themeShade="BF"/>
                                <w:szCs w:val="19"/>
                                <w:u w:val="single"/>
                              </w:rPr>
                            </w:pPr>
                            <w:r w:rsidRPr="00A468E3">
                              <w:fldChar w:fldCharType="begin"/>
                            </w:r>
                            <w:r w:rsidRPr="00A468E3">
                              <w:rPr>
                                <w:color w:val="001559" w:themeColor="accent5" w:themeShade="BF"/>
                              </w:rPr>
                              <w:instrText xml:space="preserve"> HYPERLINK "http://swaid.stat.gov.pl/SitePagesDBW/HandelZagraniczny.aspx" </w:instrText>
                            </w:r>
                            <w:r w:rsidRPr="00A468E3">
                              <w:fldChar w:fldCharType="separate"/>
                            </w:r>
                            <w:hyperlink r:id="rId31" w:history="1">
                              <w:r w:rsidRPr="00A468E3">
                                <w:rPr>
                                  <w:rStyle w:val="Hipercze"/>
                                  <w:rFonts w:cstheme="minorBidi"/>
                                  <w:color w:val="001559" w:themeColor="accent5" w:themeShade="BF"/>
                                  <w:szCs w:val="19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15688D" w:rsidRPr="00A468E3" w:rsidRDefault="0015688D" w:rsidP="0045590E">
                            <w:pPr>
                              <w:rPr>
                                <w:rStyle w:val="Hipercze"/>
                                <w:rFonts w:cs="Arial"/>
                                <w:color w:val="001559" w:themeColor="accent5" w:themeShade="BF"/>
                                <w:szCs w:val="19"/>
                                <w:shd w:val="clear" w:color="auto" w:fill="F0F0F0"/>
                              </w:rPr>
                            </w:pPr>
                            <w:r w:rsidRPr="00A468E3">
                              <w:rPr>
                                <w:rStyle w:val="Hipercze"/>
                                <w:rFonts w:cs="Arial"/>
                                <w:color w:val="001559" w:themeColor="accent5" w:themeShade="BF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32" w:history="1">
                              <w:r w:rsidRPr="00A468E3">
                                <w:rPr>
                                  <w:rStyle w:val="Hipercze"/>
                                  <w:rFonts w:cs="Arial"/>
                                  <w:color w:val="001559" w:themeColor="accent5" w:themeShade="BF"/>
                                  <w:szCs w:val="19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15688D" w:rsidRPr="00A00ADB" w:rsidRDefault="0015688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5688D" w:rsidRDefault="0015688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15688D" w:rsidRPr="00A468E3" w:rsidRDefault="00564366" w:rsidP="0045590E">
                            <w:pPr>
                              <w:rPr>
                                <w:color w:val="001559" w:themeColor="accent5" w:themeShade="BF"/>
                                <w:szCs w:val="19"/>
                                <w:u w:val="single"/>
                              </w:rPr>
                            </w:pPr>
                            <w:hyperlink r:id="rId33" w:history="1">
                              <w:r w:rsidR="0015688D" w:rsidRPr="00A468E3">
                                <w:rPr>
                                  <w:rStyle w:val="Hipercze"/>
                                  <w:rFonts w:cstheme="minorBidi"/>
                                  <w:color w:val="001559" w:themeColor="accent5" w:themeShade="BF"/>
                                  <w:szCs w:val="19"/>
                                </w:rPr>
                                <w:t>Eksport towarów</w:t>
                              </w:r>
                            </w:hyperlink>
                          </w:p>
                          <w:p w:rsidR="0015688D" w:rsidRPr="00A468E3" w:rsidRDefault="00564366" w:rsidP="0045590E">
                            <w:pPr>
                              <w:rPr>
                                <w:rStyle w:val="Hipercze"/>
                                <w:rFonts w:cs="Arial"/>
                                <w:color w:val="001559" w:themeColor="accent5" w:themeShade="BF"/>
                                <w:szCs w:val="19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15688D" w:rsidRPr="00A468E3">
                                <w:rPr>
                                  <w:rStyle w:val="Hipercze"/>
                                  <w:rFonts w:cs="Arial"/>
                                  <w:color w:val="001559" w:themeColor="accent5" w:themeShade="BF"/>
                                  <w:szCs w:val="19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15688D" w:rsidRPr="00A468E3" w:rsidRDefault="0015688D" w:rsidP="0045590E">
                            <w:pPr>
                              <w:rPr>
                                <w:rStyle w:val="Hipercze"/>
                                <w:rFonts w:cs="Arial"/>
                                <w:color w:val="001559" w:themeColor="accent5" w:themeShade="BF"/>
                                <w:szCs w:val="19"/>
                                <w:shd w:val="clear" w:color="auto" w:fill="F0F0F0"/>
                              </w:rPr>
                            </w:pPr>
                            <w:r w:rsidRPr="00A468E3">
                              <w:rPr>
                                <w:color w:val="001559" w:themeColor="accent5" w:themeShade="BF"/>
                                <w:szCs w:val="19"/>
                              </w:rPr>
                              <w:fldChar w:fldCharType="begin"/>
                            </w:r>
                            <w:r w:rsidRPr="00A468E3">
                              <w:rPr>
                                <w:color w:val="001559" w:themeColor="accent5" w:themeShade="BF"/>
                                <w:szCs w:val="19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A468E3">
                              <w:rPr>
                                <w:color w:val="001559" w:themeColor="accent5" w:themeShade="BF"/>
                                <w:szCs w:val="19"/>
                              </w:rPr>
                              <w:fldChar w:fldCharType="separate"/>
                            </w:r>
                            <w:r w:rsidRPr="00A468E3">
                              <w:rPr>
                                <w:rStyle w:val="Hipercze"/>
                                <w:rFonts w:cstheme="minorBidi"/>
                                <w:color w:val="001559" w:themeColor="accent5" w:themeShade="BF"/>
                                <w:szCs w:val="19"/>
                              </w:rPr>
                              <w:t>Saldo obrotów towarowych handlu zagranicznego</w:t>
                            </w:r>
                          </w:p>
                          <w:p w:rsidR="0015688D" w:rsidRPr="00020CD4" w:rsidRDefault="0015688D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A468E3">
                              <w:rPr>
                                <w:color w:val="001559" w:themeColor="accent5" w:themeShade="BF"/>
                                <w:szCs w:val="19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15688D" w:rsidRPr="00020CD4" w:rsidRDefault="0015688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2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eDPg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" fillcolor="#f2f2f2 [3052]" strokecolor="white [3212]">
                <v:textbox>
                  <w:txbxContent>
                    <w:p w:rsidR="0015688D" w:rsidRDefault="0015688D" w:rsidP="00AB6D25">
                      <w:pPr>
                        <w:rPr>
                          <w:b/>
                        </w:rPr>
                      </w:pPr>
                    </w:p>
                    <w:p w:rsidR="0015688D" w:rsidRPr="00A00ADB" w:rsidRDefault="0015688D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15688D" w:rsidRPr="00A468E3" w:rsidRDefault="00B922F6" w:rsidP="00AB6D25">
                      <w:pPr>
                        <w:rPr>
                          <w:color w:val="001559" w:themeColor="accent5" w:themeShade="BF"/>
                          <w:szCs w:val="19"/>
                          <w:u w:val="single"/>
                        </w:rPr>
                      </w:pPr>
                      <w:hyperlink r:id="rId35" w:history="1">
                        <w:r w:rsidR="0015688D" w:rsidRPr="00A468E3">
                          <w:rPr>
                            <w:rStyle w:val="Hipercze"/>
                            <w:rFonts w:cstheme="minorBidi"/>
                            <w:color w:val="001559" w:themeColor="accent5" w:themeShade="BF"/>
                            <w:szCs w:val="19"/>
                          </w:rPr>
                          <w:t>Rocznik Statystyczny Handlu Zagranicznego 2017</w:t>
                        </w:r>
                      </w:hyperlink>
                    </w:p>
                    <w:p w:rsidR="0015688D" w:rsidRPr="00A468E3" w:rsidRDefault="00B922F6" w:rsidP="00E12DB3">
                      <w:pPr>
                        <w:rPr>
                          <w:rStyle w:val="Hipercze"/>
                          <w:rFonts w:cstheme="minorBidi"/>
                          <w:color w:val="001559" w:themeColor="accent5" w:themeShade="BF"/>
                        </w:rPr>
                      </w:pPr>
                      <w:hyperlink r:id="rId36" w:history="1">
                        <w:r w:rsidR="0015688D" w:rsidRPr="00A468E3">
                          <w:rPr>
                            <w:rStyle w:val="Hipercze"/>
                            <w:rFonts w:cstheme="minorBidi"/>
                            <w:color w:val="001559" w:themeColor="accent5" w:themeShade="BF"/>
                          </w:rPr>
                          <w:t>Obroty towarowe handlu zagranicznego w 2016 r.</w:t>
                        </w:r>
                      </w:hyperlink>
                    </w:p>
                    <w:p w:rsidR="0015688D" w:rsidRPr="00A468E3" w:rsidRDefault="00B922F6" w:rsidP="00E12DB3">
                      <w:pPr>
                        <w:rPr>
                          <w:color w:val="001559" w:themeColor="accent5" w:themeShade="BF"/>
                          <w:szCs w:val="19"/>
                        </w:rPr>
                      </w:pPr>
                      <w:hyperlink r:id="rId37" w:history="1">
                        <w:r w:rsidR="0015688D" w:rsidRPr="00A468E3">
                          <w:rPr>
                            <w:rStyle w:val="Hipercze"/>
                            <w:color w:val="001559" w:themeColor="accent5" w:themeShade="BF"/>
                            <w:szCs w:val="19"/>
                          </w:rPr>
                          <w:t>Handel Zagraniczny. Statystyka lustrzana i statystyka asymetrii</w:t>
                        </w:r>
                      </w:hyperlink>
                    </w:p>
                    <w:p w:rsidR="0015688D" w:rsidRPr="00A00ADB" w:rsidRDefault="0015688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15688D" w:rsidRPr="00A00ADB" w:rsidRDefault="0015688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15688D" w:rsidRPr="00A468E3" w:rsidRDefault="0015688D" w:rsidP="0045590E">
                      <w:pPr>
                        <w:rPr>
                          <w:color w:val="001559" w:themeColor="accent5" w:themeShade="BF"/>
                          <w:szCs w:val="19"/>
                          <w:u w:val="single"/>
                        </w:rPr>
                      </w:pPr>
                      <w:r w:rsidRPr="00A468E3">
                        <w:rPr>
                          <w:color w:val="001559" w:themeColor="accent5" w:themeShade="BF"/>
                        </w:rPr>
                        <w:fldChar w:fldCharType="begin"/>
                      </w:r>
                      <w:r w:rsidRPr="00A468E3">
                        <w:rPr>
                          <w:color w:val="001559" w:themeColor="accent5" w:themeShade="BF"/>
                        </w:rPr>
                        <w:instrText xml:space="preserve"> HYPERLINK "http://swaid.stat.gov.pl/SitePagesDBW/HandelZagraniczny.aspx" </w:instrText>
                      </w:r>
                      <w:r w:rsidRPr="00A468E3">
                        <w:rPr>
                          <w:color w:val="001559" w:themeColor="accent5" w:themeShade="BF"/>
                        </w:rPr>
                        <w:fldChar w:fldCharType="separate"/>
                      </w:r>
                      <w:hyperlink r:id="rId38" w:history="1">
                        <w:r w:rsidRPr="00A468E3">
                          <w:rPr>
                            <w:rStyle w:val="Hipercze"/>
                            <w:rFonts w:cstheme="minorBidi"/>
                            <w:color w:val="001559" w:themeColor="accent5" w:themeShade="BF"/>
                            <w:szCs w:val="19"/>
                          </w:rPr>
                          <w:t>Dziedzinowe Bazy Wiedzy Handel Zagraniczny</w:t>
                        </w:r>
                      </w:hyperlink>
                    </w:p>
                    <w:p w:rsidR="0015688D" w:rsidRPr="00A468E3" w:rsidRDefault="0015688D" w:rsidP="0045590E">
                      <w:pPr>
                        <w:rPr>
                          <w:rStyle w:val="Hipercze"/>
                          <w:rFonts w:cs="Arial"/>
                          <w:color w:val="001559" w:themeColor="accent5" w:themeShade="BF"/>
                          <w:szCs w:val="19"/>
                          <w:shd w:val="clear" w:color="auto" w:fill="F0F0F0"/>
                        </w:rPr>
                      </w:pPr>
                      <w:r w:rsidRPr="00A468E3">
                        <w:rPr>
                          <w:rStyle w:val="Hipercze"/>
                          <w:rFonts w:cs="Arial"/>
                          <w:color w:val="001559" w:themeColor="accent5" w:themeShade="BF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9" w:history="1">
                        <w:r w:rsidRPr="00A468E3">
                          <w:rPr>
                            <w:rStyle w:val="Hipercze"/>
                            <w:rFonts w:cs="Arial"/>
                            <w:color w:val="001559" w:themeColor="accent5" w:themeShade="BF"/>
                            <w:szCs w:val="19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15688D" w:rsidRPr="00A00ADB" w:rsidRDefault="0015688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15688D" w:rsidRDefault="0015688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15688D" w:rsidRPr="00A468E3" w:rsidRDefault="00B922F6" w:rsidP="0045590E">
                      <w:pPr>
                        <w:rPr>
                          <w:color w:val="001559" w:themeColor="accent5" w:themeShade="BF"/>
                          <w:szCs w:val="19"/>
                          <w:u w:val="single"/>
                        </w:rPr>
                      </w:pPr>
                      <w:hyperlink r:id="rId40" w:history="1">
                        <w:r w:rsidR="0015688D" w:rsidRPr="00A468E3">
                          <w:rPr>
                            <w:rStyle w:val="Hipercze"/>
                            <w:rFonts w:cstheme="minorBidi"/>
                            <w:color w:val="001559" w:themeColor="accent5" w:themeShade="BF"/>
                            <w:szCs w:val="19"/>
                          </w:rPr>
                          <w:t>Eksport towarów</w:t>
                        </w:r>
                      </w:hyperlink>
                    </w:p>
                    <w:p w:rsidR="0015688D" w:rsidRPr="00A468E3" w:rsidRDefault="00B922F6" w:rsidP="0045590E">
                      <w:pPr>
                        <w:rPr>
                          <w:rStyle w:val="Hipercze"/>
                          <w:rFonts w:cs="Arial"/>
                          <w:color w:val="001559" w:themeColor="accent5" w:themeShade="BF"/>
                          <w:szCs w:val="19"/>
                          <w:shd w:val="clear" w:color="auto" w:fill="F0F0F0"/>
                        </w:rPr>
                      </w:pPr>
                      <w:hyperlink r:id="rId41" w:history="1">
                        <w:r w:rsidR="0015688D" w:rsidRPr="00A468E3">
                          <w:rPr>
                            <w:rStyle w:val="Hipercze"/>
                            <w:rFonts w:cs="Arial"/>
                            <w:color w:val="001559" w:themeColor="accent5" w:themeShade="BF"/>
                            <w:szCs w:val="19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15688D" w:rsidRPr="00A468E3" w:rsidRDefault="0015688D" w:rsidP="0045590E">
                      <w:pPr>
                        <w:rPr>
                          <w:rStyle w:val="Hipercze"/>
                          <w:rFonts w:cs="Arial"/>
                          <w:color w:val="001559" w:themeColor="accent5" w:themeShade="BF"/>
                          <w:szCs w:val="19"/>
                          <w:shd w:val="clear" w:color="auto" w:fill="F0F0F0"/>
                        </w:rPr>
                      </w:pPr>
                      <w:r w:rsidRPr="00A468E3">
                        <w:rPr>
                          <w:color w:val="001559" w:themeColor="accent5" w:themeShade="BF"/>
                          <w:szCs w:val="19"/>
                        </w:rPr>
                        <w:fldChar w:fldCharType="begin"/>
                      </w:r>
                      <w:r w:rsidRPr="00A468E3">
                        <w:rPr>
                          <w:color w:val="001559" w:themeColor="accent5" w:themeShade="BF"/>
                          <w:szCs w:val="19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A468E3">
                        <w:rPr>
                          <w:color w:val="001559" w:themeColor="accent5" w:themeShade="BF"/>
                          <w:szCs w:val="19"/>
                        </w:rPr>
                        <w:fldChar w:fldCharType="separate"/>
                      </w:r>
                      <w:r w:rsidRPr="00A468E3">
                        <w:rPr>
                          <w:rStyle w:val="Hipercze"/>
                          <w:rFonts w:cstheme="minorBidi"/>
                          <w:color w:val="001559" w:themeColor="accent5" w:themeShade="BF"/>
                          <w:szCs w:val="19"/>
                        </w:rPr>
                        <w:t>Saldo obrotów towarowych handlu zagranicznego</w:t>
                      </w:r>
                    </w:p>
                    <w:p w:rsidR="0015688D" w:rsidRPr="00020CD4" w:rsidRDefault="0015688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A468E3">
                        <w:rPr>
                          <w:color w:val="001559" w:themeColor="accent5" w:themeShade="BF"/>
                          <w:szCs w:val="19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15688D" w:rsidRPr="00020CD4" w:rsidRDefault="0015688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4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66" w:rsidRDefault="00564366" w:rsidP="000662E2">
      <w:pPr>
        <w:spacing w:after="0" w:line="240" w:lineRule="auto"/>
      </w:pPr>
      <w:r>
        <w:separator/>
      </w:r>
    </w:p>
  </w:endnote>
  <w:endnote w:type="continuationSeparator" w:id="0">
    <w:p w:rsidR="00564366" w:rsidRDefault="0056436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700585"/>
      <w:docPartObj>
        <w:docPartGallery w:val="Page Numbers (Bottom of Page)"/>
        <w:docPartUnique/>
      </w:docPartObj>
    </w:sdtPr>
    <w:sdtEndPr/>
    <w:sdtContent>
      <w:p w:rsidR="0015688D" w:rsidRDefault="001568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D9">
          <w:rPr>
            <w:noProof/>
          </w:rPr>
          <w:t>2</w:t>
        </w:r>
        <w:r>
          <w:fldChar w:fldCharType="end"/>
        </w:r>
      </w:p>
    </w:sdtContent>
  </w:sdt>
  <w:p w:rsidR="0015688D" w:rsidRDefault="00156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9265"/>
      <w:docPartObj>
        <w:docPartGallery w:val="Page Numbers (Bottom of Page)"/>
        <w:docPartUnique/>
      </w:docPartObj>
    </w:sdtPr>
    <w:sdtEndPr/>
    <w:sdtContent>
      <w:p w:rsidR="0015688D" w:rsidRDefault="001568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D9">
          <w:rPr>
            <w:noProof/>
          </w:rPr>
          <w:t>1</w:t>
        </w:r>
        <w:r>
          <w:fldChar w:fldCharType="end"/>
        </w:r>
      </w:p>
    </w:sdtContent>
  </w:sdt>
  <w:p w:rsidR="0015688D" w:rsidRDefault="00156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66" w:rsidRDefault="00564366" w:rsidP="000662E2">
      <w:pPr>
        <w:spacing w:after="0" w:line="240" w:lineRule="auto"/>
      </w:pPr>
      <w:r>
        <w:separator/>
      </w:r>
    </w:p>
  </w:footnote>
  <w:footnote w:type="continuationSeparator" w:id="0">
    <w:p w:rsidR="00564366" w:rsidRDefault="00564366" w:rsidP="000662E2">
      <w:pPr>
        <w:spacing w:after="0" w:line="240" w:lineRule="auto"/>
      </w:pPr>
      <w:r>
        <w:continuationSeparator/>
      </w:r>
    </w:p>
  </w:footnote>
  <w:footnote w:id="1">
    <w:p w:rsidR="00A468E3" w:rsidRDefault="00A468E3" w:rsidP="00A468E3">
      <w:pPr>
        <w:pStyle w:val="Tekstprzypisudolnego"/>
      </w:pPr>
      <w:r w:rsidRPr="00C30406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30406">
        <w:rPr>
          <w:sz w:val="12"/>
          <w:szCs w:val="12"/>
        </w:rPr>
        <w:t xml:space="preserve">Import według </w:t>
      </w:r>
      <w:r w:rsidRPr="00C30406">
        <w:rPr>
          <w:rFonts w:cs="Arial"/>
          <w:sz w:val="12"/>
          <w:szCs w:val="12"/>
        </w:rPr>
        <w:t>kraju pochodzenia - kraj, w którym towar został wytworzony, obrobiony lub przerobiony i w tym stanie nadszedł do polskiego obszaru celnego.</w:t>
      </w:r>
    </w:p>
  </w:footnote>
  <w:footnote w:id="2">
    <w:p w:rsidR="00A468E3" w:rsidRDefault="00A468E3" w:rsidP="00A468E3">
      <w:pPr>
        <w:pStyle w:val="Tekstprzypisudolnego"/>
      </w:pPr>
      <w:r w:rsidRPr="009A5D6D">
        <w:rPr>
          <w:rStyle w:val="Odwoanieprzypisudolnego"/>
          <w:sz w:val="12"/>
          <w:szCs w:val="12"/>
        </w:rPr>
        <w:footnoteRef/>
      </w:r>
      <w:r>
        <w:t xml:space="preserve"> </w:t>
      </w:r>
      <w:r w:rsidRPr="000B3A5D">
        <w:rPr>
          <w:sz w:val="12"/>
          <w:szCs w:val="12"/>
        </w:rPr>
        <w:t xml:space="preserve">Import według </w:t>
      </w:r>
      <w:r w:rsidRPr="000B3A5D">
        <w:rPr>
          <w:rFonts w:cs="Arial"/>
          <w:sz w:val="12"/>
          <w:szCs w:val="12"/>
        </w:rPr>
        <w:t xml:space="preserve">kraju wysyłki - </w:t>
      </w:r>
      <w:r w:rsidRPr="000B3A5D">
        <w:rPr>
          <w:rFonts w:eastAsia="Calibri" w:cs="Arial"/>
          <w:sz w:val="12"/>
          <w:szCs w:val="12"/>
        </w:rPr>
        <w:t>kraj, z którego terytorium zostały wprowadzone towary na obszar Polski</w:t>
      </w:r>
      <w:r w:rsidRPr="000B3A5D">
        <w:rPr>
          <w:rFonts w:cs="Arial"/>
          <w:sz w:val="12"/>
          <w:szCs w:val="12"/>
        </w:rPr>
        <w:t xml:space="preserve"> bez względu  na ich pochodzenie</w:t>
      </w:r>
      <w:r w:rsidRPr="000B3A5D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8D" w:rsidRDefault="001568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F6CF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15688D" w:rsidRDefault="001568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8D" w:rsidRDefault="0015688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88D" w:rsidRPr="003C6C8D" w:rsidRDefault="0015688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15688D" w:rsidRPr="003C6C8D" w:rsidRDefault="0015688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BFBB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3197FCE4" wp14:editId="2ECD959D">
          <wp:extent cx="2210137" cy="720000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88D" w:rsidRDefault="0015688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88D" w:rsidRPr="00C97596" w:rsidRDefault="00A468E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03</w:t>
                          </w:r>
                          <w:r w:rsidR="0015688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15688D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15688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15688D" w:rsidRPr="00C97596" w:rsidRDefault="00A468E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03</w:t>
                    </w:r>
                    <w:r w:rsidR="0015688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15688D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15688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8D" w:rsidRDefault="0015688D">
    <w:pPr>
      <w:pStyle w:val="Nagwek"/>
    </w:pPr>
  </w:p>
  <w:p w:rsidR="0015688D" w:rsidRDefault="00156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0D91"/>
    <w:rsid w:val="000152F5"/>
    <w:rsid w:val="00017EBA"/>
    <w:rsid w:val="00020CD4"/>
    <w:rsid w:val="00026F61"/>
    <w:rsid w:val="00036E65"/>
    <w:rsid w:val="000404EB"/>
    <w:rsid w:val="00042C5D"/>
    <w:rsid w:val="0004582E"/>
    <w:rsid w:val="000470AA"/>
    <w:rsid w:val="00057CA1"/>
    <w:rsid w:val="000662E2"/>
    <w:rsid w:val="00066883"/>
    <w:rsid w:val="00071154"/>
    <w:rsid w:val="00074DD8"/>
    <w:rsid w:val="00076A47"/>
    <w:rsid w:val="000806F7"/>
    <w:rsid w:val="00091E91"/>
    <w:rsid w:val="00093508"/>
    <w:rsid w:val="00094050"/>
    <w:rsid w:val="000A1EEF"/>
    <w:rsid w:val="000A4C89"/>
    <w:rsid w:val="000A7A9E"/>
    <w:rsid w:val="000B0727"/>
    <w:rsid w:val="000B3A5D"/>
    <w:rsid w:val="000B3CED"/>
    <w:rsid w:val="000B6C36"/>
    <w:rsid w:val="000B71D4"/>
    <w:rsid w:val="000C135D"/>
    <w:rsid w:val="000D1D43"/>
    <w:rsid w:val="000D225C"/>
    <w:rsid w:val="000D2A5C"/>
    <w:rsid w:val="000D52AA"/>
    <w:rsid w:val="000E0918"/>
    <w:rsid w:val="000E5D0E"/>
    <w:rsid w:val="000F0BB5"/>
    <w:rsid w:val="001011C3"/>
    <w:rsid w:val="00102DB5"/>
    <w:rsid w:val="001051ED"/>
    <w:rsid w:val="00110D87"/>
    <w:rsid w:val="00112855"/>
    <w:rsid w:val="001146CE"/>
    <w:rsid w:val="00114DB9"/>
    <w:rsid w:val="00116087"/>
    <w:rsid w:val="00130296"/>
    <w:rsid w:val="0013325B"/>
    <w:rsid w:val="001423B6"/>
    <w:rsid w:val="001440E1"/>
    <w:rsid w:val="001443E8"/>
    <w:rsid w:val="001448A7"/>
    <w:rsid w:val="00146621"/>
    <w:rsid w:val="001478E5"/>
    <w:rsid w:val="00150575"/>
    <w:rsid w:val="00152273"/>
    <w:rsid w:val="0015688D"/>
    <w:rsid w:val="00162325"/>
    <w:rsid w:val="0017078D"/>
    <w:rsid w:val="001731B2"/>
    <w:rsid w:val="00177026"/>
    <w:rsid w:val="00180BE8"/>
    <w:rsid w:val="00185BAA"/>
    <w:rsid w:val="00186D31"/>
    <w:rsid w:val="00194F63"/>
    <w:rsid w:val="001951DA"/>
    <w:rsid w:val="001B232A"/>
    <w:rsid w:val="001C3269"/>
    <w:rsid w:val="001C3584"/>
    <w:rsid w:val="001D111C"/>
    <w:rsid w:val="001D1DB4"/>
    <w:rsid w:val="001E6D81"/>
    <w:rsid w:val="001F10F6"/>
    <w:rsid w:val="001F1B03"/>
    <w:rsid w:val="00207FAB"/>
    <w:rsid w:val="00212F9D"/>
    <w:rsid w:val="00226D98"/>
    <w:rsid w:val="002313C5"/>
    <w:rsid w:val="00240783"/>
    <w:rsid w:val="002420CA"/>
    <w:rsid w:val="00246534"/>
    <w:rsid w:val="002574F9"/>
    <w:rsid w:val="0025788E"/>
    <w:rsid w:val="0026119D"/>
    <w:rsid w:val="0027462D"/>
    <w:rsid w:val="00276811"/>
    <w:rsid w:val="00277A82"/>
    <w:rsid w:val="00282699"/>
    <w:rsid w:val="0028458E"/>
    <w:rsid w:val="00291F7B"/>
    <w:rsid w:val="002926DF"/>
    <w:rsid w:val="00296697"/>
    <w:rsid w:val="002A2450"/>
    <w:rsid w:val="002B0472"/>
    <w:rsid w:val="002B6B12"/>
    <w:rsid w:val="002D45CF"/>
    <w:rsid w:val="002E14D1"/>
    <w:rsid w:val="002E6140"/>
    <w:rsid w:val="002E6985"/>
    <w:rsid w:val="002E71B6"/>
    <w:rsid w:val="002F2768"/>
    <w:rsid w:val="002F6500"/>
    <w:rsid w:val="002F77C8"/>
    <w:rsid w:val="00304F22"/>
    <w:rsid w:val="00306C7C"/>
    <w:rsid w:val="00320D7D"/>
    <w:rsid w:val="003216C9"/>
    <w:rsid w:val="00322EDD"/>
    <w:rsid w:val="00332320"/>
    <w:rsid w:val="0034509D"/>
    <w:rsid w:val="00345F7C"/>
    <w:rsid w:val="0034666A"/>
    <w:rsid w:val="00346AAD"/>
    <w:rsid w:val="00347D72"/>
    <w:rsid w:val="003538DC"/>
    <w:rsid w:val="00357611"/>
    <w:rsid w:val="00361DB6"/>
    <w:rsid w:val="00366025"/>
    <w:rsid w:val="00367237"/>
    <w:rsid w:val="0037077F"/>
    <w:rsid w:val="00371FC0"/>
    <w:rsid w:val="00373882"/>
    <w:rsid w:val="0038341F"/>
    <w:rsid w:val="003843DB"/>
    <w:rsid w:val="0038490F"/>
    <w:rsid w:val="00385BF0"/>
    <w:rsid w:val="00393761"/>
    <w:rsid w:val="00397D18"/>
    <w:rsid w:val="003A1B36"/>
    <w:rsid w:val="003B1454"/>
    <w:rsid w:val="003C0295"/>
    <w:rsid w:val="003C491B"/>
    <w:rsid w:val="003C59E0"/>
    <w:rsid w:val="003C6B82"/>
    <w:rsid w:val="003C6C8D"/>
    <w:rsid w:val="003C73DE"/>
    <w:rsid w:val="003D23E6"/>
    <w:rsid w:val="003D4F95"/>
    <w:rsid w:val="003D5F42"/>
    <w:rsid w:val="003D60A9"/>
    <w:rsid w:val="003D744D"/>
    <w:rsid w:val="003E0EA7"/>
    <w:rsid w:val="003E3ECE"/>
    <w:rsid w:val="003E727E"/>
    <w:rsid w:val="003F4C97"/>
    <w:rsid w:val="003F4EA4"/>
    <w:rsid w:val="003F7FE6"/>
    <w:rsid w:val="00400193"/>
    <w:rsid w:val="00403C1A"/>
    <w:rsid w:val="004045B9"/>
    <w:rsid w:val="00404EF4"/>
    <w:rsid w:val="00411C0A"/>
    <w:rsid w:val="00415EEB"/>
    <w:rsid w:val="004212E7"/>
    <w:rsid w:val="0042446D"/>
    <w:rsid w:val="0042458C"/>
    <w:rsid w:val="00424EA5"/>
    <w:rsid w:val="004258A4"/>
    <w:rsid w:val="00427BF8"/>
    <w:rsid w:val="00431C02"/>
    <w:rsid w:val="00434D16"/>
    <w:rsid w:val="00437395"/>
    <w:rsid w:val="004376C1"/>
    <w:rsid w:val="004437F4"/>
    <w:rsid w:val="00445047"/>
    <w:rsid w:val="0045590E"/>
    <w:rsid w:val="00463E39"/>
    <w:rsid w:val="004657FC"/>
    <w:rsid w:val="0046619C"/>
    <w:rsid w:val="00471416"/>
    <w:rsid w:val="004733F6"/>
    <w:rsid w:val="00474E69"/>
    <w:rsid w:val="00476D65"/>
    <w:rsid w:val="0048231B"/>
    <w:rsid w:val="00483835"/>
    <w:rsid w:val="0048721F"/>
    <w:rsid w:val="00490CCF"/>
    <w:rsid w:val="004921B7"/>
    <w:rsid w:val="004926AC"/>
    <w:rsid w:val="004931B7"/>
    <w:rsid w:val="0049621B"/>
    <w:rsid w:val="00497A8D"/>
    <w:rsid w:val="004A051B"/>
    <w:rsid w:val="004A29AD"/>
    <w:rsid w:val="004B2FBB"/>
    <w:rsid w:val="004B64A7"/>
    <w:rsid w:val="004C1895"/>
    <w:rsid w:val="004C6D40"/>
    <w:rsid w:val="004D100F"/>
    <w:rsid w:val="004E0FEC"/>
    <w:rsid w:val="004E32D8"/>
    <w:rsid w:val="004F0C3C"/>
    <w:rsid w:val="004F39A5"/>
    <w:rsid w:val="004F63FC"/>
    <w:rsid w:val="004F68CF"/>
    <w:rsid w:val="004F6A62"/>
    <w:rsid w:val="00505A92"/>
    <w:rsid w:val="0051165C"/>
    <w:rsid w:val="00512AAE"/>
    <w:rsid w:val="005203F1"/>
    <w:rsid w:val="00521BC3"/>
    <w:rsid w:val="00533632"/>
    <w:rsid w:val="005354A1"/>
    <w:rsid w:val="0053772A"/>
    <w:rsid w:val="0054251F"/>
    <w:rsid w:val="00550618"/>
    <w:rsid w:val="005520D8"/>
    <w:rsid w:val="005549A9"/>
    <w:rsid w:val="00555ED9"/>
    <w:rsid w:val="00556CF1"/>
    <w:rsid w:val="00564366"/>
    <w:rsid w:val="00567B0A"/>
    <w:rsid w:val="005762A7"/>
    <w:rsid w:val="00585385"/>
    <w:rsid w:val="00586936"/>
    <w:rsid w:val="005916D7"/>
    <w:rsid w:val="005A698C"/>
    <w:rsid w:val="005A729A"/>
    <w:rsid w:val="005C3C14"/>
    <w:rsid w:val="005C4C4F"/>
    <w:rsid w:val="005C5358"/>
    <w:rsid w:val="005E0799"/>
    <w:rsid w:val="005E0EBD"/>
    <w:rsid w:val="005E67F5"/>
    <w:rsid w:val="005E76AC"/>
    <w:rsid w:val="005F0F6A"/>
    <w:rsid w:val="005F30B8"/>
    <w:rsid w:val="005F39A7"/>
    <w:rsid w:val="005F3D74"/>
    <w:rsid w:val="005F5A80"/>
    <w:rsid w:val="006044FF"/>
    <w:rsid w:val="00606763"/>
    <w:rsid w:val="00607CC5"/>
    <w:rsid w:val="00633014"/>
    <w:rsid w:val="0063437B"/>
    <w:rsid w:val="006401A1"/>
    <w:rsid w:val="0065337E"/>
    <w:rsid w:val="006537F5"/>
    <w:rsid w:val="00654F9B"/>
    <w:rsid w:val="006646E5"/>
    <w:rsid w:val="00664C1E"/>
    <w:rsid w:val="00665A78"/>
    <w:rsid w:val="006673CA"/>
    <w:rsid w:val="00673305"/>
    <w:rsid w:val="00673C26"/>
    <w:rsid w:val="0067678F"/>
    <w:rsid w:val="006812AF"/>
    <w:rsid w:val="00682774"/>
    <w:rsid w:val="0068327D"/>
    <w:rsid w:val="00690129"/>
    <w:rsid w:val="00694AF0"/>
    <w:rsid w:val="00695495"/>
    <w:rsid w:val="006A215D"/>
    <w:rsid w:val="006A4F91"/>
    <w:rsid w:val="006B0E9E"/>
    <w:rsid w:val="006B53C4"/>
    <w:rsid w:val="006B5AE4"/>
    <w:rsid w:val="006C57ED"/>
    <w:rsid w:val="006D31C0"/>
    <w:rsid w:val="006D4054"/>
    <w:rsid w:val="006E02EC"/>
    <w:rsid w:val="006E4FFD"/>
    <w:rsid w:val="006F6C73"/>
    <w:rsid w:val="00701D51"/>
    <w:rsid w:val="00712DB0"/>
    <w:rsid w:val="007211B1"/>
    <w:rsid w:val="00722DDE"/>
    <w:rsid w:val="00744325"/>
    <w:rsid w:val="00746187"/>
    <w:rsid w:val="007476ED"/>
    <w:rsid w:val="0076254F"/>
    <w:rsid w:val="00773E91"/>
    <w:rsid w:val="00774E70"/>
    <w:rsid w:val="007801F5"/>
    <w:rsid w:val="007808EF"/>
    <w:rsid w:val="00783CA4"/>
    <w:rsid w:val="007842FB"/>
    <w:rsid w:val="00786124"/>
    <w:rsid w:val="007912C4"/>
    <w:rsid w:val="0079514B"/>
    <w:rsid w:val="00797CEA"/>
    <w:rsid w:val="007A2DC1"/>
    <w:rsid w:val="007A3CC4"/>
    <w:rsid w:val="007A4923"/>
    <w:rsid w:val="007C5AC9"/>
    <w:rsid w:val="007D3319"/>
    <w:rsid w:val="007D335D"/>
    <w:rsid w:val="007D3F3F"/>
    <w:rsid w:val="007D6BC4"/>
    <w:rsid w:val="007E11F4"/>
    <w:rsid w:val="007E3314"/>
    <w:rsid w:val="007E3777"/>
    <w:rsid w:val="007E4B03"/>
    <w:rsid w:val="007F324B"/>
    <w:rsid w:val="007F3FA5"/>
    <w:rsid w:val="007F6BA3"/>
    <w:rsid w:val="0080553C"/>
    <w:rsid w:val="00805B46"/>
    <w:rsid w:val="00824808"/>
    <w:rsid w:val="00825DC2"/>
    <w:rsid w:val="00825F5C"/>
    <w:rsid w:val="00832FBE"/>
    <w:rsid w:val="00834AD3"/>
    <w:rsid w:val="0084092E"/>
    <w:rsid w:val="00843795"/>
    <w:rsid w:val="00843B80"/>
    <w:rsid w:val="00847F0F"/>
    <w:rsid w:val="00852448"/>
    <w:rsid w:val="008529D8"/>
    <w:rsid w:val="008652AD"/>
    <w:rsid w:val="0087094B"/>
    <w:rsid w:val="0087116E"/>
    <w:rsid w:val="008720A0"/>
    <w:rsid w:val="00874A1E"/>
    <w:rsid w:val="0088258A"/>
    <w:rsid w:val="00886332"/>
    <w:rsid w:val="00887BD4"/>
    <w:rsid w:val="0089134A"/>
    <w:rsid w:val="008935C5"/>
    <w:rsid w:val="008A10A2"/>
    <w:rsid w:val="008A26D9"/>
    <w:rsid w:val="008A697A"/>
    <w:rsid w:val="008B4B4D"/>
    <w:rsid w:val="008C0C29"/>
    <w:rsid w:val="008C317D"/>
    <w:rsid w:val="008C3310"/>
    <w:rsid w:val="008F3638"/>
    <w:rsid w:val="008F6F31"/>
    <w:rsid w:val="008F74DF"/>
    <w:rsid w:val="0090586A"/>
    <w:rsid w:val="009127BA"/>
    <w:rsid w:val="00921F50"/>
    <w:rsid w:val="009227A6"/>
    <w:rsid w:val="00932408"/>
    <w:rsid w:val="00933EC1"/>
    <w:rsid w:val="009360D3"/>
    <w:rsid w:val="00946BAC"/>
    <w:rsid w:val="00951F4F"/>
    <w:rsid w:val="009530DB"/>
    <w:rsid w:val="00953676"/>
    <w:rsid w:val="00955FF5"/>
    <w:rsid w:val="009705EE"/>
    <w:rsid w:val="00977927"/>
    <w:rsid w:val="0098135C"/>
    <w:rsid w:val="0098156A"/>
    <w:rsid w:val="00982B24"/>
    <w:rsid w:val="00984585"/>
    <w:rsid w:val="00985D81"/>
    <w:rsid w:val="00987A98"/>
    <w:rsid w:val="00991BAC"/>
    <w:rsid w:val="00992926"/>
    <w:rsid w:val="0099454C"/>
    <w:rsid w:val="009A0F70"/>
    <w:rsid w:val="009A39CF"/>
    <w:rsid w:val="009A5C86"/>
    <w:rsid w:val="009A6EA0"/>
    <w:rsid w:val="009C1232"/>
    <w:rsid w:val="009C1335"/>
    <w:rsid w:val="009C17B6"/>
    <w:rsid w:val="009C1AB2"/>
    <w:rsid w:val="009C5A21"/>
    <w:rsid w:val="009C5D06"/>
    <w:rsid w:val="009C7251"/>
    <w:rsid w:val="009D0070"/>
    <w:rsid w:val="009D1900"/>
    <w:rsid w:val="009E2E91"/>
    <w:rsid w:val="009E31C1"/>
    <w:rsid w:val="009F21D8"/>
    <w:rsid w:val="009F50B3"/>
    <w:rsid w:val="009F59A3"/>
    <w:rsid w:val="009F6713"/>
    <w:rsid w:val="00A00ADB"/>
    <w:rsid w:val="00A139F5"/>
    <w:rsid w:val="00A165B0"/>
    <w:rsid w:val="00A34319"/>
    <w:rsid w:val="00A365F4"/>
    <w:rsid w:val="00A416B1"/>
    <w:rsid w:val="00A44ACB"/>
    <w:rsid w:val="00A468E3"/>
    <w:rsid w:val="00A477B8"/>
    <w:rsid w:val="00A47D80"/>
    <w:rsid w:val="00A53132"/>
    <w:rsid w:val="00A563F2"/>
    <w:rsid w:val="00A566E8"/>
    <w:rsid w:val="00A6544F"/>
    <w:rsid w:val="00A77F02"/>
    <w:rsid w:val="00A810F9"/>
    <w:rsid w:val="00A81F44"/>
    <w:rsid w:val="00A844E6"/>
    <w:rsid w:val="00A86962"/>
    <w:rsid w:val="00A86ECC"/>
    <w:rsid w:val="00A86EFC"/>
    <w:rsid w:val="00A86FCC"/>
    <w:rsid w:val="00A876AE"/>
    <w:rsid w:val="00A913B8"/>
    <w:rsid w:val="00A951BE"/>
    <w:rsid w:val="00AA1FF3"/>
    <w:rsid w:val="00AA5072"/>
    <w:rsid w:val="00AA710D"/>
    <w:rsid w:val="00AB6D25"/>
    <w:rsid w:val="00AB72B1"/>
    <w:rsid w:val="00AD34B4"/>
    <w:rsid w:val="00AE2D4B"/>
    <w:rsid w:val="00AE4325"/>
    <w:rsid w:val="00AE4F99"/>
    <w:rsid w:val="00AE636C"/>
    <w:rsid w:val="00AF6C4B"/>
    <w:rsid w:val="00B04285"/>
    <w:rsid w:val="00B1493C"/>
    <w:rsid w:val="00B14952"/>
    <w:rsid w:val="00B15BEB"/>
    <w:rsid w:val="00B25357"/>
    <w:rsid w:val="00B31E5A"/>
    <w:rsid w:val="00B33E37"/>
    <w:rsid w:val="00B50115"/>
    <w:rsid w:val="00B5279C"/>
    <w:rsid w:val="00B653AB"/>
    <w:rsid w:val="00B65F9E"/>
    <w:rsid w:val="00B66555"/>
    <w:rsid w:val="00B66B19"/>
    <w:rsid w:val="00B718F6"/>
    <w:rsid w:val="00B72ACF"/>
    <w:rsid w:val="00B76C0C"/>
    <w:rsid w:val="00B914E9"/>
    <w:rsid w:val="00B922F6"/>
    <w:rsid w:val="00B92654"/>
    <w:rsid w:val="00B956EE"/>
    <w:rsid w:val="00B957EC"/>
    <w:rsid w:val="00BA1D4F"/>
    <w:rsid w:val="00BA2BA1"/>
    <w:rsid w:val="00BB4F09"/>
    <w:rsid w:val="00BD2BC3"/>
    <w:rsid w:val="00BD4E33"/>
    <w:rsid w:val="00BD67C2"/>
    <w:rsid w:val="00BE060A"/>
    <w:rsid w:val="00BE588F"/>
    <w:rsid w:val="00C02127"/>
    <w:rsid w:val="00C030DE"/>
    <w:rsid w:val="00C0682D"/>
    <w:rsid w:val="00C22105"/>
    <w:rsid w:val="00C244B6"/>
    <w:rsid w:val="00C30406"/>
    <w:rsid w:val="00C3702F"/>
    <w:rsid w:val="00C425A6"/>
    <w:rsid w:val="00C436BE"/>
    <w:rsid w:val="00C43CFC"/>
    <w:rsid w:val="00C5627C"/>
    <w:rsid w:val="00C64A37"/>
    <w:rsid w:val="00C7158E"/>
    <w:rsid w:val="00C7250B"/>
    <w:rsid w:val="00C733C3"/>
    <w:rsid w:val="00C7346B"/>
    <w:rsid w:val="00C7776D"/>
    <w:rsid w:val="00C77C0E"/>
    <w:rsid w:val="00C77C4A"/>
    <w:rsid w:val="00C85BB8"/>
    <w:rsid w:val="00C91687"/>
    <w:rsid w:val="00C924A8"/>
    <w:rsid w:val="00C945FE"/>
    <w:rsid w:val="00C96FAA"/>
    <w:rsid w:val="00C97A04"/>
    <w:rsid w:val="00CA107B"/>
    <w:rsid w:val="00CA484D"/>
    <w:rsid w:val="00CB5036"/>
    <w:rsid w:val="00CC018D"/>
    <w:rsid w:val="00CC303A"/>
    <w:rsid w:val="00CC739E"/>
    <w:rsid w:val="00CD2FE9"/>
    <w:rsid w:val="00CD58B7"/>
    <w:rsid w:val="00CE36AB"/>
    <w:rsid w:val="00CF4099"/>
    <w:rsid w:val="00D00796"/>
    <w:rsid w:val="00D0610C"/>
    <w:rsid w:val="00D115A8"/>
    <w:rsid w:val="00D12F60"/>
    <w:rsid w:val="00D261A2"/>
    <w:rsid w:val="00D34D98"/>
    <w:rsid w:val="00D37998"/>
    <w:rsid w:val="00D47F89"/>
    <w:rsid w:val="00D53D5E"/>
    <w:rsid w:val="00D616D2"/>
    <w:rsid w:val="00D626BB"/>
    <w:rsid w:val="00D63B5F"/>
    <w:rsid w:val="00D67CD3"/>
    <w:rsid w:val="00D70EF7"/>
    <w:rsid w:val="00D8397C"/>
    <w:rsid w:val="00D845BF"/>
    <w:rsid w:val="00D94EED"/>
    <w:rsid w:val="00D96026"/>
    <w:rsid w:val="00DA4CE5"/>
    <w:rsid w:val="00DA7C1C"/>
    <w:rsid w:val="00DB147A"/>
    <w:rsid w:val="00DB1B7A"/>
    <w:rsid w:val="00DB20ED"/>
    <w:rsid w:val="00DB562E"/>
    <w:rsid w:val="00DC6708"/>
    <w:rsid w:val="00DE267C"/>
    <w:rsid w:val="00DE2D12"/>
    <w:rsid w:val="00E01436"/>
    <w:rsid w:val="00E045BD"/>
    <w:rsid w:val="00E103C6"/>
    <w:rsid w:val="00E12DB3"/>
    <w:rsid w:val="00E17B77"/>
    <w:rsid w:val="00E23337"/>
    <w:rsid w:val="00E259EA"/>
    <w:rsid w:val="00E31C5A"/>
    <w:rsid w:val="00E32061"/>
    <w:rsid w:val="00E33A76"/>
    <w:rsid w:val="00E42FF9"/>
    <w:rsid w:val="00E441B4"/>
    <w:rsid w:val="00E44BC0"/>
    <w:rsid w:val="00E4714C"/>
    <w:rsid w:val="00E51AEB"/>
    <w:rsid w:val="00E522A7"/>
    <w:rsid w:val="00E53C35"/>
    <w:rsid w:val="00E54452"/>
    <w:rsid w:val="00E637B8"/>
    <w:rsid w:val="00E664C5"/>
    <w:rsid w:val="00E671A2"/>
    <w:rsid w:val="00E723F3"/>
    <w:rsid w:val="00E76D26"/>
    <w:rsid w:val="00E86D11"/>
    <w:rsid w:val="00E93AC6"/>
    <w:rsid w:val="00EA7416"/>
    <w:rsid w:val="00EB1390"/>
    <w:rsid w:val="00EB2C71"/>
    <w:rsid w:val="00EB4340"/>
    <w:rsid w:val="00EB556D"/>
    <w:rsid w:val="00EB5A7D"/>
    <w:rsid w:val="00EC6793"/>
    <w:rsid w:val="00ED55C0"/>
    <w:rsid w:val="00ED682B"/>
    <w:rsid w:val="00EE41D5"/>
    <w:rsid w:val="00F02C7E"/>
    <w:rsid w:val="00F037A4"/>
    <w:rsid w:val="00F067F4"/>
    <w:rsid w:val="00F136D9"/>
    <w:rsid w:val="00F152E6"/>
    <w:rsid w:val="00F274D0"/>
    <w:rsid w:val="00F27C8F"/>
    <w:rsid w:val="00F32749"/>
    <w:rsid w:val="00F3415A"/>
    <w:rsid w:val="00F35F16"/>
    <w:rsid w:val="00F37172"/>
    <w:rsid w:val="00F42440"/>
    <w:rsid w:val="00F4477E"/>
    <w:rsid w:val="00F657FD"/>
    <w:rsid w:val="00F67D8F"/>
    <w:rsid w:val="00F70DA2"/>
    <w:rsid w:val="00F71B2B"/>
    <w:rsid w:val="00F802BE"/>
    <w:rsid w:val="00F80745"/>
    <w:rsid w:val="00F86024"/>
    <w:rsid w:val="00F8611A"/>
    <w:rsid w:val="00FA5128"/>
    <w:rsid w:val="00FB42D4"/>
    <w:rsid w:val="00FB50BD"/>
    <w:rsid w:val="00FB5906"/>
    <w:rsid w:val="00FB762F"/>
    <w:rsid w:val="00FC0B7D"/>
    <w:rsid w:val="00FC2AED"/>
    <w:rsid w:val="00FD2E48"/>
    <w:rsid w:val="00FD5EA7"/>
    <w:rsid w:val="00FF1498"/>
    <w:rsid w:val="00FF1AF9"/>
    <w:rsid w:val="00FF29C2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9" Type="http://schemas.openxmlformats.org/officeDocument/2006/relationships/hyperlink" Target="http://stat.gov.pl/banki-i-bazy-danych/handel-zagraniczny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119,pojecie.html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://stat.gov.pl/obszary-tematyczne/ceny-handel/handel/obroty-towarowe-handlu-zagranicznego-w-2016-r-,4,14.html" TargetMode="External"/><Relationship Id="rId41" Type="http://schemas.openxmlformats.org/officeDocument/2006/relationships/hyperlink" Target="http://stat.gov.pl/metainformacje/slownik-pojec/pojecia-stosowane-w-statystyce-publicznej/11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tat.gov.pl/banki-i-bazy-danych/handel-zagraniczny/" TargetMode="External"/><Relationship Id="rId37" Type="http://schemas.openxmlformats.org/officeDocument/2006/relationships/hyperlink" Target="https://stat.gov.pl/obszary-tematyczne/ceny-handel/handel/handel-zagraniczny-statystyka-lustrzana-i-statystyka-asymetrii,17,1.html" TargetMode="External"/><Relationship Id="rId40" Type="http://schemas.openxmlformats.org/officeDocument/2006/relationships/hyperlink" Target="http://stat.gov.pl/metainformacje/slownik-pojec/pojecia-stosowane-w-statystyce-publicznej/746,pojecie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obszary-tematyczne/roczniki-statystyczne/roczniki-statystyczne/rocznik-statystyczny-handlu-zagranicznego-2017,9,11.html" TargetMode="External"/><Relationship Id="rId36" Type="http://schemas.openxmlformats.org/officeDocument/2006/relationships/hyperlink" Target="http://stat.gov.pl/obszary-tematyczne/ceny-handel/handel/obroty-towarowe-handlu-zagranicznego-w-2016-r-,4,14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waid.stat.gov.pl/SitePagesDBW/HandelZagraniczny.asp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a.matejak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stat.gov.pl/obszary-tematyczne/ceny-handel/handel/handel-zagraniczny-statystyka-lustrzana-i-statystyka-asymetrii,17,1.html" TargetMode="External"/><Relationship Id="rId35" Type="http://schemas.openxmlformats.org/officeDocument/2006/relationships/hyperlink" Target="http://stat.gov.pl/obszary-tematyczne/roczniki-statystyczne/roczniki-statystyczne/rocznik-statystyczny-handlu-zagranicznego-2017,9,11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chart" Target="charts/chart5.xml"/><Relationship Id="rId25" Type="http://schemas.openxmlformats.org/officeDocument/2006/relationships/image" Target="media/image5.png"/><Relationship Id="rId33" Type="http://schemas.openxmlformats.org/officeDocument/2006/relationships/hyperlink" Target="http://stat.gov.pl/metainformacje/slownik-pojec/pojecia-stosowane-w-statystyce-publicznej/746,pojecie.html" TargetMode="External"/><Relationship Id="rId38" Type="http://schemas.openxmlformats.org/officeDocument/2006/relationships/hyperlink" Target="http://swaid.stat.gov.pl/SitePagesDBW/HandelZagraniczny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jakA\Desktop\Documents\Ci&#261;gutki\2017\XII\C-17_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Ci&#261;gutki\2017\XII\C-17_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Ci&#261;gutki\2017\XII\C-17_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wistowskaB\AppData\Local\Microsoft\Windows\INetCache\Content.Outlook\9UKA5IS6\C-17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Arkusz1!$A$7</c:f>
              <c:strCache>
                <c:ptCount val="1"/>
                <c:pt idx="0">
                  <c:v>Eksport  </c:v>
                </c:pt>
              </c:strCache>
            </c:strRef>
          </c:tx>
          <c:spPr>
            <a:solidFill>
              <a:srgbClr val="000099">
                <a:shade val="30000"/>
                <a:satMod val="115000"/>
              </a:srgbClr>
            </a:solidFill>
            <a:ln>
              <a:noFill/>
            </a:ln>
            <a:effectLst/>
          </c:spPr>
          <c:invertIfNegative val="0"/>
          <c:cat>
            <c:strRef>
              <c:f>Arkusz1!$B$5:$D$6</c:f>
              <c:strCache>
                <c:ptCount val="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</c:strCache>
            </c:strRef>
          </c:cat>
          <c:val>
            <c:numRef>
              <c:f>Arkusz1!$B$7:$D$7</c:f>
              <c:numCache>
                <c:formatCode>0.0</c:formatCode>
                <c:ptCount val="3"/>
                <c:pt idx="0">
                  <c:v>81.2</c:v>
                </c:pt>
                <c:pt idx="1">
                  <c:v>80.2</c:v>
                </c:pt>
                <c:pt idx="2">
                  <c:v>66.78</c:v>
                </c:pt>
              </c:numCache>
            </c:numRef>
          </c:val>
        </c:ser>
        <c:ser>
          <c:idx val="1"/>
          <c:order val="1"/>
          <c:tx>
            <c:strRef>
              <c:f>Arkusz1!$A$8</c:f>
              <c:strCache>
                <c:ptCount val="1"/>
                <c:pt idx="0">
                  <c:v>Import   </c:v>
                </c:pt>
              </c:strCache>
            </c:strRef>
          </c:tx>
          <c:spPr>
            <a:solidFill>
              <a:srgbClr val="3395D4"/>
            </a:solidFill>
            <a:ln>
              <a:noFill/>
            </a:ln>
            <a:effectLst/>
          </c:spPr>
          <c:invertIfNegative val="0"/>
          <c:cat>
            <c:strRef>
              <c:f>Arkusz1!$B$5:$D$6</c:f>
              <c:strCache>
                <c:ptCount val="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</c:strCache>
            </c:strRef>
          </c:cat>
          <c:val>
            <c:numRef>
              <c:f>Arkusz1!$B$8:$D$8</c:f>
              <c:numCache>
                <c:formatCode>0.0</c:formatCode>
                <c:ptCount val="3"/>
                <c:pt idx="0">
                  <c:v>79.599999999999994</c:v>
                </c:pt>
                <c:pt idx="1">
                  <c:v>79.900000000000006</c:v>
                </c:pt>
                <c:pt idx="2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Arkusz1!$A$9</c:f>
              <c:strCache>
                <c:ptCount val="1"/>
                <c:pt idx="0">
                  <c:v>Saldo      </c:v>
                </c:pt>
              </c:strCache>
            </c:strRef>
          </c:tx>
          <c:spPr>
            <a:solidFill>
              <a:srgbClr val="69BE28"/>
            </a:solidFill>
            <a:ln w="28575" cap="rnd">
              <a:noFill/>
              <a:prstDash val="sysDash"/>
              <a:round/>
            </a:ln>
            <a:effectLst/>
          </c:spPr>
          <c:invertIfNegative val="0"/>
          <c:cat>
            <c:strRef>
              <c:f>Arkusz1!$B$5:$D$6</c:f>
              <c:strCache>
                <c:ptCount val="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</c:strCache>
            </c:strRef>
          </c:cat>
          <c:val>
            <c:numRef>
              <c:f>Arkusz1!$B$9:$D$9</c:f>
              <c:numCache>
                <c:formatCode>0.0</c:formatCode>
                <c:ptCount val="3"/>
                <c:pt idx="0">
                  <c:v>1.7000000000000028</c:v>
                </c:pt>
                <c:pt idx="1">
                  <c:v>-0.60000000000000853</c:v>
                </c:pt>
                <c:pt idx="2">
                  <c:v>-5.9000000000000057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153456"/>
        <c:axId val="1349152912"/>
      </c:barChart>
      <c:catAx>
        <c:axId val="134915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49152912"/>
        <c:crosses val="autoZero"/>
        <c:auto val="1"/>
        <c:lblAlgn val="ctr"/>
        <c:lblOffset val="100"/>
        <c:noMultiLvlLbl val="0"/>
      </c:catAx>
      <c:valAx>
        <c:axId val="134915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491534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Arkusz2!$A$3:$B$3</c:f>
              <c:strCache>
                <c:ptCount val="2"/>
                <c:pt idx="0">
                  <c:v>Eksport</c:v>
                </c:pt>
                <c:pt idx="1">
                  <c:v>2016</c:v>
                </c:pt>
              </c:strCache>
            </c:strRef>
          </c:tx>
          <c:spPr>
            <a:solidFill>
              <a:srgbClr val="3395D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3395D4"/>
              </a:solidFill>
              <a:ln>
                <a:noFill/>
              </a:ln>
              <a:effectLst>
                <a:outerShdw blurRad="63500" sx="102000" sy="102000" algn="ctr" rotWithShape="0">
                  <a:schemeClr val="accent1">
                    <a:lumMod val="40000"/>
                    <a:lumOff val="60000"/>
                    <a:alpha val="40000"/>
                  </a:schemeClr>
                </a:outerShdw>
              </a:effectLst>
            </c:spPr>
          </c:dPt>
          <c:cat>
            <c:strRef>
              <c:f>Arkusz2!$C$1:$N$2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Arkusz2!$C$3:$N$3</c:f>
              <c:numCache>
                <c:formatCode>0.0_)</c:formatCode>
                <c:ptCount val="12"/>
                <c:pt idx="0">
                  <c:v>101.64103692544666</c:v>
                </c:pt>
                <c:pt idx="1">
                  <c:v>105.71380770304309</c:v>
                </c:pt>
                <c:pt idx="2">
                  <c:v>104.86266714658315</c:v>
                </c:pt>
                <c:pt idx="3">
                  <c:v>106.39805151599624</c:v>
                </c:pt>
                <c:pt idx="4">
                  <c:v>107.1153378883722</c:v>
                </c:pt>
                <c:pt idx="5">
                  <c:v>107.60933588074641</c:v>
                </c:pt>
                <c:pt idx="6">
                  <c:v>106.72503842882415</c:v>
                </c:pt>
                <c:pt idx="7">
                  <c:v>107.22617201765696</c:v>
                </c:pt>
                <c:pt idx="8">
                  <c:v>106.88246004304729</c:v>
                </c:pt>
                <c:pt idx="9">
                  <c:v>106.21226176454788</c:v>
                </c:pt>
                <c:pt idx="10">
                  <c:v>106.61360614705448</c:v>
                </c:pt>
                <c:pt idx="11">
                  <c:v>107.01112014104814</c:v>
                </c:pt>
              </c:numCache>
            </c:numRef>
          </c:val>
        </c:ser>
        <c:ser>
          <c:idx val="1"/>
          <c:order val="1"/>
          <c:tx>
            <c:strRef>
              <c:f>Arkusz2!$A$4:$B$4</c:f>
              <c:strCache>
                <c:ptCount val="2"/>
                <c:pt idx="0">
                  <c:v>Eksport</c:v>
                </c:pt>
                <c:pt idx="1">
                  <c:v>2017</c:v>
                </c:pt>
              </c:strCache>
            </c:strRef>
          </c:tx>
          <c:spPr>
            <a:solidFill>
              <a:srgbClr val="001D77"/>
            </a:solidFill>
            <a:ln w="15875">
              <a:noFill/>
            </a:ln>
            <a:effectLst/>
          </c:spPr>
          <c:invertIfNegative val="0"/>
          <c:cat>
            <c:strRef>
              <c:f>Arkusz2!$C$1:$N$2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Arkusz2!$C$4:$N$4</c:f>
              <c:numCache>
                <c:formatCode>#\ ##0.0</c:formatCode>
                <c:ptCount val="12"/>
                <c:pt idx="0">
                  <c:v>116.53127498001598</c:v>
                </c:pt>
                <c:pt idx="1">
                  <c:v>111.20759653734049</c:v>
                </c:pt>
                <c:pt idx="2">
                  <c:v>114.28157648030172</c:v>
                </c:pt>
                <c:pt idx="3">
                  <c:v>111.35010177799775</c:v>
                </c:pt>
                <c:pt idx="4">
                  <c:v>111.27565917941918</c:v>
                </c:pt>
                <c:pt idx="5">
                  <c:v>110.22921165083727</c:v>
                </c:pt>
                <c:pt idx="6">
                  <c:v>110.03395239622809</c:v>
                </c:pt>
                <c:pt idx="7">
                  <c:v>110.32689000755465</c:v>
                </c:pt>
                <c:pt idx="8">
                  <c:v>110.49735284674063</c:v>
                </c:pt>
                <c:pt idx="9">
                  <c:v>111.07906924078581</c:v>
                </c:pt>
                <c:pt idx="10">
                  <c:v>110.81911315177841</c:v>
                </c:pt>
                <c:pt idx="11">
                  <c:v>109.84989255459203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49154000"/>
        <c:axId val="1349155088"/>
      </c:barChart>
      <c:catAx>
        <c:axId val="134915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49155088"/>
        <c:crosses val="autoZero"/>
        <c:auto val="1"/>
        <c:lblAlgn val="ctr"/>
        <c:lblOffset val="100"/>
        <c:noMultiLvlLbl val="0"/>
      </c:catAx>
      <c:valAx>
        <c:axId val="1349155088"/>
        <c:scaling>
          <c:orientation val="minMax"/>
          <c:max val="12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491540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Arkusz2!$A$8:$B$8</c:f>
              <c:strCache>
                <c:ptCount val="2"/>
                <c:pt idx="0">
                  <c:v>Import</c:v>
                </c:pt>
                <c:pt idx="1">
                  <c:v>2016</c:v>
                </c:pt>
              </c:strCache>
            </c:strRef>
          </c:tx>
          <c:spPr>
            <a:solidFill>
              <a:srgbClr val="001D77"/>
            </a:solidFill>
            <a:ln w="9525" cap="flat" cmpd="sng" algn="ctr">
              <a:noFill/>
              <a:round/>
            </a:ln>
            <a:effectLst/>
          </c:spPr>
          <c:invertIfNegative val="0"/>
          <c:cat>
            <c:strRef>
              <c:f>Arkusz2!$C$6:$N$7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Arkusz2!$C$8:$N$8</c:f>
              <c:numCache>
                <c:formatCode>#\ ##0.0</c:formatCode>
                <c:ptCount val="12"/>
                <c:pt idx="0">
                  <c:v>101.72590950854625</c:v>
                </c:pt>
                <c:pt idx="1">
                  <c:v>106.82129003110119</c:v>
                </c:pt>
                <c:pt idx="2">
                  <c:v>105.73697790904528</c:v>
                </c:pt>
                <c:pt idx="3">
                  <c:v>106.02173224143969</c:v>
                </c:pt>
                <c:pt idx="4">
                  <c:v>106.92438924365023</c:v>
                </c:pt>
                <c:pt idx="5">
                  <c:v>106.76957199476441</c:v>
                </c:pt>
                <c:pt idx="6">
                  <c:v>105.32506625581301</c:v>
                </c:pt>
                <c:pt idx="7">
                  <c:v>106.05794067246855</c:v>
                </c:pt>
                <c:pt idx="8">
                  <c:v>105.8636342040151</c:v>
                </c:pt>
                <c:pt idx="9">
                  <c:v>105.45601086259602</c:v>
                </c:pt>
                <c:pt idx="10">
                  <c:v>105.66518611449693</c:v>
                </c:pt>
                <c:pt idx="11">
                  <c:v>106.14014027226082</c:v>
                </c:pt>
              </c:numCache>
            </c:numRef>
          </c:val>
        </c:ser>
        <c:ser>
          <c:idx val="1"/>
          <c:order val="1"/>
          <c:tx>
            <c:strRef>
              <c:f>Arkusz2!$A$9:$B$9</c:f>
              <c:strCache>
                <c:ptCount val="2"/>
                <c:pt idx="0">
                  <c:v>Import</c:v>
                </c:pt>
                <c:pt idx="1">
                  <c:v>2017</c:v>
                </c:pt>
              </c:strCache>
            </c:strRef>
          </c:tx>
          <c:spPr>
            <a:solidFill>
              <a:srgbClr val="3395D4"/>
            </a:solidFill>
            <a:ln w="9525" cap="flat" cmpd="sng" algn="ctr">
              <a:noFill/>
              <a:round/>
            </a:ln>
            <a:effectLst/>
          </c:spPr>
          <c:invertIfNegative val="0"/>
          <c:cat>
            <c:strRef>
              <c:f>Arkusz2!$C$6:$N$7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Arkusz2!$C$9:$N$9</c:f>
              <c:numCache>
                <c:formatCode>#\ ##0.0</c:formatCode>
                <c:ptCount val="12"/>
                <c:pt idx="0">
                  <c:v>117.29170509057123</c:v>
                </c:pt>
                <c:pt idx="1">
                  <c:v>113.41817280452098</c:v>
                </c:pt>
                <c:pt idx="2">
                  <c:v>115.69179197922035</c:v>
                </c:pt>
                <c:pt idx="3">
                  <c:v>112.53121684132368</c:v>
                </c:pt>
                <c:pt idx="4">
                  <c:v>113.22730829581</c:v>
                </c:pt>
                <c:pt idx="5">
                  <c:v>112.80054840917649</c:v>
                </c:pt>
                <c:pt idx="6">
                  <c:v>112.62397850490584</c:v>
                </c:pt>
                <c:pt idx="7">
                  <c:v>112.14533033472361</c:v>
                </c:pt>
                <c:pt idx="8">
                  <c:v>111.92673916293154</c:v>
                </c:pt>
                <c:pt idx="9">
                  <c:v>112.30756580266821</c:v>
                </c:pt>
                <c:pt idx="10">
                  <c:v>112.26699747488678</c:v>
                </c:pt>
                <c:pt idx="11">
                  <c:v>111.90233424004295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148560"/>
        <c:axId val="1349150736"/>
      </c:barChart>
      <c:catAx>
        <c:axId val="134914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49150736"/>
        <c:crosses val="autoZero"/>
        <c:auto val="1"/>
        <c:lblAlgn val="ctr"/>
        <c:lblOffset val="100"/>
        <c:noMultiLvlLbl val="0"/>
      </c:catAx>
      <c:valAx>
        <c:axId val="1349150736"/>
        <c:scaling>
          <c:orientation val="minMax"/>
          <c:max val="12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491485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Arkusz3!$A$6</c:f>
              <c:strCache>
                <c:ptCount val="1"/>
                <c:pt idx="0">
                  <c:v>2016 </c:v>
                </c:pt>
              </c:strCache>
            </c:strRef>
          </c:tx>
          <c:spPr>
            <a:ln w="28575" cap="rnd">
              <a:solidFill>
                <a:srgbClr val="3395D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3395D4"/>
              </a:solidFill>
              <a:ln w="9525">
                <a:solidFill>
                  <a:srgbClr val="3395D4"/>
                </a:solidFill>
              </a:ln>
              <a:effectLst/>
            </c:spPr>
          </c:marker>
          <c:cat>
            <c:strRef>
              <c:f>Arkusz3!$B$5:$M$5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Arkusz3!$B$6:$M$6</c:f>
              <c:numCache>
                <c:formatCode>0.0</c:formatCode>
                <c:ptCount val="12"/>
                <c:pt idx="0">
                  <c:v>-2.5790614440000006</c:v>
                </c:pt>
                <c:pt idx="1">
                  <c:v>-4.0506867889999896</c:v>
                </c:pt>
                <c:pt idx="2">
                  <c:v>-5.5612463229999598</c:v>
                </c:pt>
                <c:pt idx="3">
                  <c:v>-6.9099032879998807</c:v>
                </c:pt>
                <c:pt idx="4">
                  <c:v>-8.91500463699977</c:v>
                </c:pt>
                <c:pt idx="5">
                  <c:v>-10.819043498999699</c:v>
                </c:pt>
                <c:pt idx="6">
                  <c:v>-12.370641049999898</c:v>
                </c:pt>
                <c:pt idx="7">
                  <c:v>-14.4531386069999</c:v>
                </c:pt>
                <c:pt idx="8">
                  <c:v>-16.292431499999996</c:v>
                </c:pt>
                <c:pt idx="9">
                  <c:v>-18.430733661999799</c:v>
                </c:pt>
                <c:pt idx="10">
                  <c:v>-20.755441667999499</c:v>
                </c:pt>
                <c:pt idx="11">
                  <c:v>-22.643283817999102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Arkusz3!$A$7</c:f>
              <c:strCache>
                <c:ptCount val="1"/>
                <c:pt idx="0">
                  <c:v>2017 </c:v>
                </c:pt>
              </c:strCache>
            </c:strRef>
          </c:tx>
          <c:spPr>
            <a:ln w="28575" cap="flat">
              <a:solidFill>
                <a:srgbClr val="001D77"/>
              </a:solidFill>
              <a:bevel/>
            </a:ln>
            <a:effectLst/>
          </c:spPr>
          <c:marker>
            <c:symbol val="circle"/>
            <c:size val="5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Arkusz3!$B$5:$M$5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Arkusz3!$B$7:$M$7</c:f>
              <c:numCache>
                <c:formatCode>0.0</c:formatCode>
                <c:ptCount val="12"/>
                <c:pt idx="0">
                  <c:v>-3.1773045979999903</c:v>
                </c:pt>
                <c:pt idx="1">
                  <c:v>-6.1770274149999906</c:v>
                </c:pt>
                <c:pt idx="2">
                  <c:v>-8.4770375909999398</c:v>
                </c:pt>
                <c:pt idx="3">
                  <c:v>-10.996701119999878</c:v>
                </c:pt>
                <c:pt idx="4">
                  <c:v>-13.229480292000099</c:v>
                </c:pt>
                <c:pt idx="5">
                  <c:v>-15.100199259000199</c:v>
                </c:pt>
                <c:pt idx="6">
                  <c:v>-16.9905603250001</c:v>
                </c:pt>
                <c:pt idx="7">
                  <c:v>-18.740847883999802</c:v>
                </c:pt>
                <c:pt idx="8">
                  <c:v>-20.978943812999802</c:v>
                </c:pt>
                <c:pt idx="9">
                  <c:v>-23.061136288999602</c:v>
                </c:pt>
                <c:pt idx="10">
                  <c:v>-25.8890132129996</c:v>
                </c:pt>
                <c:pt idx="11">
                  <c:v>-29.581806937999499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149104"/>
        <c:axId val="1349151280"/>
      </c:lineChart>
      <c:catAx>
        <c:axId val="134914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 Light" panose="020B0403050000020004" pitchFamily="34" charset="0"/>
                <a:cs typeface="Calibri"/>
              </a:defRPr>
            </a:pPr>
            <a:endParaRPr lang="pl-PL"/>
          </a:p>
        </c:txPr>
        <c:crossAx val="1349151280"/>
        <c:crosses val="autoZero"/>
        <c:auto val="1"/>
        <c:lblAlgn val="ctr"/>
        <c:lblOffset val="100"/>
        <c:noMultiLvlLbl val="0"/>
      </c:catAx>
      <c:valAx>
        <c:axId val="134915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 Light" panose="020B0403050000020004" pitchFamily="34" charset="0"/>
                <a:cs typeface="Calibri"/>
              </a:defRPr>
            </a:pPr>
            <a:endParaRPr lang="pl-PL"/>
          </a:p>
        </c:txPr>
        <c:crossAx val="1349149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 Light" panose="020B0403050000020004" pitchFamily="34" charset="0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228709557456299E-2"/>
          <c:y val="0.11422034157087707"/>
          <c:w val="0.89510350811949924"/>
          <c:h val="0.63803476781468793"/>
        </c:manualLayout>
      </c:layout>
      <c:lineChart>
        <c:grouping val="standard"/>
        <c:varyColors val="0"/>
        <c:ser>
          <c:idx val="0"/>
          <c:order val="0"/>
          <c:tx>
            <c:strRef>
              <c:f>Arkusz4!$B$1</c:f>
              <c:strCache>
                <c:ptCount val="1"/>
                <c:pt idx="0">
                  <c:v>Import wg kraju pochodzenia</c:v>
                </c:pt>
              </c:strCache>
            </c:strRef>
          </c:tx>
          <c:spPr>
            <a:ln w="28575" cap="rnd">
              <a:solidFill>
                <a:srgbClr val="3395D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3395D4"/>
              </a:solidFill>
              <a:ln w="9525">
                <a:solidFill>
                  <a:srgbClr val="3395D4"/>
                </a:solidFill>
              </a:ln>
              <a:effectLst/>
            </c:spPr>
          </c:marker>
          <c:cat>
            <c:strRef>
              <c:f>Arkusz4!$A$2:$A$4</c:f>
              <c:strCache>
                <c:ptCount val="3"/>
                <c:pt idx="0">
                  <c:v>Kraje rozwinięte </c:v>
                </c:pt>
                <c:pt idx="1">
                  <c:v>Kraje rozwijające się </c:v>
                </c:pt>
                <c:pt idx="2">
                  <c:v>Kraje Europy Środ. – Wsch. </c:v>
                </c:pt>
              </c:strCache>
            </c:strRef>
          </c:cat>
          <c:val>
            <c:numRef>
              <c:f>Arkusz4!$B$2:$B$4</c:f>
              <c:numCache>
                <c:formatCode>0.0</c:formatCode>
                <c:ptCount val="3"/>
                <c:pt idx="0">
                  <c:v>67.5</c:v>
                </c:pt>
                <c:pt idx="1">
                  <c:v>24.6</c:v>
                </c:pt>
                <c:pt idx="2">
                  <c:v>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Arkusz4!$C$1</c:f>
              <c:strCache>
                <c:ptCount val="1"/>
                <c:pt idx="0">
                  <c:v>Import wg kraju wysyłki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/>
              </a:solidFill>
              <a:ln w="9525">
                <a:solidFill>
                  <a:srgbClr val="002060"/>
                </a:solidFill>
              </a:ln>
              <a:effectLst/>
            </c:spPr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spPr>
              <a:ln w="28575" cap="rnd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Arkusz4!$A$2:$A$4</c:f>
              <c:strCache>
                <c:ptCount val="3"/>
                <c:pt idx="0">
                  <c:v>Kraje rozwinięte </c:v>
                </c:pt>
                <c:pt idx="1">
                  <c:v>Kraje rozwijające się </c:v>
                </c:pt>
                <c:pt idx="2">
                  <c:v>Kraje Europy Środ. – Wsch. </c:v>
                </c:pt>
              </c:strCache>
            </c:strRef>
          </c:cat>
          <c:val>
            <c:numRef>
              <c:f>Arkusz4!$C$2:$C$4</c:f>
              <c:numCache>
                <c:formatCode>0.0</c:formatCode>
                <c:ptCount val="3"/>
                <c:pt idx="0">
                  <c:v>76.099999999999994</c:v>
                </c:pt>
                <c:pt idx="1">
                  <c:v>15.8</c:v>
                </c:pt>
                <c:pt idx="2">
                  <c:v>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155632"/>
        <c:axId val="1340155712"/>
      </c:lineChart>
      <c:catAx>
        <c:axId val="134915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 Light" panose="020B0403050000020004" pitchFamily="34" charset="0"/>
                <a:cs typeface="Calibri"/>
              </a:defRPr>
            </a:pPr>
            <a:endParaRPr lang="pl-PL"/>
          </a:p>
        </c:txPr>
        <c:crossAx val="1340155712"/>
        <c:crosses val="autoZero"/>
        <c:auto val="1"/>
        <c:lblAlgn val="ctr"/>
        <c:lblOffset val="100"/>
        <c:noMultiLvlLbl val="0"/>
      </c:catAx>
      <c:valAx>
        <c:axId val="134015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 Light" panose="020B0403050000020004" pitchFamily="34" charset="0"/>
                <a:cs typeface="Calibri"/>
              </a:defRPr>
            </a:pPr>
            <a:endParaRPr lang="pl-PL"/>
          </a:p>
        </c:txPr>
        <c:crossAx val="1349155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ysClr val="windowText" lastClr="000000"/>
              </a:solidFill>
              <a:latin typeface="Fira Sans" panose="020B0503050000020004" pitchFamily="34" charset="0"/>
              <a:ea typeface="Fira Sans Light" panose="020B0403050000020004" pitchFamily="34" charset="0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1B8A7-DBEA-45F0-9F1D-A387F50B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Obroty towarowe handlu zagranicznego ogółem i według krajów w 2017</vt:lpstr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2017</dc:title>
  <dc:subject/>
  <dc:creator>Zawistowska Beata</dc:creator>
  <cp:keywords/>
  <dc:description/>
  <cp:lastModifiedBy>Koszela Alicja</cp:lastModifiedBy>
  <cp:revision>3</cp:revision>
  <cp:lastPrinted>2018-07-04T11:06:00Z</cp:lastPrinted>
  <dcterms:created xsi:type="dcterms:W3CDTF">2018-08-02T11:55:00Z</dcterms:created>
  <dcterms:modified xsi:type="dcterms:W3CDTF">2018-08-02T11:55:00Z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